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交银施罗德瑞鑫定期开放灵活配置混合型证券投资基金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2016年12月14日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300,139,734.62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6,427,945.04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15,191,478.42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0.0506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375,092,373.01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1.2497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4.22%</w:t>
            </w:r>
          </w:p>
        </w:tc>
        <w:tc>
          <w:tcPr>
            <w:vAlign w:val="center"/>
          </w:tcPr>
          <w:p>
            <w:pPr>
              <w:jc w:val="center"/>
            </w:pPr>
            <w:r>
              <w:rPr>
                <w:color w:val="000000"/>
                <w:sz w:val="24"/>
                <w:szCs w:val="24"/>
              </w:rPr>
              <w:t>0.19%</w:t>
            </w:r>
          </w:p>
        </w:tc>
        <w:tc>
          <w:tcPr>
            <w:vAlign w:val="center"/>
          </w:tcPr>
          <w:p>
            <w:pPr>
              <w:jc w:val="center"/>
            </w:pPr>
            <w:r>
              <w:rPr>
                <w:color w:val="000000"/>
                <w:sz w:val="24"/>
                <w:szCs w:val="24"/>
              </w:rPr>
              <w:t>3.99%</w:t>
            </w:r>
          </w:p>
        </w:tc>
        <w:tc>
          <w:tcPr>
            <w:vAlign w:val="center"/>
          </w:tcPr>
          <w:p>
            <w:pPr>
              <w:jc w:val="center"/>
            </w:pPr>
            <w:r>
              <w:rPr>
                <w:color w:val="000000"/>
                <w:sz w:val="24"/>
                <w:szCs w:val="24"/>
              </w:rPr>
              <w:t>0.37%</w:t>
            </w:r>
          </w:p>
        </w:tc>
        <w:tc>
          <w:tcPr>
            <w:vAlign w:val="center"/>
          </w:tcPr>
          <w:p>
            <w:pPr>
              <w:jc w:val="center"/>
            </w:pPr>
            <w:r>
              <w:rPr>
                <w:color w:val="000000"/>
                <w:sz w:val="24"/>
                <w:szCs w:val="24"/>
              </w:rPr>
              <w:t>0.23%</w:t>
            </w:r>
          </w:p>
        </w:tc>
        <w:tc>
          <w:tcPr>
            <w:vAlign w:val="center"/>
          </w:tcPr>
          <w:p>
            <w:pPr>
              <w:jc w:val="center"/>
            </w:pPr>
            <w:r>
              <w:rPr>
                <w:color w:val="000000"/>
                <w:sz w:val="24"/>
                <w:szCs w:val="24"/>
              </w:rPr>
              <w:t>-0.18%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2016年12月14日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szCs w:val="24"/>
              </w:rPr>
              <w:t>2016-12-14</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2019-07-20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szCs w:val="24"/>
        </w:rPr>
      </w:pPr>
      <w:r>
        <w:rPr>
          <w:color w:val="000000"/>
          <w:sz w:val="24"/>
          <w:szCs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szCs w:val="24"/>
        </w:rPr>
      </w:pPr>
      <w:r>
        <w:rPr>
          <w:color w:val="000000"/>
          <w:sz w:val="24"/>
          <w:szCs w:val="24"/>
        </w:rPr>
        <w:t>在基金操作中，由于组合为封闭类产品，对于债券部分我们维持中短久期高等级信用债杠杆套息配置，以获取稳定的票息收益。权益方面，组合秉承稳健收益的原则，以低估值高股息品种为主，同时适当增加小仓位科技品种。此外，组合积极参与权益及转债的一级申购，以增厚组合收益。</w:t>
      </w:r>
    </w:p>
    <w:p>
      <w:pPr>
        <w:spacing w:before="29" w:line="288" w:lineRule="auto"/>
        <w:ind w:firstLine="480" w:firstLineChars="200"/>
        <w:rPr>
          <w:color w:val="000000"/>
          <w:sz w:val="24"/>
          <w:szCs w:val="24"/>
        </w:rPr>
      </w:pPr>
      <w:r>
        <w:rPr>
          <w:color w:val="000000"/>
          <w:sz w:val="24"/>
          <w:szCs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和杠杆水平。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pPr>
        <w:spacing w:before="29" w:line="288" w:lineRule="auto"/>
        <w:ind w:firstLine="480" w:firstLineChars="200"/>
        <w:rPr>
          <w:color w:val="000000"/>
          <w:sz w:val="24"/>
          <w:szCs w:val="24"/>
        </w:rPr>
      </w:pPr>
      <w:r>
        <w:rPr>
          <w:color w:val="000000"/>
          <w:sz w:val="24"/>
          <w:szCs w:val="24"/>
        </w:rPr>
        <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94,368,811.08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94,368,811.08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406,396,346.40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406,396,346.40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16,852,166.17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6,420,900.10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524,038,223.75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1,872,304.00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24,714,138.28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3,262,376.00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4,190,940.00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2,093,976.00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0.56</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3,667,739.57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45,401,261.19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9,159,498.00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94,368,811.08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3,649,200</w:t>
            </w:r>
          </w:p>
        </w:tc>
        <w:tc>
          <w:tcPr>
            <w:vAlign w:val="center"/>
          </w:tcPr>
          <w:p>
            <w:pPr>
              <w:jc w:val="right"/>
            </w:pPr>
            <w:r>
              <w:rPr>
                <w:color w:val="000000"/>
                <w:sz w:val="24"/>
                <w:szCs w:val="24"/>
              </w:rPr>
              <w:t>13,465,548.00</w:t>
            </w:r>
          </w:p>
        </w:tc>
        <w:tc>
          <w:tcPr>
            <w:vAlign w:val="center"/>
          </w:tcPr>
          <w:p>
            <w:pPr>
              <w:jc w:val="right"/>
            </w:pPr>
            <w:r>
              <w:rPr>
                <w:color w:val="000000"/>
                <w:sz w:val="24"/>
                <w:szCs w:val="24"/>
              </w:rPr>
              <w:t>3.59</w:t>
            </w:r>
          </w:p>
        </w:tc>
      </w:tr>
      <w:tr>
        <w:tc>
          <w:tcPr>
            <w:vAlign w:val="center"/>
          </w:tcPr>
          <w:p>
            <w:pPr>
              <w:jc w:val="center"/>
            </w:pPr>
            <w:r>
              <w:rPr>
                <w:color w:val="000000"/>
                <w:sz w:val="24"/>
                <w:szCs w:val="24"/>
              </w:rPr>
              <w:t>2</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2,000,000</w:t>
            </w:r>
          </w:p>
        </w:tc>
        <w:tc>
          <w:tcPr>
            <w:vAlign w:val="center"/>
          </w:tcPr>
          <w:p>
            <w:pPr>
              <w:jc w:val="right"/>
            </w:pPr>
            <w:r>
              <w:rPr>
                <w:color w:val="000000"/>
                <w:sz w:val="24"/>
                <w:szCs w:val="24"/>
              </w:rPr>
              <w:t>11,760,000.00</w:t>
            </w:r>
          </w:p>
        </w:tc>
        <w:tc>
          <w:tcPr>
            <w:vAlign w:val="center"/>
          </w:tcPr>
          <w:p>
            <w:pPr>
              <w:jc w:val="right"/>
            </w:pPr>
            <w:r>
              <w:rPr>
                <w:color w:val="000000"/>
                <w:sz w:val="24"/>
                <w:szCs w:val="24"/>
              </w:rPr>
              <w:t>3.14</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566,100</w:t>
            </w:r>
          </w:p>
        </w:tc>
        <w:tc>
          <w:tcPr>
            <w:vAlign w:val="center"/>
          </w:tcPr>
          <w:p>
            <w:pPr>
              <w:jc w:val="right"/>
            </w:pPr>
            <w:r>
              <w:rPr>
                <w:color w:val="000000"/>
                <w:sz w:val="24"/>
                <w:szCs w:val="24"/>
              </w:rPr>
              <w:t>9,159,498.00</w:t>
            </w:r>
          </w:p>
        </w:tc>
        <w:tc>
          <w:tcPr>
            <w:vAlign w:val="center"/>
          </w:tcPr>
          <w:p>
            <w:pPr>
              <w:jc w:val="right"/>
            </w:pPr>
            <w:r>
              <w:rPr>
                <w:color w:val="000000"/>
                <w:sz w:val="24"/>
                <w:szCs w:val="24"/>
              </w:rPr>
              <w:t>2.44</w:t>
            </w:r>
          </w:p>
        </w:tc>
      </w:tr>
      <w:tr>
        <w:tc>
          <w:tcPr>
            <w:vAlign w:val="center"/>
          </w:tcPr>
          <w:p>
            <w:pPr>
              <w:jc w:val="center"/>
            </w:pPr>
            <w:r>
              <w:rPr>
                <w:color w:val="000000"/>
                <w:sz w:val="24"/>
                <w:szCs w:val="24"/>
              </w:rPr>
              <w:t>4</w:t>
            </w:r>
          </w:p>
        </w:tc>
        <w:tc>
          <w:tcPr>
            <w:vAlign w:val="center"/>
          </w:tcPr>
          <w:p>
            <w:pPr>
              <w:jc w:val="center"/>
            </w:pPr>
            <w:r>
              <w:rPr>
                <w:color w:val="000000"/>
                <w:sz w:val="24"/>
                <w:szCs w:val="24"/>
              </w:rPr>
              <w:t>601628</w:t>
            </w:r>
          </w:p>
        </w:tc>
        <w:tc>
          <w:tcPr>
            <w:vAlign w:val="center"/>
          </w:tcPr>
          <w:p>
            <w:pPr>
              <w:jc w:val="center"/>
            </w:pPr>
            <w:r>
              <w:rPr>
                <w:color w:val="000000"/>
                <w:sz w:val="24"/>
                <w:szCs w:val="24"/>
              </w:rPr>
              <w:t>中国人寿</w:t>
            </w:r>
          </w:p>
        </w:tc>
        <w:tc>
          <w:tcPr>
            <w:vAlign w:val="center"/>
          </w:tcPr>
          <w:p>
            <w:pPr>
              <w:jc w:val="right"/>
            </w:pPr>
            <w:r>
              <w:rPr>
                <w:color w:val="000000"/>
                <w:sz w:val="24"/>
                <w:szCs w:val="24"/>
              </w:rPr>
              <w:t>230,900</w:t>
            </w:r>
          </w:p>
        </w:tc>
        <w:tc>
          <w:tcPr>
            <w:vAlign w:val="center"/>
          </w:tcPr>
          <w:p>
            <w:pPr>
              <w:jc w:val="right"/>
            </w:pPr>
            <w:r>
              <w:rPr>
                <w:color w:val="000000"/>
                <w:sz w:val="24"/>
                <w:szCs w:val="24"/>
              </w:rPr>
              <w:t>8,051,483.00</w:t>
            </w:r>
          </w:p>
        </w:tc>
        <w:tc>
          <w:tcPr>
            <w:vAlign w:val="center"/>
          </w:tcPr>
          <w:p>
            <w:pPr>
              <w:jc w:val="right"/>
            </w:pPr>
            <w:r>
              <w:rPr>
                <w:color w:val="000000"/>
                <w:sz w:val="24"/>
                <w:szCs w:val="24"/>
              </w:rPr>
              <w:t>2.15</w:t>
            </w:r>
          </w:p>
        </w:tc>
      </w:tr>
      <w:tr>
        <w:tc>
          <w:tcPr>
            <w:vAlign w:val="center"/>
          </w:tcPr>
          <w:p>
            <w:pPr>
              <w:jc w:val="center"/>
            </w:pPr>
            <w:r>
              <w:rPr>
                <w:color w:val="000000"/>
                <w:sz w:val="24"/>
                <w:szCs w:val="24"/>
              </w:rPr>
              <w:t>5</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200,000</w:t>
            </w:r>
          </w:p>
        </w:tc>
        <w:tc>
          <w:tcPr>
            <w:vAlign w:val="center"/>
          </w:tcPr>
          <w:p>
            <w:pPr>
              <w:jc w:val="right"/>
            </w:pPr>
            <w:r>
              <w:rPr>
                <w:color w:val="000000"/>
                <w:sz w:val="24"/>
                <w:szCs w:val="24"/>
              </w:rPr>
              <w:t>5,262,000.00</w:t>
            </w:r>
          </w:p>
        </w:tc>
        <w:tc>
          <w:tcPr>
            <w:vAlign w:val="center"/>
          </w:tcPr>
          <w:p>
            <w:pPr>
              <w:jc w:val="right"/>
            </w:pPr>
            <w:r>
              <w:rPr>
                <w:color w:val="000000"/>
                <w:sz w:val="24"/>
                <w:szCs w:val="24"/>
              </w:rPr>
              <w:t>1.40</w:t>
            </w:r>
          </w:p>
        </w:tc>
      </w:tr>
      <w:tr>
        <w:tc>
          <w:tcPr>
            <w:vAlign w:val="center"/>
          </w:tcPr>
          <w:p>
            <w:pPr>
              <w:jc w:val="center"/>
            </w:pPr>
            <w:r>
              <w:rPr>
                <w:color w:val="000000"/>
                <w:sz w:val="24"/>
                <w:szCs w:val="24"/>
              </w:rPr>
              <w:t>6</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300,000</w:t>
            </w:r>
          </w:p>
        </w:tc>
        <w:tc>
          <w:tcPr>
            <w:vAlign w:val="center"/>
          </w:tcPr>
          <w:p>
            <w:pPr>
              <w:jc w:val="right"/>
            </w:pPr>
            <w:r>
              <w:rPr>
                <w:color w:val="000000"/>
                <w:sz w:val="24"/>
                <w:szCs w:val="24"/>
              </w:rPr>
              <w:t>4,935,000.00</w:t>
            </w:r>
          </w:p>
        </w:tc>
        <w:tc>
          <w:tcPr>
            <w:vAlign w:val="center"/>
          </w:tcPr>
          <w:p>
            <w:pPr>
              <w:jc w:val="right"/>
            </w:pPr>
            <w:r>
              <w:rPr>
                <w:color w:val="000000"/>
                <w:sz w:val="24"/>
                <w:szCs w:val="24"/>
              </w:rPr>
              <w:t>1.32</w:t>
            </w:r>
          </w:p>
        </w:tc>
      </w:tr>
      <w:tr>
        <w:tc>
          <w:tcPr>
            <w:vAlign w:val="center"/>
          </w:tcPr>
          <w:p>
            <w:pPr>
              <w:jc w:val="center"/>
            </w:pPr>
            <w:r>
              <w:rPr>
                <w:color w:val="000000"/>
                <w:sz w:val="24"/>
                <w:szCs w:val="24"/>
              </w:rPr>
              <w:t>7</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100,000</w:t>
            </w:r>
          </w:p>
        </w:tc>
        <w:tc>
          <w:tcPr>
            <w:vAlign w:val="center"/>
          </w:tcPr>
          <w:p>
            <w:pPr>
              <w:jc w:val="right"/>
            </w:pPr>
            <w:r>
              <w:rPr>
                <w:color w:val="000000"/>
                <w:sz w:val="24"/>
                <w:szCs w:val="24"/>
              </w:rPr>
              <w:t>4,915,000.00</w:t>
            </w:r>
          </w:p>
        </w:tc>
        <w:tc>
          <w:tcPr>
            <w:vAlign w:val="center"/>
          </w:tcPr>
          <w:p>
            <w:pPr>
              <w:jc w:val="right"/>
            </w:pPr>
            <w:r>
              <w:rPr>
                <w:color w:val="000000"/>
                <w:sz w:val="24"/>
                <w:szCs w:val="24"/>
              </w:rPr>
              <w:t>1.31</w:t>
            </w:r>
          </w:p>
        </w:tc>
      </w:tr>
      <w:tr>
        <w:tc>
          <w:tcPr>
            <w:vAlign w:val="center"/>
          </w:tcPr>
          <w:p>
            <w:pPr>
              <w:jc w:val="center"/>
            </w:pPr>
            <w:r>
              <w:rPr>
                <w:color w:val="000000"/>
                <w:sz w:val="24"/>
                <w:szCs w:val="24"/>
              </w:rPr>
              <w:t>8</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407,600</w:t>
            </w:r>
          </w:p>
        </w:tc>
        <w:tc>
          <w:tcPr>
            <w:vAlign w:val="center"/>
          </w:tcPr>
          <w:p>
            <w:pPr>
              <w:jc w:val="right"/>
            </w:pPr>
            <w:r>
              <w:rPr>
                <w:color w:val="000000"/>
                <w:sz w:val="24"/>
                <w:szCs w:val="24"/>
              </w:rPr>
              <w:t>4,764,844.00</w:t>
            </w:r>
          </w:p>
        </w:tc>
        <w:tc>
          <w:tcPr>
            <w:vAlign w:val="center"/>
          </w:tcPr>
          <w:p>
            <w:pPr>
              <w:jc w:val="right"/>
            </w:pPr>
            <w:r>
              <w:rPr>
                <w:color w:val="000000"/>
                <w:sz w:val="24"/>
                <w:szCs w:val="24"/>
              </w:rPr>
              <w:t>1.27</w:t>
            </w:r>
          </w:p>
        </w:tc>
      </w:tr>
      <w:tr>
        <w:tc>
          <w:tcPr>
            <w:vAlign w:val="center"/>
          </w:tcPr>
          <w:p>
            <w:pPr>
              <w:jc w:val="center"/>
            </w:pPr>
            <w:r>
              <w:rPr>
                <w:color w:val="000000"/>
                <w:sz w:val="24"/>
                <w:szCs w:val="24"/>
              </w:rPr>
              <w:t>9</w:t>
            </w:r>
          </w:p>
        </w:tc>
        <w:tc>
          <w:tcPr>
            <w:vAlign w:val="center"/>
          </w:tcPr>
          <w:p>
            <w:pPr>
              <w:jc w:val="center"/>
            </w:pPr>
            <w:r>
              <w:rPr>
                <w:color w:val="000000"/>
                <w:sz w:val="24"/>
                <w:szCs w:val="24"/>
              </w:rPr>
              <w:t>000538</w:t>
            </w:r>
          </w:p>
        </w:tc>
        <w:tc>
          <w:tcPr>
            <w:vAlign w:val="center"/>
          </w:tcPr>
          <w:p>
            <w:pPr>
              <w:jc w:val="center"/>
            </w:pPr>
            <w:r>
              <w:rPr>
                <w:color w:val="000000"/>
                <w:sz w:val="24"/>
                <w:szCs w:val="24"/>
              </w:rPr>
              <w:t>云南白药</w:t>
            </w:r>
          </w:p>
        </w:tc>
        <w:tc>
          <w:tcPr>
            <w:vAlign w:val="center"/>
          </w:tcPr>
          <w:p>
            <w:pPr>
              <w:jc w:val="right"/>
            </w:pPr>
            <w:r>
              <w:rPr>
                <w:color w:val="000000"/>
                <w:sz w:val="24"/>
                <w:szCs w:val="24"/>
              </w:rPr>
              <w:t>40,000</w:t>
            </w:r>
          </w:p>
        </w:tc>
        <w:tc>
          <w:tcPr>
            <w:vAlign w:val="center"/>
          </w:tcPr>
          <w:p>
            <w:pPr>
              <w:jc w:val="right"/>
            </w:pPr>
            <w:r>
              <w:rPr>
                <w:color w:val="000000"/>
                <w:sz w:val="24"/>
                <w:szCs w:val="24"/>
              </w:rPr>
              <w:t>3,577,200.00</w:t>
            </w:r>
          </w:p>
        </w:tc>
        <w:tc>
          <w:tcPr>
            <w:vAlign w:val="center"/>
          </w:tcPr>
          <w:p>
            <w:pPr>
              <w:jc w:val="right"/>
            </w:pPr>
            <w:r>
              <w:rPr>
                <w:color w:val="000000"/>
                <w:sz w:val="24"/>
                <w:szCs w:val="24"/>
              </w:rPr>
              <w:t>0.95</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3,000</w:t>
            </w:r>
          </w:p>
        </w:tc>
        <w:tc>
          <w:tcPr>
            <w:vAlign w:val="center"/>
          </w:tcPr>
          <w:p>
            <w:pPr>
              <w:jc w:val="right"/>
            </w:pPr>
            <w:r>
              <w:rPr>
                <w:color w:val="000000"/>
                <w:sz w:val="24"/>
                <w:szCs w:val="24"/>
              </w:rPr>
              <w:t>3,549,000.00</w:t>
            </w:r>
          </w:p>
        </w:tc>
        <w:tc>
          <w:tcPr>
            <w:vAlign w:val="center"/>
          </w:tcPr>
          <w:p>
            <w:pPr>
              <w:jc w:val="right"/>
            </w:pPr>
            <w:r>
              <w:rPr>
                <w:color w:val="000000"/>
                <w:sz w:val="24"/>
                <w:szCs w:val="24"/>
              </w:rPr>
              <w:t>0.95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323,692,000.00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86.30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80,954,000.00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21.58</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1,750,346.40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0.47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406,396,346.40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108.35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143662</w:t>
            </w:r>
          </w:p>
        </w:tc>
        <w:tc>
          <w:tcPr>
            <w:vAlign w:val="center"/>
          </w:tcPr>
          <w:p>
            <w:pPr>
              <w:jc w:val="center"/>
            </w:pPr>
            <w:r>
              <w:rPr>
                <w:color w:val="000000"/>
                <w:sz w:val="24"/>
                <w:szCs w:val="24"/>
              </w:rPr>
              <w:t>18国电02</w:t>
            </w:r>
          </w:p>
        </w:tc>
        <w:tc>
          <w:tcPr>
            <w:vAlign w:val="center"/>
          </w:tcPr>
          <w:p>
            <w:pPr>
              <w:jc w:val="right"/>
            </w:pPr>
            <w:r>
              <w:rPr>
                <w:color w:val="000000"/>
                <w:sz w:val="24"/>
                <w:szCs w:val="24"/>
              </w:rPr>
              <w:t>300,000</w:t>
            </w:r>
          </w:p>
        </w:tc>
        <w:tc>
          <w:tcPr>
            <w:vAlign w:val="center"/>
          </w:tcPr>
          <w:p>
            <w:pPr>
              <w:jc w:val="right"/>
            </w:pPr>
            <w:r>
              <w:rPr>
                <w:color w:val="000000"/>
                <w:sz w:val="24"/>
                <w:szCs w:val="24"/>
              </w:rPr>
              <w:t>30,597,000.00</w:t>
            </w:r>
          </w:p>
        </w:tc>
        <w:tc>
          <w:tcPr>
            <w:vAlign w:val="center"/>
          </w:tcPr>
          <w:p>
            <w:pPr>
              <w:jc w:val="right"/>
            </w:pPr>
            <w:r>
              <w:rPr>
                <w:color w:val="000000"/>
                <w:sz w:val="24"/>
                <w:szCs w:val="24"/>
              </w:rPr>
              <w:t>8.16</w:t>
            </w:r>
          </w:p>
        </w:tc>
      </w:tr>
      <w:tr>
        <w:tc>
          <w:tcPr>
            <w:vAlign w:val="center"/>
          </w:tcPr>
          <w:p>
            <w:pPr>
              <w:jc w:val="center"/>
            </w:pPr>
            <w:r>
              <w:rPr>
                <w:color w:val="000000"/>
                <w:sz w:val="24"/>
                <w:szCs w:val="24"/>
              </w:rPr>
              <w:t>2</w:t>
            </w:r>
          </w:p>
        </w:tc>
        <w:tc>
          <w:tcPr>
            <w:vAlign w:val="center"/>
          </w:tcPr>
          <w:p>
            <w:pPr>
              <w:jc w:val="center"/>
            </w:pPr>
            <w:r>
              <w:rPr>
                <w:color w:val="000000"/>
                <w:sz w:val="24"/>
                <w:szCs w:val="24"/>
              </w:rPr>
              <w:t>143793</w:t>
            </w:r>
          </w:p>
        </w:tc>
        <w:tc>
          <w:tcPr>
            <w:vAlign w:val="center"/>
          </w:tcPr>
          <w:p>
            <w:pPr>
              <w:jc w:val="center"/>
            </w:pPr>
            <w:r>
              <w:rPr>
                <w:color w:val="000000"/>
                <w:sz w:val="24"/>
                <w:szCs w:val="24"/>
              </w:rPr>
              <w:t>18深航06</w:t>
            </w:r>
          </w:p>
        </w:tc>
        <w:tc>
          <w:tcPr>
            <w:vAlign w:val="center"/>
          </w:tcPr>
          <w:p>
            <w:pPr>
              <w:jc w:val="right"/>
            </w:pPr>
            <w:r>
              <w:rPr>
                <w:color w:val="000000"/>
                <w:sz w:val="24"/>
                <w:szCs w:val="24"/>
              </w:rPr>
              <w:t>300,000</w:t>
            </w:r>
          </w:p>
        </w:tc>
        <w:tc>
          <w:tcPr>
            <w:vAlign w:val="center"/>
          </w:tcPr>
          <w:p>
            <w:pPr>
              <w:jc w:val="right"/>
            </w:pPr>
            <w:r>
              <w:rPr>
                <w:color w:val="000000"/>
                <w:sz w:val="24"/>
                <w:szCs w:val="24"/>
              </w:rPr>
              <w:t>30,480,000.00</w:t>
            </w:r>
          </w:p>
        </w:tc>
        <w:tc>
          <w:tcPr>
            <w:vAlign w:val="center"/>
          </w:tcPr>
          <w:p>
            <w:pPr>
              <w:jc w:val="right"/>
            </w:pPr>
            <w:r>
              <w:rPr>
                <w:color w:val="000000"/>
                <w:sz w:val="24"/>
                <w:szCs w:val="24"/>
              </w:rPr>
              <w:t>8.13</w:t>
            </w:r>
          </w:p>
        </w:tc>
      </w:tr>
      <w:tr>
        <w:tc>
          <w:tcPr>
            <w:vAlign w:val="center"/>
          </w:tcPr>
          <w:p>
            <w:pPr>
              <w:jc w:val="center"/>
            </w:pPr>
            <w:r>
              <w:rPr>
                <w:color w:val="000000"/>
                <w:sz w:val="24"/>
                <w:szCs w:val="24"/>
              </w:rPr>
              <w:t>3</w:t>
            </w:r>
          </w:p>
        </w:tc>
        <w:tc>
          <w:tcPr>
            <w:vAlign w:val="center"/>
          </w:tcPr>
          <w:p>
            <w:pPr>
              <w:jc w:val="center"/>
            </w:pPr>
            <w:r>
              <w:rPr>
                <w:color w:val="000000"/>
                <w:sz w:val="24"/>
                <w:szCs w:val="24"/>
              </w:rPr>
              <w:t>155025</w:t>
            </w:r>
          </w:p>
        </w:tc>
        <w:tc>
          <w:tcPr>
            <w:vAlign w:val="center"/>
          </w:tcPr>
          <w:p>
            <w:pPr>
              <w:jc w:val="center"/>
            </w:pPr>
            <w:r>
              <w:rPr>
                <w:color w:val="000000"/>
                <w:sz w:val="24"/>
                <w:szCs w:val="24"/>
              </w:rPr>
              <w:t>18光大01</w:t>
            </w:r>
          </w:p>
        </w:tc>
        <w:tc>
          <w:tcPr>
            <w:vAlign w:val="center"/>
          </w:tcPr>
          <w:p>
            <w:pPr>
              <w:jc w:val="right"/>
            </w:pPr>
            <w:r>
              <w:rPr>
                <w:color w:val="000000"/>
                <w:sz w:val="24"/>
                <w:szCs w:val="24"/>
              </w:rPr>
              <w:t>300,000</w:t>
            </w:r>
          </w:p>
        </w:tc>
        <w:tc>
          <w:tcPr>
            <w:vAlign w:val="center"/>
          </w:tcPr>
          <w:p>
            <w:pPr>
              <w:jc w:val="right"/>
            </w:pPr>
            <w:r>
              <w:rPr>
                <w:color w:val="000000"/>
                <w:sz w:val="24"/>
                <w:szCs w:val="24"/>
              </w:rPr>
              <w:t>30,372,000.00</w:t>
            </w:r>
          </w:p>
        </w:tc>
        <w:tc>
          <w:tcPr>
            <w:vAlign w:val="center"/>
          </w:tcPr>
          <w:p>
            <w:pPr>
              <w:jc w:val="right"/>
            </w:pPr>
            <w:r>
              <w:rPr>
                <w:color w:val="000000"/>
                <w:sz w:val="24"/>
                <w:szCs w:val="24"/>
              </w:rPr>
              <w:t>8.10</w:t>
            </w:r>
          </w:p>
        </w:tc>
      </w:tr>
      <w:tr>
        <w:tc>
          <w:tcPr>
            <w:vAlign w:val="center"/>
          </w:tcPr>
          <w:p>
            <w:pPr>
              <w:jc w:val="center"/>
            </w:pPr>
            <w:r>
              <w:rPr>
                <w:color w:val="000000"/>
                <w:sz w:val="24"/>
                <w:szCs w:val="24"/>
              </w:rPr>
              <w:t>4</w:t>
            </w:r>
          </w:p>
        </w:tc>
        <w:tc>
          <w:tcPr>
            <w:vAlign w:val="center"/>
          </w:tcPr>
          <w:p>
            <w:pPr>
              <w:jc w:val="center"/>
            </w:pPr>
            <w:r>
              <w:rPr>
                <w:color w:val="000000"/>
                <w:sz w:val="24"/>
                <w:szCs w:val="24"/>
              </w:rPr>
              <w:t>112802</w:t>
            </w:r>
          </w:p>
        </w:tc>
        <w:tc>
          <w:tcPr>
            <w:vAlign w:val="center"/>
          </w:tcPr>
          <w:p>
            <w:pPr>
              <w:jc w:val="center"/>
            </w:pPr>
            <w:r>
              <w:rPr>
                <w:color w:val="000000"/>
                <w:sz w:val="24"/>
                <w:szCs w:val="24"/>
              </w:rPr>
              <w:t>18电科02</w:t>
            </w:r>
          </w:p>
        </w:tc>
        <w:tc>
          <w:tcPr>
            <w:vAlign w:val="center"/>
          </w:tcPr>
          <w:p>
            <w:pPr>
              <w:jc w:val="right"/>
            </w:pPr>
            <w:r>
              <w:rPr>
                <w:color w:val="000000"/>
                <w:sz w:val="24"/>
                <w:szCs w:val="24"/>
              </w:rPr>
              <w:t>300,000</w:t>
            </w:r>
          </w:p>
        </w:tc>
        <w:tc>
          <w:tcPr>
            <w:vAlign w:val="center"/>
          </w:tcPr>
          <w:p>
            <w:pPr>
              <w:jc w:val="right"/>
            </w:pPr>
            <w:r>
              <w:rPr>
                <w:color w:val="000000"/>
                <w:sz w:val="24"/>
                <w:szCs w:val="24"/>
              </w:rPr>
              <w:t>30,354,000.00</w:t>
            </w:r>
          </w:p>
        </w:tc>
        <w:tc>
          <w:tcPr>
            <w:vAlign w:val="center"/>
          </w:tcPr>
          <w:p>
            <w:pPr>
              <w:jc w:val="right"/>
            </w:pPr>
            <w:r>
              <w:rPr>
                <w:color w:val="000000"/>
                <w:sz w:val="24"/>
                <w:szCs w:val="24"/>
              </w:rPr>
              <w:t>8.09</w:t>
            </w:r>
          </w:p>
        </w:tc>
      </w:tr>
      <w:tr>
        <w:tc>
          <w:tcPr>
            <w:vAlign w:val="center"/>
          </w:tcPr>
          <w:p>
            <w:pPr>
              <w:jc w:val="center"/>
            </w:pPr>
            <w:r>
              <w:rPr>
                <w:color w:val="000000"/>
                <w:sz w:val="24"/>
                <w:szCs w:val="24"/>
              </w:rPr>
              <w:t>5</w:t>
            </w:r>
          </w:p>
        </w:tc>
        <w:tc>
          <w:tcPr>
            <w:vAlign w:val="center"/>
          </w:tcPr>
          <w:p>
            <w:pPr>
              <w:jc w:val="center"/>
            </w:pPr>
            <w:r>
              <w:rPr>
                <w:color w:val="000000"/>
                <w:sz w:val="24"/>
                <w:szCs w:val="24"/>
              </w:rPr>
              <w:t>136479</w:t>
            </w:r>
          </w:p>
        </w:tc>
        <w:tc>
          <w:tcPr>
            <w:vAlign w:val="center"/>
          </w:tcPr>
          <w:p>
            <w:pPr>
              <w:jc w:val="center"/>
            </w:pPr>
            <w:r>
              <w:rPr>
                <w:color w:val="000000"/>
                <w:sz w:val="24"/>
                <w:szCs w:val="24"/>
              </w:rPr>
              <w:t>16华能01</w:t>
            </w:r>
          </w:p>
        </w:tc>
        <w:tc>
          <w:tcPr>
            <w:vAlign w:val="center"/>
          </w:tcPr>
          <w:p>
            <w:pPr>
              <w:jc w:val="right"/>
            </w:pPr>
            <w:r>
              <w:rPr>
                <w:color w:val="000000"/>
                <w:sz w:val="24"/>
                <w:szCs w:val="24"/>
              </w:rPr>
              <w:t>300,000</w:t>
            </w:r>
          </w:p>
        </w:tc>
        <w:tc>
          <w:tcPr>
            <w:vAlign w:val="center"/>
          </w:tcPr>
          <w:p>
            <w:pPr>
              <w:jc w:val="right"/>
            </w:pPr>
            <w:r>
              <w:rPr>
                <w:color w:val="000000"/>
                <w:sz w:val="24"/>
                <w:szCs w:val="24"/>
              </w:rPr>
              <w:t>30,090,000.00</w:t>
            </w:r>
          </w:p>
        </w:tc>
        <w:tc>
          <w:tcPr>
            <w:vAlign w:val="center"/>
          </w:tcPr>
          <w:p>
            <w:pPr>
              <w:jc w:val="right"/>
            </w:pPr>
            <w:r>
              <w:rPr>
                <w:color w:val="000000"/>
                <w:sz w:val="24"/>
                <w:szCs w:val="24"/>
              </w:rPr>
              <w:t>8.02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35,514.00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75,782.40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6,309,603.70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6,420,900.10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300,139,734.62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300,139,734.62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299,999,000.00</w:t>
            </w:r>
          </w:p>
        </w:tc>
        <w:tc>
          <w:tcPr>
            <w:vAlign w:val="center"/>
          </w:tcPr>
          <w:p>
            <w:pPr>
              <w:jc w:val="center"/>
            </w:pPr>
            <w:r>
              <w:rPr>
                <w:rFonts w:ascii="宋体" w:hAnsi="宋体"/>
                <w:color w:val="000000"/>
                <w:kern w:val="0"/>
              </w:rPr>
              <w:t>99.95%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1、中国证监会准予交银施罗德瑞鑫定期开放灵活配置混合型证券投资基金募集注册的文件；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2、《交银施罗德瑞鑫定期开放灵活配置混合型证券投资基金基金合同》；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3、《交银施罗德瑞鑫定期开放灵活配置混合型证券投资基金招募说明书》；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4、《交银施罗德瑞鑫定期开放灵活配置混合型证券投资基金托管协议》；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5、关于申请募集注册交银施罗德瑞鑫定期开放灵活配置混合型证券投资基金的法律意见书；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8、报告期内交银施罗德瑞鑫定期开放灵活配置混合型证券投资基金在指定报刊上各项公告的原稿。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交银施罗德瑞鑫定期开放灵活配置混合型证券投资基金2019年第4季度报告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