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交银施罗德恒益灵活配置混合型证券投资基金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2017年9月15日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365,889,005.92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沪深300指数收益率×40%+中证综合债券指数收益率×60%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9,663,781.82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14,264,574.97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0.0416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401,850,260.36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1.0983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3.93%</w:t>
            </w:r>
          </w:p>
        </w:tc>
        <w:tc>
          <w:tcPr>
            <w:vAlign w:val="center"/>
          </w:tcPr>
          <w:p>
            <w:pPr>
              <w:jc w:val="center"/>
            </w:pPr>
            <w:r>
              <w:rPr>
                <w:color w:val="000000"/>
                <w:sz w:val="24"/>
                <w:szCs w:val="24"/>
              </w:rPr>
              <w:t>0.17%</w:t>
            </w:r>
          </w:p>
        </w:tc>
        <w:tc>
          <w:tcPr>
            <w:vAlign w:val="center"/>
          </w:tcPr>
          <w:p>
            <w:pPr>
              <w:jc w:val="center"/>
            </w:pPr>
            <w:r>
              <w:rPr>
                <w:color w:val="000000"/>
                <w:sz w:val="24"/>
                <w:szCs w:val="24"/>
              </w:rPr>
              <w:t>3.68%</w:t>
            </w:r>
          </w:p>
        </w:tc>
        <w:tc>
          <w:tcPr>
            <w:vAlign w:val="center"/>
          </w:tcPr>
          <w:p>
            <w:pPr>
              <w:jc w:val="center"/>
            </w:pPr>
            <w:r>
              <w:rPr>
                <w:color w:val="000000"/>
                <w:sz w:val="24"/>
                <w:szCs w:val="24"/>
              </w:rPr>
              <w:t>0.29%</w:t>
            </w:r>
          </w:p>
        </w:tc>
        <w:tc>
          <w:tcPr>
            <w:vAlign w:val="center"/>
          </w:tcPr>
          <w:p>
            <w:pPr>
              <w:jc w:val="center"/>
            </w:pPr>
            <w:r>
              <w:rPr>
                <w:color w:val="000000"/>
                <w:sz w:val="24"/>
                <w:szCs w:val="24"/>
              </w:rPr>
              <w:t>0.25%</w:t>
            </w:r>
          </w:p>
        </w:tc>
        <w:tc>
          <w:tcPr>
            <w:vAlign w:val="center"/>
          </w:tcPr>
          <w:p>
            <w:pPr>
              <w:jc w:val="center"/>
            </w:pPr>
            <w:r>
              <w:rPr>
                <w:color w:val="000000"/>
                <w:sz w:val="24"/>
                <w:szCs w:val="24"/>
              </w:rPr>
              <w:t>-0.12%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交银施罗德恒益灵活配置混合型证券投资基金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2017年9月15日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李娜</w:t>
            </w:r>
          </w:p>
        </w:tc>
        <w:tc>
          <w:tcPr>
            <w:vAlign w:val="center"/>
          </w:tcPr>
          <w:p>
            <w:pPr>
              <w:jc w:val="center"/>
            </w:pPr>
            <w:r>
              <w:rPr>
                <w:color w:val="000000"/>
                <w:sz w:val="24"/>
                <w:szCs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szCs w:val="24"/>
              </w:rPr>
              <w:t>2019-06-18</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2019-07-20</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pPr>
        <w:spacing w:before="29" w:line="288" w:lineRule="auto"/>
        <w:ind w:firstLine="480" w:firstLineChars="200"/>
        <w:rPr>
          <w:color w:val="000000"/>
          <w:sz w:val="24"/>
          <w:szCs w:val="24"/>
        </w:rPr>
      </w:pPr>
      <w:r>
        <w:rPr>
          <w:color w:val="000000"/>
          <w:sz w:val="24"/>
          <w:szCs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szCs w:val="24"/>
        </w:rPr>
      </w:pPr>
      <w:r>
        <w:rPr>
          <w:color w:val="000000"/>
          <w:sz w:val="24"/>
          <w:szCs w:val="24"/>
        </w:rPr>
        <w:t>在基金操作中，对于债券部分我们维持中短久期高等级信用债的底仓配置，以获取稳定的票息收益。权益方面，组合秉承稳健收益的原则，以低估值高股息品种为主，并于报告期内逐步兑现部分细分行业成长个股的收益，置换为低估值消费，同时适当增加小仓位科技品种。此外，组合积极参与权益及转债的一级申购，以增厚组合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尽管经济内生企稳动力不强的情况难以扭转，中期经济承压的格局未变，但短期在宏观逆周期调控政策发力，资金面维持中性偏宽的格局下，经济增长阶段存在改善可能。考虑到债券收益率受资金面影响下行较多，因此我们对明年一季度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将继续积极参加权益及转债的一级申购，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87,195,526.19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19.54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87,195,526.19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19.54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296,745,778.40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296,745,778.40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5,776,103.70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56,447,379.30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446,164,787.59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1,860,551.00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12,584,551.06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2,203,188.00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7,439,752.45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2,248,551.00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0.56</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2,988,947.45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48,352,803.19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9,510,604.00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87,195,526.19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21.70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2,453,900</w:t>
            </w:r>
          </w:p>
        </w:tc>
        <w:tc>
          <w:tcPr>
            <w:vAlign w:val="center"/>
          </w:tcPr>
          <w:p>
            <w:pPr>
              <w:jc w:val="right"/>
            </w:pPr>
            <w:r>
              <w:rPr>
                <w:color w:val="000000"/>
                <w:sz w:val="24"/>
                <w:szCs w:val="24"/>
              </w:rPr>
              <w:t>14,428,932.00</w:t>
            </w:r>
          </w:p>
        </w:tc>
        <w:tc>
          <w:tcPr>
            <w:vAlign w:val="center"/>
          </w:tcPr>
          <w:p>
            <w:pPr>
              <w:jc w:val="right"/>
            </w:pPr>
            <w:r>
              <w:rPr>
                <w:color w:val="000000"/>
                <w:sz w:val="24"/>
                <w:szCs w:val="24"/>
              </w:rPr>
              <w:t>3.59</w:t>
            </w:r>
          </w:p>
        </w:tc>
      </w:tr>
      <w:tr>
        <w:tc>
          <w:tcPr>
            <w:vAlign w:val="center"/>
          </w:tcPr>
          <w:p>
            <w:pPr>
              <w:jc w:val="center"/>
            </w:pPr>
            <w:r>
              <w:rPr>
                <w:color w:val="000000"/>
                <w:sz w:val="24"/>
                <w:szCs w:val="24"/>
              </w:rPr>
              <w:t>2</w:t>
            </w:r>
          </w:p>
        </w:tc>
        <w:tc>
          <w:tcPr>
            <w:vAlign w:val="center"/>
          </w:tcPr>
          <w:p>
            <w:pPr>
              <w:jc w:val="center"/>
            </w:pPr>
            <w:r>
              <w:rPr>
                <w:color w:val="000000"/>
                <w:sz w:val="24"/>
                <w:szCs w:val="24"/>
              </w:rPr>
              <w:t>601939</w:t>
            </w:r>
          </w:p>
        </w:tc>
        <w:tc>
          <w:tcPr>
            <w:vAlign w:val="center"/>
          </w:tcPr>
          <w:p>
            <w:pPr>
              <w:jc w:val="center"/>
            </w:pPr>
            <w:r>
              <w:rPr>
                <w:color w:val="000000"/>
                <w:sz w:val="24"/>
                <w:szCs w:val="24"/>
              </w:rPr>
              <w:t>建设银行</w:t>
            </w:r>
          </w:p>
        </w:tc>
        <w:tc>
          <w:tcPr>
            <w:vAlign w:val="center"/>
          </w:tcPr>
          <w:p>
            <w:pPr>
              <w:jc w:val="right"/>
            </w:pPr>
            <w:r>
              <w:rPr>
                <w:color w:val="000000"/>
                <w:sz w:val="24"/>
                <w:szCs w:val="24"/>
              </w:rPr>
              <w:t>1,538,100</w:t>
            </w:r>
          </w:p>
        </w:tc>
        <w:tc>
          <w:tcPr>
            <w:vAlign w:val="center"/>
          </w:tcPr>
          <w:p>
            <w:pPr>
              <w:jc w:val="right"/>
            </w:pPr>
            <w:r>
              <w:rPr>
                <w:color w:val="000000"/>
                <w:sz w:val="24"/>
                <w:szCs w:val="24"/>
              </w:rPr>
              <w:t>11,120,463.00</w:t>
            </w:r>
          </w:p>
        </w:tc>
        <w:tc>
          <w:tcPr>
            <w:vAlign w:val="center"/>
          </w:tcPr>
          <w:p>
            <w:pPr>
              <w:jc w:val="right"/>
            </w:pPr>
            <w:r>
              <w:rPr>
                <w:color w:val="000000"/>
                <w:sz w:val="24"/>
                <w:szCs w:val="24"/>
              </w:rPr>
              <w:t>2.77</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587,800</w:t>
            </w:r>
          </w:p>
        </w:tc>
        <w:tc>
          <w:tcPr>
            <w:vAlign w:val="center"/>
          </w:tcPr>
          <w:p>
            <w:pPr>
              <w:jc w:val="right"/>
            </w:pPr>
            <w:r>
              <w:rPr>
                <w:color w:val="000000"/>
                <w:sz w:val="24"/>
                <w:szCs w:val="24"/>
              </w:rPr>
              <w:t>9,510,604.00</w:t>
            </w:r>
          </w:p>
        </w:tc>
        <w:tc>
          <w:tcPr>
            <w:vAlign w:val="center"/>
          </w:tcPr>
          <w:p>
            <w:pPr>
              <w:jc w:val="right"/>
            </w:pPr>
            <w:r>
              <w:rPr>
                <w:color w:val="000000"/>
                <w:sz w:val="24"/>
                <w:szCs w:val="24"/>
              </w:rPr>
              <w:t>2.37</w:t>
            </w:r>
          </w:p>
        </w:tc>
      </w:tr>
      <w:tr>
        <w:tc>
          <w:tcPr>
            <w:vAlign w:val="center"/>
          </w:tcPr>
          <w:p>
            <w:pPr>
              <w:jc w:val="center"/>
            </w:pPr>
            <w:r>
              <w:rPr>
                <w:color w:val="000000"/>
                <w:sz w:val="24"/>
                <w:szCs w:val="24"/>
              </w:rPr>
              <w:t>4</w:t>
            </w:r>
          </w:p>
        </w:tc>
        <w:tc>
          <w:tcPr>
            <w:vAlign w:val="center"/>
          </w:tcPr>
          <w:p>
            <w:pPr>
              <w:jc w:val="center"/>
            </w:pPr>
            <w:r>
              <w:rPr>
                <w:color w:val="000000"/>
                <w:sz w:val="24"/>
                <w:szCs w:val="24"/>
              </w:rPr>
              <w:t>601988</w:t>
            </w:r>
          </w:p>
        </w:tc>
        <w:tc>
          <w:tcPr>
            <w:vAlign w:val="center"/>
          </w:tcPr>
          <w:p>
            <w:pPr>
              <w:jc w:val="center"/>
            </w:pPr>
            <w:r>
              <w:rPr>
                <w:color w:val="000000"/>
                <w:sz w:val="24"/>
                <w:szCs w:val="24"/>
              </w:rPr>
              <w:t>中国银行</w:t>
            </w:r>
          </w:p>
        </w:tc>
        <w:tc>
          <w:tcPr>
            <w:vAlign w:val="center"/>
          </w:tcPr>
          <w:p>
            <w:pPr>
              <w:jc w:val="right"/>
            </w:pPr>
            <w:r>
              <w:rPr>
                <w:color w:val="000000"/>
                <w:sz w:val="24"/>
                <w:szCs w:val="24"/>
              </w:rPr>
              <w:t>2,394,800</w:t>
            </w:r>
          </w:p>
        </w:tc>
        <w:tc>
          <w:tcPr>
            <w:vAlign w:val="center"/>
          </w:tcPr>
          <w:p>
            <w:pPr>
              <w:jc w:val="right"/>
            </w:pPr>
            <w:r>
              <w:rPr>
                <w:color w:val="000000"/>
                <w:sz w:val="24"/>
                <w:szCs w:val="24"/>
              </w:rPr>
              <w:t>8,836,812.00</w:t>
            </w:r>
          </w:p>
        </w:tc>
        <w:tc>
          <w:tcPr>
            <w:vAlign w:val="center"/>
          </w:tcPr>
          <w:p>
            <w:pPr>
              <w:jc w:val="right"/>
            </w:pPr>
            <w:r>
              <w:rPr>
                <w:color w:val="000000"/>
                <w:sz w:val="24"/>
                <w:szCs w:val="24"/>
              </w:rPr>
              <w:t>2.20</w:t>
            </w:r>
          </w:p>
        </w:tc>
      </w:tr>
      <w:tr>
        <w:tc>
          <w:tcPr>
            <w:vAlign w:val="center"/>
          </w:tcPr>
          <w:p>
            <w:pPr>
              <w:jc w:val="center"/>
            </w:pPr>
            <w:r>
              <w:rPr>
                <w:color w:val="000000"/>
                <w:sz w:val="24"/>
                <w:szCs w:val="24"/>
              </w:rPr>
              <w:t>5</w:t>
            </w:r>
          </w:p>
        </w:tc>
        <w:tc>
          <w:tcPr>
            <w:vAlign w:val="center"/>
          </w:tcPr>
          <w:p>
            <w:pPr>
              <w:jc w:val="center"/>
            </w:pPr>
            <w:r>
              <w:rPr>
                <w:color w:val="000000"/>
                <w:sz w:val="24"/>
                <w:szCs w:val="24"/>
              </w:rPr>
              <w:t>601628</w:t>
            </w:r>
          </w:p>
        </w:tc>
        <w:tc>
          <w:tcPr>
            <w:vAlign w:val="center"/>
          </w:tcPr>
          <w:p>
            <w:pPr>
              <w:jc w:val="center"/>
            </w:pPr>
            <w:r>
              <w:rPr>
                <w:color w:val="000000"/>
                <w:sz w:val="24"/>
                <w:szCs w:val="24"/>
              </w:rPr>
              <w:t>中国人寿</w:t>
            </w:r>
          </w:p>
        </w:tc>
        <w:tc>
          <w:tcPr>
            <w:vAlign w:val="center"/>
          </w:tcPr>
          <w:p>
            <w:pPr>
              <w:jc w:val="right"/>
            </w:pPr>
            <w:r>
              <w:rPr>
                <w:color w:val="000000"/>
                <w:sz w:val="24"/>
                <w:szCs w:val="24"/>
              </w:rPr>
              <w:t>188,300</w:t>
            </w:r>
          </w:p>
        </w:tc>
        <w:tc>
          <w:tcPr>
            <w:vAlign w:val="center"/>
          </w:tcPr>
          <w:p>
            <w:pPr>
              <w:jc w:val="right"/>
            </w:pPr>
            <w:r>
              <w:rPr>
                <w:color w:val="000000"/>
                <w:sz w:val="24"/>
                <w:szCs w:val="24"/>
              </w:rPr>
              <w:t>6,566,021.00</w:t>
            </w:r>
          </w:p>
        </w:tc>
        <w:tc>
          <w:tcPr>
            <w:vAlign w:val="center"/>
          </w:tcPr>
          <w:p>
            <w:pPr>
              <w:jc w:val="right"/>
            </w:pPr>
            <w:r>
              <w:rPr>
                <w:color w:val="000000"/>
                <w:sz w:val="24"/>
                <w:szCs w:val="24"/>
              </w:rPr>
              <w:t>1.63</w:t>
            </w:r>
          </w:p>
        </w:tc>
      </w:tr>
      <w:tr>
        <w:tc>
          <w:tcPr>
            <w:vAlign w:val="center"/>
          </w:tcPr>
          <w:p>
            <w:pPr>
              <w:jc w:val="center"/>
            </w:pPr>
            <w:r>
              <w:rPr>
                <w:color w:val="000000"/>
                <w:sz w:val="24"/>
                <w:szCs w:val="24"/>
              </w:rPr>
              <w:t>6</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432,580</w:t>
            </w:r>
          </w:p>
        </w:tc>
        <w:tc>
          <w:tcPr>
            <w:vAlign w:val="center"/>
          </w:tcPr>
          <w:p>
            <w:pPr>
              <w:jc w:val="right"/>
            </w:pPr>
            <w:r>
              <w:rPr>
                <w:color w:val="000000"/>
                <w:sz w:val="24"/>
                <w:szCs w:val="24"/>
              </w:rPr>
              <w:t>6,185,894.00</w:t>
            </w:r>
          </w:p>
        </w:tc>
        <w:tc>
          <w:tcPr>
            <w:vAlign w:val="center"/>
          </w:tcPr>
          <w:p>
            <w:pPr>
              <w:jc w:val="right"/>
            </w:pPr>
            <w:r>
              <w:rPr>
                <w:color w:val="000000"/>
                <w:sz w:val="24"/>
                <w:szCs w:val="24"/>
              </w:rPr>
              <w:t>1.54</w:t>
            </w:r>
          </w:p>
        </w:tc>
      </w:tr>
      <w:tr>
        <w:tc>
          <w:tcPr>
            <w:vAlign w:val="center"/>
          </w:tcPr>
          <w:p>
            <w:pPr>
              <w:jc w:val="center"/>
            </w:pPr>
            <w:r>
              <w:rPr>
                <w:color w:val="000000"/>
                <w:sz w:val="24"/>
                <w:szCs w:val="24"/>
              </w:rPr>
              <w:t>7</w:t>
            </w:r>
          </w:p>
        </w:tc>
        <w:tc>
          <w:tcPr>
            <w:vAlign w:val="center"/>
          </w:tcPr>
          <w:p>
            <w:pPr>
              <w:jc w:val="center"/>
            </w:pPr>
            <w:r>
              <w:rPr>
                <w:color w:val="000000"/>
                <w:sz w:val="24"/>
                <w:szCs w:val="24"/>
              </w:rPr>
              <w:t>001965</w:t>
            </w:r>
          </w:p>
        </w:tc>
        <w:tc>
          <w:tcPr>
            <w:vAlign w:val="center"/>
          </w:tcPr>
          <w:p>
            <w:pPr>
              <w:jc w:val="center"/>
            </w:pPr>
            <w:r>
              <w:rPr>
                <w:color w:val="000000"/>
                <w:sz w:val="24"/>
                <w:szCs w:val="24"/>
              </w:rPr>
              <w:t>招商公路</w:t>
            </w:r>
          </w:p>
        </w:tc>
        <w:tc>
          <w:tcPr>
            <w:vAlign w:val="center"/>
          </w:tcPr>
          <w:p>
            <w:pPr>
              <w:jc w:val="right"/>
            </w:pPr>
            <w:r>
              <w:rPr>
                <w:color w:val="000000"/>
                <w:sz w:val="24"/>
                <w:szCs w:val="24"/>
              </w:rPr>
              <w:t>686,185</w:t>
            </w:r>
          </w:p>
        </w:tc>
        <w:tc>
          <w:tcPr>
            <w:vAlign w:val="center"/>
          </w:tcPr>
          <w:p>
            <w:pPr>
              <w:jc w:val="right"/>
            </w:pPr>
            <w:r>
              <w:rPr>
                <w:color w:val="000000"/>
                <w:sz w:val="24"/>
                <w:szCs w:val="24"/>
              </w:rPr>
              <w:t>6,017,842.45</w:t>
            </w:r>
          </w:p>
        </w:tc>
        <w:tc>
          <w:tcPr>
            <w:vAlign w:val="center"/>
          </w:tcPr>
          <w:p>
            <w:pPr>
              <w:jc w:val="right"/>
            </w:pPr>
            <w:r>
              <w:rPr>
                <w:color w:val="000000"/>
                <w:sz w:val="24"/>
                <w:szCs w:val="24"/>
              </w:rPr>
              <w:t>1.50</w:t>
            </w:r>
          </w:p>
        </w:tc>
      </w:tr>
      <w:tr>
        <w:tc>
          <w:tcPr>
            <w:vAlign w:val="center"/>
          </w:tcPr>
          <w:p>
            <w:pPr>
              <w:jc w:val="center"/>
            </w:pPr>
            <w:r>
              <w:rPr>
                <w:color w:val="000000"/>
                <w:sz w:val="24"/>
                <w:szCs w:val="24"/>
              </w:rPr>
              <w:t>8</w:t>
            </w:r>
          </w:p>
        </w:tc>
        <w:tc>
          <w:tcPr>
            <w:vAlign w:val="center"/>
          </w:tcPr>
          <w:p>
            <w:pPr>
              <w:jc w:val="center"/>
            </w:pPr>
            <w:r>
              <w:rPr>
                <w:color w:val="000000"/>
                <w:sz w:val="24"/>
                <w:szCs w:val="24"/>
              </w:rPr>
              <w:t>601336</w:t>
            </w:r>
          </w:p>
        </w:tc>
        <w:tc>
          <w:tcPr>
            <w:vAlign w:val="center"/>
          </w:tcPr>
          <w:p>
            <w:pPr>
              <w:jc w:val="center"/>
            </w:pPr>
            <w:r>
              <w:rPr>
                <w:color w:val="000000"/>
                <w:sz w:val="24"/>
                <w:szCs w:val="24"/>
              </w:rPr>
              <w:t>新华保险</w:t>
            </w:r>
          </w:p>
        </w:tc>
        <w:tc>
          <w:tcPr>
            <w:vAlign w:val="center"/>
          </w:tcPr>
          <w:p>
            <w:pPr>
              <w:jc w:val="right"/>
            </w:pPr>
            <w:r>
              <w:rPr>
                <w:color w:val="000000"/>
                <w:sz w:val="24"/>
                <w:szCs w:val="24"/>
              </w:rPr>
              <w:t>104,300</w:t>
            </w:r>
          </w:p>
        </w:tc>
        <w:tc>
          <w:tcPr>
            <w:vAlign w:val="center"/>
          </w:tcPr>
          <w:p>
            <w:pPr>
              <w:jc w:val="right"/>
            </w:pPr>
            <w:r>
              <w:rPr>
                <w:color w:val="000000"/>
                <w:sz w:val="24"/>
                <w:szCs w:val="24"/>
              </w:rPr>
              <w:t>5,126,345.00</w:t>
            </w:r>
          </w:p>
        </w:tc>
        <w:tc>
          <w:tcPr>
            <w:vAlign w:val="center"/>
          </w:tcPr>
          <w:p>
            <w:pPr>
              <w:jc w:val="right"/>
            </w:pPr>
            <w:r>
              <w:rPr>
                <w:color w:val="000000"/>
                <w:sz w:val="24"/>
                <w:szCs w:val="24"/>
              </w:rPr>
              <w:t>1.28</w:t>
            </w:r>
          </w:p>
        </w:tc>
      </w:tr>
      <w:tr>
        <w:tc>
          <w:tcPr>
            <w:vAlign w:val="center"/>
          </w:tcPr>
          <w:p>
            <w:pPr>
              <w:jc w:val="center"/>
            </w:pPr>
            <w:r>
              <w:rPr>
                <w:color w:val="000000"/>
                <w:sz w:val="24"/>
                <w:szCs w:val="24"/>
              </w:rPr>
              <w:t>9</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310,100</w:t>
            </w:r>
          </w:p>
        </w:tc>
        <w:tc>
          <w:tcPr>
            <w:vAlign w:val="center"/>
          </w:tcPr>
          <w:p>
            <w:pPr>
              <w:jc w:val="right"/>
            </w:pPr>
            <w:r>
              <w:rPr>
                <w:color w:val="000000"/>
                <w:sz w:val="24"/>
                <w:szCs w:val="24"/>
              </w:rPr>
              <w:t>3,625,069.00</w:t>
            </w:r>
          </w:p>
        </w:tc>
        <w:tc>
          <w:tcPr>
            <w:vAlign w:val="center"/>
          </w:tcPr>
          <w:p>
            <w:pPr>
              <w:jc w:val="right"/>
            </w:pPr>
            <w:r>
              <w:rPr>
                <w:color w:val="000000"/>
                <w:sz w:val="24"/>
                <w:szCs w:val="24"/>
              </w:rPr>
              <w:t>0.90</w:t>
            </w:r>
          </w:p>
        </w:tc>
      </w:tr>
      <w:tr>
        <w:tc>
          <w:tcPr>
            <w:vAlign w:val="center"/>
          </w:tcPr>
          <w:p>
            <w:pPr>
              <w:jc w:val="center"/>
            </w:pPr>
            <w:r>
              <w:rPr>
                <w:color w:val="000000"/>
                <w:sz w:val="24"/>
                <w:szCs w:val="24"/>
              </w:rPr>
              <w:t>10</w:t>
            </w:r>
          </w:p>
        </w:tc>
        <w:tc>
          <w:tcPr>
            <w:vAlign w:val="center"/>
          </w:tcPr>
          <w:p>
            <w:pPr>
              <w:jc w:val="center"/>
            </w:pPr>
            <w:r>
              <w:rPr>
                <w:color w:val="000000"/>
                <w:sz w:val="24"/>
                <w:szCs w:val="24"/>
              </w:rPr>
              <w:t>601658</w:t>
            </w:r>
          </w:p>
        </w:tc>
        <w:tc>
          <w:tcPr>
            <w:vAlign w:val="center"/>
          </w:tcPr>
          <w:p>
            <w:pPr>
              <w:jc w:val="center"/>
            </w:pPr>
            <w:r>
              <w:rPr>
                <w:color w:val="000000"/>
                <w:sz w:val="24"/>
                <w:szCs w:val="24"/>
              </w:rPr>
              <w:t>邮储银行</w:t>
            </w:r>
          </w:p>
        </w:tc>
        <w:tc>
          <w:tcPr>
            <w:vAlign w:val="center"/>
          </w:tcPr>
          <w:p>
            <w:pPr>
              <w:jc w:val="right"/>
            </w:pPr>
            <w:r>
              <w:rPr>
                <w:color w:val="000000"/>
                <w:sz w:val="24"/>
                <w:szCs w:val="24"/>
              </w:rPr>
              <w:t>398,289</w:t>
            </w:r>
          </w:p>
        </w:tc>
        <w:tc>
          <w:tcPr>
            <w:vAlign w:val="center"/>
          </w:tcPr>
          <w:p>
            <w:pPr>
              <w:jc w:val="right"/>
            </w:pPr>
            <w:r>
              <w:rPr>
                <w:color w:val="000000"/>
                <w:sz w:val="24"/>
                <w:szCs w:val="24"/>
              </w:rPr>
              <w:t>2,274,230.19</w:t>
            </w:r>
          </w:p>
        </w:tc>
        <w:tc>
          <w:tcPr>
            <w:vAlign w:val="center"/>
          </w:tcPr>
          <w:p>
            <w:pPr>
              <w:jc w:val="right"/>
            </w:pPr>
            <w:r>
              <w:rPr>
                <w:color w:val="000000"/>
                <w:sz w:val="24"/>
                <w:szCs w:val="24"/>
              </w:rPr>
              <w:t>0.57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22,253,660.00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22,253,660.00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181,305,000.00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45.12</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91,408,000.00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22.75</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1,779,118.40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0.44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296,745,778.40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73.84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018007</w:t>
            </w:r>
          </w:p>
        </w:tc>
        <w:tc>
          <w:tcPr>
            <w:vAlign w:val="center"/>
          </w:tcPr>
          <w:p>
            <w:pPr>
              <w:jc w:val="center"/>
            </w:pPr>
            <w:r>
              <w:rPr>
                <w:color w:val="000000"/>
                <w:sz w:val="24"/>
                <w:szCs w:val="24"/>
              </w:rPr>
              <w:t>国开1801</w:t>
            </w:r>
          </w:p>
        </w:tc>
        <w:tc>
          <w:tcPr>
            <w:vAlign w:val="center"/>
          </w:tcPr>
          <w:p>
            <w:pPr>
              <w:jc w:val="right"/>
            </w:pPr>
            <w:r>
              <w:rPr>
                <w:color w:val="000000"/>
                <w:sz w:val="24"/>
                <w:szCs w:val="24"/>
              </w:rPr>
              <w:t>220,880</w:t>
            </w:r>
          </w:p>
        </w:tc>
        <w:tc>
          <w:tcPr>
            <w:vAlign w:val="center"/>
          </w:tcPr>
          <w:p>
            <w:pPr>
              <w:jc w:val="right"/>
            </w:pPr>
            <w:r>
              <w:rPr>
                <w:color w:val="000000"/>
                <w:sz w:val="24"/>
                <w:szCs w:val="24"/>
              </w:rPr>
              <w:t>22,253,660.00</w:t>
            </w:r>
          </w:p>
        </w:tc>
        <w:tc>
          <w:tcPr>
            <w:vAlign w:val="center"/>
          </w:tcPr>
          <w:p>
            <w:pPr>
              <w:jc w:val="right"/>
            </w:pPr>
            <w:r>
              <w:rPr>
                <w:color w:val="000000"/>
                <w:sz w:val="24"/>
                <w:szCs w:val="24"/>
              </w:rPr>
              <w:t>5.54</w:t>
            </w:r>
          </w:p>
        </w:tc>
      </w:tr>
      <w:tr>
        <w:tc>
          <w:tcPr>
            <w:vAlign w:val="center"/>
          </w:tcPr>
          <w:p>
            <w:pPr>
              <w:jc w:val="center"/>
            </w:pPr>
            <w:r>
              <w:rPr>
                <w:color w:val="000000"/>
                <w:sz w:val="24"/>
                <w:szCs w:val="24"/>
              </w:rPr>
              <w:t>2</w:t>
            </w:r>
          </w:p>
        </w:tc>
        <w:tc>
          <w:tcPr>
            <w:vAlign w:val="center"/>
          </w:tcPr>
          <w:p>
            <w:pPr>
              <w:jc w:val="center"/>
            </w:pPr>
            <w:r>
              <w:rPr>
                <w:color w:val="000000"/>
                <w:sz w:val="24"/>
                <w:szCs w:val="24"/>
              </w:rPr>
              <w:t>101900125</w:t>
            </w:r>
          </w:p>
        </w:tc>
        <w:tc>
          <w:tcPr>
            <w:vAlign w:val="center"/>
          </w:tcPr>
          <w:p>
            <w:pPr>
              <w:jc w:val="center"/>
            </w:pPr>
            <w:r>
              <w:rPr>
                <w:color w:val="000000"/>
                <w:sz w:val="24"/>
                <w:szCs w:val="24"/>
              </w:rPr>
              <w:t>19国电MTN001</w:t>
            </w:r>
          </w:p>
        </w:tc>
        <w:tc>
          <w:tcPr>
            <w:vAlign w:val="center"/>
          </w:tcPr>
          <w:p>
            <w:pPr>
              <w:jc w:val="right"/>
            </w:pPr>
            <w:r>
              <w:rPr>
                <w:color w:val="000000"/>
                <w:sz w:val="24"/>
                <w:szCs w:val="24"/>
              </w:rPr>
              <w:t>200,000</w:t>
            </w:r>
          </w:p>
        </w:tc>
        <w:tc>
          <w:tcPr>
            <w:vAlign w:val="center"/>
          </w:tcPr>
          <w:p>
            <w:pPr>
              <w:jc w:val="right"/>
            </w:pPr>
            <w:r>
              <w:rPr>
                <w:color w:val="000000"/>
                <w:sz w:val="24"/>
                <w:szCs w:val="24"/>
              </w:rPr>
              <w:t>20,200,000.00</w:t>
            </w:r>
          </w:p>
        </w:tc>
        <w:tc>
          <w:tcPr>
            <w:vAlign w:val="center"/>
          </w:tcPr>
          <w:p>
            <w:pPr>
              <w:jc w:val="right"/>
            </w:pPr>
            <w:r>
              <w:rPr>
                <w:color w:val="000000"/>
                <w:sz w:val="24"/>
                <w:szCs w:val="24"/>
              </w:rPr>
              <w:t>5.03</w:t>
            </w:r>
          </w:p>
        </w:tc>
      </w:tr>
      <w:tr>
        <w:tc>
          <w:tcPr>
            <w:vAlign w:val="center"/>
          </w:tcPr>
          <w:p>
            <w:pPr>
              <w:jc w:val="center"/>
            </w:pPr>
            <w:r>
              <w:rPr>
                <w:color w:val="000000"/>
                <w:sz w:val="24"/>
                <w:szCs w:val="24"/>
              </w:rPr>
              <w:t>3</w:t>
            </w:r>
          </w:p>
        </w:tc>
        <w:tc>
          <w:tcPr>
            <w:vAlign w:val="center"/>
          </w:tcPr>
          <w:p>
            <w:pPr>
              <w:jc w:val="center"/>
            </w:pPr>
            <w:r>
              <w:rPr>
                <w:color w:val="000000"/>
                <w:sz w:val="24"/>
                <w:szCs w:val="24"/>
              </w:rPr>
              <w:t>143273</w:t>
            </w:r>
          </w:p>
        </w:tc>
        <w:tc>
          <w:tcPr>
            <w:vAlign w:val="center"/>
          </w:tcPr>
          <w:p>
            <w:pPr>
              <w:jc w:val="center"/>
            </w:pPr>
            <w:r>
              <w:rPr>
                <w:color w:val="000000"/>
                <w:sz w:val="24"/>
                <w:szCs w:val="24"/>
              </w:rPr>
              <w:t>17两江01</w:t>
            </w:r>
          </w:p>
        </w:tc>
        <w:tc>
          <w:tcPr>
            <w:vAlign w:val="center"/>
          </w:tcPr>
          <w:p>
            <w:pPr>
              <w:jc w:val="right"/>
            </w:pPr>
            <w:r>
              <w:rPr>
                <w:color w:val="000000"/>
                <w:sz w:val="24"/>
                <w:szCs w:val="24"/>
              </w:rPr>
              <w:t>200,000</w:t>
            </w:r>
          </w:p>
        </w:tc>
        <w:tc>
          <w:tcPr>
            <w:vAlign w:val="center"/>
          </w:tcPr>
          <w:p>
            <w:pPr>
              <w:jc w:val="right"/>
            </w:pPr>
            <w:r>
              <w:rPr>
                <w:color w:val="000000"/>
                <w:sz w:val="24"/>
                <w:szCs w:val="24"/>
              </w:rPr>
              <w:t>20,186,000.00</w:t>
            </w:r>
          </w:p>
        </w:tc>
        <w:tc>
          <w:tcPr>
            <w:vAlign w:val="center"/>
          </w:tcPr>
          <w:p>
            <w:pPr>
              <w:jc w:val="right"/>
            </w:pPr>
            <w:r>
              <w:rPr>
                <w:color w:val="000000"/>
                <w:sz w:val="24"/>
                <w:szCs w:val="24"/>
              </w:rPr>
              <w:t>5.02</w:t>
            </w:r>
          </w:p>
        </w:tc>
      </w:tr>
      <w:tr>
        <w:tc>
          <w:tcPr>
            <w:vAlign w:val="center"/>
          </w:tcPr>
          <w:p>
            <w:pPr>
              <w:jc w:val="center"/>
            </w:pPr>
            <w:r>
              <w:rPr>
                <w:color w:val="000000"/>
                <w:sz w:val="24"/>
                <w:szCs w:val="24"/>
              </w:rPr>
              <w:t>4</w:t>
            </w:r>
          </w:p>
        </w:tc>
        <w:tc>
          <w:tcPr>
            <w:vAlign w:val="center"/>
          </w:tcPr>
          <w:p>
            <w:pPr>
              <w:jc w:val="center"/>
            </w:pPr>
            <w:r>
              <w:rPr>
                <w:color w:val="000000"/>
                <w:sz w:val="24"/>
                <w:szCs w:val="24"/>
              </w:rPr>
              <w:t>136253</w:t>
            </w:r>
          </w:p>
        </w:tc>
        <w:tc>
          <w:tcPr>
            <w:vAlign w:val="center"/>
          </w:tcPr>
          <w:p>
            <w:pPr>
              <w:jc w:val="center"/>
            </w:pPr>
            <w:r>
              <w:rPr>
                <w:color w:val="000000"/>
                <w:sz w:val="24"/>
                <w:szCs w:val="24"/>
              </w:rPr>
              <w:t>16中油03</w:t>
            </w:r>
          </w:p>
        </w:tc>
        <w:tc>
          <w:tcPr>
            <w:vAlign w:val="center"/>
          </w:tcPr>
          <w:p>
            <w:pPr>
              <w:jc w:val="right"/>
            </w:pPr>
            <w:r>
              <w:rPr>
                <w:color w:val="000000"/>
                <w:sz w:val="24"/>
                <w:szCs w:val="24"/>
              </w:rPr>
              <w:t>200,000</w:t>
            </w:r>
          </w:p>
        </w:tc>
        <w:tc>
          <w:tcPr>
            <w:vAlign w:val="center"/>
          </w:tcPr>
          <w:p>
            <w:pPr>
              <w:jc w:val="right"/>
            </w:pPr>
            <w:r>
              <w:rPr>
                <w:color w:val="000000"/>
                <w:sz w:val="24"/>
                <w:szCs w:val="24"/>
              </w:rPr>
              <w:t>20,020,000.00</w:t>
            </w:r>
          </w:p>
        </w:tc>
        <w:tc>
          <w:tcPr>
            <w:vAlign w:val="center"/>
          </w:tcPr>
          <w:p>
            <w:pPr>
              <w:jc w:val="right"/>
            </w:pPr>
            <w:r>
              <w:rPr>
                <w:color w:val="000000"/>
                <w:sz w:val="24"/>
                <w:szCs w:val="24"/>
              </w:rPr>
              <w:t>4.98</w:t>
            </w:r>
          </w:p>
        </w:tc>
      </w:tr>
      <w:tr>
        <w:tc>
          <w:tcPr>
            <w:vAlign w:val="center"/>
          </w:tcPr>
          <w:p>
            <w:pPr>
              <w:jc w:val="center"/>
            </w:pPr>
            <w:r>
              <w:rPr>
                <w:color w:val="000000"/>
                <w:sz w:val="24"/>
                <w:szCs w:val="24"/>
              </w:rPr>
              <w:t>5</w:t>
            </w:r>
          </w:p>
        </w:tc>
        <w:tc>
          <w:tcPr>
            <w:vAlign w:val="center"/>
          </w:tcPr>
          <w:p>
            <w:pPr>
              <w:jc w:val="center"/>
            </w:pPr>
            <w:r>
              <w:rPr>
                <w:color w:val="000000"/>
                <w:sz w:val="24"/>
                <w:szCs w:val="24"/>
              </w:rPr>
              <w:t>136270</w:t>
            </w:r>
          </w:p>
        </w:tc>
        <w:tc>
          <w:tcPr>
            <w:vAlign w:val="center"/>
          </w:tcPr>
          <w:p>
            <w:pPr>
              <w:jc w:val="center"/>
            </w:pPr>
            <w:r>
              <w:rPr>
                <w:color w:val="000000"/>
                <w:sz w:val="24"/>
                <w:szCs w:val="24"/>
              </w:rPr>
              <w:t>16南网01</w:t>
            </w:r>
          </w:p>
        </w:tc>
        <w:tc>
          <w:tcPr>
            <w:vAlign w:val="center"/>
          </w:tcPr>
          <w:p>
            <w:pPr>
              <w:jc w:val="right"/>
            </w:pPr>
            <w:r>
              <w:rPr>
                <w:color w:val="000000"/>
                <w:sz w:val="24"/>
                <w:szCs w:val="24"/>
              </w:rPr>
              <w:t>200,000</w:t>
            </w:r>
          </w:p>
        </w:tc>
        <w:tc>
          <w:tcPr>
            <w:vAlign w:val="center"/>
          </w:tcPr>
          <w:p>
            <w:pPr>
              <w:jc w:val="right"/>
            </w:pPr>
            <w:r>
              <w:rPr>
                <w:color w:val="000000"/>
                <w:sz w:val="24"/>
                <w:szCs w:val="24"/>
              </w:rPr>
              <w:t>19,996,000.00</w:t>
            </w:r>
          </w:p>
        </w:tc>
        <w:tc>
          <w:tcPr>
            <w:vAlign w:val="center"/>
          </w:tcPr>
          <w:p>
            <w:pPr>
              <w:jc w:val="right"/>
            </w:pPr>
            <w:r>
              <w:rPr>
                <w:color w:val="000000"/>
                <w:sz w:val="24"/>
                <w:szCs w:val="24"/>
              </w:rPr>
              <w:t>4.98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54,589.29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1,068,984.31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5,322,640.70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50,001,165.00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56,447,379.30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601658</w:t>
            </w:r>
          </w:p>
        </w:tc>
        <w:tc>
          <w:tcPr>
            <w:vAlign w:val="center"/>
          </w:tcPr>
          <w:p>
            <w:pPr>
              <w:jc w:val="center"/>
            </w:pPr>
            <w:r>
              <w:rPr>
                <w:color w:val="000000"/>
                <w:sz w:val="24"/>
                <w:szCs w:val="24"/>
              </w:rPr>
              <w:t>邮储银行</w:t>
            </w:r>
          </w:p>
        </w:tc>
        <w:tc>
          <w:tcPr>
            <w:vAlign w:val="center"/>
          </w:tcPr>
          <w:p>
            <w:pPr>
              <w:jc w:val="right"/>
            </w:pPr>
            <w:r>
              <w:rPr>
                <w:color w:val="000000"/>
                <w:sz w:val="24"/>
                <w:szCs w:val="24"/>
              </w:rPr>
              <w:t>2,274,230.19</w:t>
            </w:r>
          </w:p>
        </w:tc>
        <w:tc>
          <w:tcPr>
            <w:vAlign w:val="center"/>
          </w:tcPr>
          <w:p>
            <w:pPr>
              <w:jc w:val="right"/>
            </w:pPr>
            <w:r>
              <w:rPr>
                <w:color w:val="000000"/>
                <w:sz w:val="24"/>
                <w:szCs w:val="24"/>
              </w:rPr>
              <w:t>0.57</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360,835,696.24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46,087,257.90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41,033,948.22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365,889,005.92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26.95%</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2019/10/1-2019/12/31</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98,589,174.80</w:t>
            </w:r>
          </w:p>
        </w:tc>
        <w:tc>
          <w:tcPr>
            <w:vAlign w:val="center"/>
          </w:tcPr>
          <w:p>
            <w:pPr>
              <w:jc w:val="center"/>
            </w:pPr>
            <w:r>
              <w:rPr>
                <w:rFonts w:ascii="宋体" w:hAnsi="宋体"/>
                <w:color w:val="000000"/>
                <w:kern w:val="0"/>
              </w:rPr>
              <w:t>26.95%</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8.2 影响投资者决策的其他重要信息</w:t>
      </w:r>
    </w:p>
    <w:p>
      <w:pPr>
        <w:spacing w:line="360" w:lineRule="auto"/>
        <w:ind w:firstLine="420" w:firstLineChars="200"/>
        <w:rPr>
          <w:rFonts w:ascii="宋体" w:hAnsi="宋体"/>
          <w:color w:val="000000"/>
        </w:rPr>
      </w:pPr>
      <w:r>
        <w:rPr>
          <w:rFonts w:ascii="宋体" w:hAnsi="宋体"/>
          <w:color w:val="000000"/>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2、为更好地满足广大投资者的投资需求，本基金管理人经与基金托管人中国农业银行股份有限公司协商一致，并报中国证券监督管理委员会备案，自2019年12月23日（含当日）起调整本基金的管理费率，并对本基金的基金合同、托管协议作相应修改。详情请查阅本基金管理人于2019年12月23日发布的《交银施罗德基金管理有限公司关于调整交银施罗德恒益灵活配置混合型证券投资基金管理费率并修改基金合同、托管协议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1、中国证监会准予交银施罗德恒益灵活配置混合型证券投资基金募集注册的文件；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2、《交银施罗德恒益灵活配置混合型证券投资基金基金合同》；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3、《交银施罗德恒益灵活配置混合型证券投资基金招募说明书》；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4、《交银施罗德恒益灵活配置混合型证券投资基金托管协议》；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5、关于申请募集注册交银施罗德恒益灵活配置混合型证券投资基金的法律意见书；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8、报告期内交银施罗德恒益灵活配置混合型证券投资基金在指定报刊上各项公告的原稿。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交银施罗德恒益灵活配置混合型证券投资基金2019年第4季度报告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