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交银施罗德安心收益债券型证券投资基金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中国民生银行股份有限公司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基金托管人中国民生银行股份有限公司根据本基金合同规定，于2020年1月20日复核了本报告中的财务指标、净值表现和投资组合报告等内容，保证复核内容不存在虚假记载、误导性陈述或者重大遗漏。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交银安心收益债券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2018年6月2日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85,452,645.06</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中债综合全价指数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481,343.28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957,922.76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0.0165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90,175,163.39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1.055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1.05%</w:t>
            </w:r>
          </w:p>
        </w:tc>
        <w:tc>
          <w:tcPr>
            <w:vAlign w:val="center"/>
          </w:tcPr>
          <w:p>
            <w:pPr>
              <w:jc w:val="center"/>
            </w:pPr>
            <w:r>
              <w:rPr>
                <w:color w:val="000000"/>
                <w:sz w:val="24"/>
                <w:szCs w:val="24"/>
              </w:rPr>
              <w:t>0.15%</w:t>
            </w:r>
          </w:p>
        </w:tc>
        <w:tc>
          <w:tcPr>
            <w:vAlign w:val="center"/>
          </w:tcPr>
          <w:p>
            <w:pPr>
              <w:jc w:val="center"/>
            </w:pPr>
            <w:r>
              <w:rPr>
                <w:color w:val="000000"/>
                <w:sz w:val="24"/>
                <w:szCs w:val="24"/>
              </w:rPr>
              <w:t>0.62%</w:t>
            </w:r>
          </w:p>
        </w:tc>
        <w:tc>
          <w:tcPr>
            <w:vAlign w:val="center"/>
          </w:tcPr>
          <w:p>
            <w:pPr>
              <w:jc w:val="center"/>
            </w:pPr>
            <w:r>
              <w:rPr>
                <w:color w:val="000000"/>
                <w:sz w:val="24"/>
                <w:szCs w:val="24"/>
              </w:rPr>
              <w:t>0.04%</w:t>
            </w:r>
          </w:p>
        </w:tc>
        <w:tc>
          <w:tcPr>
            <w:vAlign w:val="center"/>
          </w:tcPr>
          <w:p>
            <w:pPr>
              <w:jc w:val="center"/>
            </w:pPr>
            <w:r>
              <w:rPr>
                <w:color w:val="000000"/>
                <w:sz w:val="24"/>
                <w:szCs w:val="24"/>
              </w:rPr>
              <w:t>0.43%</w:t>
            </w:r>
          </w:p>
        </w:tc>
        <w:tc>
          <w:tcPr>
            <w:vAlign w:val="center"/>
          </w:tcPr>
          <w:p>
            <w:pPr>
              <w:jc w:val="center"/>
            </w:pPr>
            <w:r>
              <w:rPr>
                <w:color w:val="000000"/>
                <w:sz w:val="24"/>
                <w:szCs w:val="24"/>
              </w:rPr>
              <w:t>0.11%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交银施罗德安心收益债券型证券投资基金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2018年6月2日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和保本混合型证券投资基金转型而来。本基金转型日为2018年6月2日。本基金的投资转型期为交银施罗德荣和保本混合型证券投资基金保本周期到期期间截止日的次日（即2018年6月2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交银信用添利债券(LOF)、交银双利债券、交银双轮动债券、交银荣鑫灵活配置混合的基金经理</w:t>
            </w:r>
          </w:p>
        </w:tc>
        <w:tc>
          <w:tcPr>
            <w:vAlign w:val="center"/>
          </w:tcPr>
          <w:p>
            <w:pPr>
              <w:jc w:val="center"/>
            </w:pPr>
            <w:r>
              <w:rPr>
                <w:color w:val="000000"/>
                <w:sz w:val="24"/>
                <w:szCs w:val="24"/>
              </w:rPr>
              <w:t>2015-11-07</w:t>
            </w:r>
          </w:p>
        </w:tc>
        <w:tc>
          <w:tcPr>
            <w:vAlign w:val="center"/>
          </w:tcPr>
          <w:p>
            <w:pPr>
              <w:jc w:val="center"/>
            </w:pPr>
            <w:r>
              <w:rPr>
                <w:color w:val="000000"/>
                <w:sz w:val="24"/>
                <w:szCs w:val="24"/>
              </w:rPr>
              <w:t>2019-12-14</w:t>
            </w:r>
          </w:p>
        </w:tc>
        <w:tc>
          <w:tcPr>
            <w:vAlign w:val="center"/>
          </w:tcPr>
          <w:p>
            <w:pPr>
              <w:jc w:val="center"/>
            </w:pPr>
            <w:r>
              <w:rPr>
                <w:color w:val="000000"/>
                <w:sz w:val="24"/>
                <w:szCs w:val="24"/>
              </w:rPr>
              <w:t>9年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r>
        <w:tc>
          <w:tcPr>
            <w:vAlign w:val="center"/>
          </w:tcPr>
          <w:p>
            <w:pPr>
              <w:jc w:val="center"/>
            </w:pPr>
            <w:r>
              <w:rPr>
                <w:color w:val="000000"/>
                <w:sz w:val="24"/>
                <w:szCs w:val="24"/>
              </w:rPr>
              <w:t>王艺伟</w:t>
            </w:r>
          </w:p>
        </w:tc>
        <w:tc>
          <w:tcPr>
            <w:vAlign w:val="center"/>
          </w:tcPr>
          <w:p>
            <w:pPr>
              <w:jc w:val="center"/>
            </w:pPr>
            <w:r>
              <w:rPr>
                <w:color w:val="000000"/>
                <w:sz w:val="24"/>
                <w:szCs w:val="24"/>
              </w:rPr>
              <w:t>交银安心收益债券、交银荣鑫灵活配置混合的基金经理</w:t>
            </w:r>
          </w:p>
        </w:tc>
        <w:tc>
          <w:tcPr>
            <w:vAlign w:val="center"/>
          </w:tcPr>
          <w:p>
            <w:pPr>
              <w:jc w:val="center"/>
            </w:pPr>
            <w:r>
              <w:rPr>
                <w:color w:val="000000"/>
                <w:sz w:val="24"/>
                <w:szCs w:val="24"/>
              </w:rPr>
              <w:t>2019-11-28</w:t>
            </w:r>
          </w:p>
        </w:tc>
        <w:tc>
          <w:tcPr>
            <w:vAlign w:val="center"/>
          </w:tcPr>
          <w:p>
            <w:pPr>
              <w:jc w:val="center"/>
            </w:pPr>
            <w:r>
              <w:rPr>
                <w:color w:val="000000"/>
                <w:sz w:val="24"/>
                <w:szCs w:val="24"/>
              </w:rPr>
              <w:t>-</w:t>
            </w:r>
          </w:p>
        </w:tc>
        <w:tc>
          <w:tcPr>
            <w:vAlign w:val="center"/>
          </w:tcPr>
          <w:p>
            <w:pPr>
              <w:jc w:val="center"/>
            </w:pPr>
            <w:r>
              <w:rPr>
                <w:color w:val="000000"/>
                <w:sz w:val="24"/>
                <w:szCs w:val="24"/>
              </w:rPr>
              <w:t>7年</w:t>
            </w:r>
          </w:p>
        </w:tc>
        <w:tc>
          <w:tcPr>
            <w:vAlign w:val="center"/>
          </w:tcPr>
          <w:p>
            <w:pPr>
              <w:jc w:val="both"/>
            </w:pPr>
            <w:r>
              <w:rPr>
                <w:color w:val="000000"/>
                <w:sz w:val="24"/>
                <w:szCs w:val="24"/>
              </w:rPr>
              <w:t>王艺伟女士，北京大学经济学硕士，吉林大学经济学学士、理学学士。2012年-2014年任光大证券研究所宏观分析师。2014年9月加入交银施罗德基金管理有限公司，历任研究员、研究部助理总经理、基金经理助理。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受通胀预期、资金面等因素影响，收益率呈现倒V走势。十月，因通胀上行压力及社融数据较强，市场恐慌资金面收紧，债市持续回调。十一月伊始，央行持续降低政策利率，市场资金面较为宽松，债市收益率不断下行。进入十二月，资金面宽松持续，但受海外市场风险因素阶段缓解、国内逆周期调控政策上行预期影响，长端债券收益率震荡走平，中短久期债券收益率持续下行。</w:t>
      </w:r>
    </w:p>
    <w:p>
      <w:pPr>
        <w:spacing w:before="29" w:line="288" w:lineRule="auto"/>
        <w:ind w:firstLine="480" w:firstLineChars="200"/>
        <w:rPr>
          <w:color w:val="000000"/>
          <w:sz w:val="24"/>
          <w:szCs w:val="24"/>
        </w:rPr>
      </w:pPr>
      <w:r>
        <w:rPr>
          <w:color w:val="000000"/>
          <w:sz w:val="24"/>
          <w:szCs w:val="24"/>
        </w:rPr>
        <w:t>四季度，权益市场表现相对强势，科技主线延续强势，地产和基建相关板块也有不错表现。指数层面看，成长优于大盘。从行业看，建筑、电子、家电以及传媒等板块领涨，军工及部分强周期板块表现相对弱势。</w:t>
      </w:r>
    </w:p>
    <w:p>
      <w:pPr>
        <w:spacing w:before="29" w:line="288" w:lineRule="auto"/>
        <w:ind w:firstLine="480" w:firstLineChars="200"/>
        <w:rPr>
          <w:color w:val="000000"/>
          <w:sz w:val="24"/>
          <w:szCs w:val="24"/>
        </w:rPr>
      </w:pPr>
      <w:r>
        <w:rPr>
          <w:color w:val="000000"/>
          <w:sz w:val="24"/>
          <w:szCs w:val="24"/>
        </w:rPr>
        <w:t>我们认为，四季度债市以震荡为主，并持续看好科技板块，以及低估值受益于逆周期调控政策相关行业的机会。因此在基金操作中，对于债券部分我们维持中短久期利率债配置，以获取票息及骑乘收益。权益方面，组合秉承稳健收益的原则，逐步加仓回撤空间相对较小，业绩存在改善的个股，主要为周期方向。此外，组合积极参与转债一级申购，以增厚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尽管经济内生企稳动力不强的情况难以扭转，中期经济承压的格局未变，但在宏观逆周期调控政策发力，资金面维持中性偏宽的格局下，短期经济增长存在改善可能。考虑到债券收益率受资金面影响下行较多，因此我们对明年一季度债券市场维持震荡观望的观点，底仓配置一至两年利率债获取骑乘收益，并留出部分头寸等待更好的波段机会。权益方面，前期我们从绝对收益角度积极积累了部分安全垫，策略相对保守一些，尽管回撤很小，进攻性有限。后期我们继续秉承稳健收益的原则，但会在标的选取及仓位选择方面更加积极，以增加组合进攻性。在行业的选择中，我们会关注周期板块盈利存在改善的行业，以及密切关注电子、软件等领域优质个股的回调布局机会。我们将继续积极参加转债及优质权益的一级申购，以期增厚组合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本基金本报告期内曾连续二十个工作日以上出现基金资产净值低于5000万元的情形，截至本报告期末，本基金基金资产净值已高于5000万元。</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11,766,245.02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12.44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11,766,245.02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12.44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74,298,056.00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74,298,056.00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700,000.00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0.74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916,867.92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0.97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6,903,233.60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7.30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94,584,402.54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2,406,365.02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942,552.00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2,862,034.00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272,392.00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2,754,460.00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2,526,130.00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2,312.00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11,766,245.02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13.05</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78,500</w:t>
            </w:r>
          </w:p>
        </w:tc>
        <w:tc>
          <w:tcPr>
            <w:vAlign w:val="center"/>
          </w:tcPr>
          <w:p>
            <w:pPr>
              <w:jc w:val="right"/>
            </w:pPr>
            <w:r>
              <w:rPr>
                <w:color w:val="000000"/>
                <w:sz w:val="24"/>
                <w:szCs w:val="24"/>
              </w:rPr>
              <w:t>2,526,130.00</w:t>
            </w:r>
          </w:p>
        </w:tc>
        <w:tc>
          <w:tcPr>
            <w:vAlign w:val="center"/>
          </w:tcPr>
          <w:p>
            <w:pPr>
              <w:jc w:val="right"/>
            </w:pPr>
            <w:r>
              <w:rPr>
                <w:color w:val="000000"/>
                <w:sz w:val="24"/>
                <w:szCs w:val="24"/>
              </w:rPr>
              <w:t>2.80</w:t>
            </w:r>
          </w:p>
        </w:tc>
      </w:tr>
      <w:tr>
        <w:tc>
          <w:tcPr>
            <w:vAlign w:val="center"/>
          </w:tcPr>
          <w:p>
            <w:pPr>
              <w:jc w:val="center"/>
            </w:pPr>
            <w:r>
              <w:rPr>
                <w:color w:val="000000"/>
                <w:sz w:val="24"/>
                <w:szCs w:val="24"/>
              </w:rPr>
              <w:t>2</w:t>
            </w:r>
          </w:p>
        </w:tc>
        <w:tc>
          <w:tcPr>
            <w:vAlign w:val="center"/>
          </w:tcPr>
          <w:p>
            <w:pPr>
              <w:jc w:val="center"/>
            </w:pPr>
            <w:r>
              <w:rPr>
                <w:color w:val="000000"/>
                <w:sz w:val="24"/>
                <w:szCs w:val="24"/>
              </w:rPr>
              <w:t>601111</w:t>
            </w:r>
          </w:p>
        </w:tc>
        <w:tc>
          <w:tcPr>
            <w:vAlign w:val="center"/>
          </w:tcPr>
          <w:p>
            <w:pPr>
              <w:jc w:val="center"/>
            </w:pPr>
            <w:r>
              <w:rPr>
                <w:color w:val="000000"/>
                <w:sz w:val="24"/>
                <w:szCs w:val="24"/>
              </w:rPr>
              <w:t>中国国航</w:t>
            </w:r>
          </w:p>
        </w:tc>
        <w:tc>
          <w:tcPr>
            <w:vAlign w:val="center"/>
          </w:tcPr>
          <w:p>
            <w:pPr>
              <w:jc w:val="right"/>
            </w:pPr>
            <w:r>
              <w:rPr>
                <w:color w:val="000000"/>
                <w:sz w:val="24"/>
                <w:szCs w:val="24"/>
              </w:rPr>
              <w:t>145,500</w:t>
            </w:r>
          </w:p>
        </w:tc>
        <w:tc>
          <w:tcPr>
            <w:vAlign w:val="center"/>
          </w:tcPr>
          <w:p>
            <w:pPr>
              <w:jc w:val="right"/>
            </w:pPr>
            <w:r>
              <w:rPr>
                <w:color w:val="000000"/>
                <w:sz w:val="24"/>
                <w:szCs w:val="24"/>
              </w:rPr>
              <w:t>1,409,895.00</w:t>
            </w:r>
          </w:p>
        </w:tc>
        <w:tc>
          <w:tcPr>
            <w:vAlign w:val="center"/>
          </w:tcPr>
          <w:p>
            <w:pPr>
              <w:jc w:val="right"/>
            </w:pPr>
            <w:r>
              <w:rPr>
                <w:color w:val="000000"/>
                <w:sz w:val="24"/>
                <w:szCs w:val="24"/>
              </w:rPr>
              <w:t>1.56</w:t>
            </w:r>
          </w:p>
        </w:tc>
      </w:tr>
      <w:tr>
        <w:tc>
          <w:tcPr>
            <w:vAlign w:val="center"/>
          </w:tcPr>
          <w:p>
            <w:pPr>
              <w:jc w:val="center"/>
            </w:pPr>
            <w:r>
              <w:rPr>
                <w:color w:val="000000"/>
                <w:sz w:val="24"/>
                <w:szCs w:val="24"/>
              </w:rPr>
              <w:t>3</w:t>
            </w:r>
          </w:p>
        </w:tc>
        <w:tc>
          <w:tcPr>
            <w:vAlign w:val="center"/>
          </w:tcPr>
          <w:p>
            <w:pPr>
              <w:jc w:val="center"/>
            </w:pPr>
            <w:r>
              <w:rPr>
                <w:color w:val="000000"/>
                <w:sz w:val="24"/>
                <w:szCs w:val="24"/>
              </w:rPr>
              <w:t>601658</w:t>
            </w:r>
          </w:p>
        </w:tc>
        <w:tc>
          <w:tcPr>
            <w:vAlign w:val="center"/>
          </w:tcPr>
          <w:p>
            <w:pPr>
              <w:jc w:val="center"/>
            </w:pPr>
            <w:r>
              <w:rPr>
                <w:color w:val="000000"/>
                <w:sz w:val="24"/>
                <w:szCs w:val="24"/>
              </w:rPr>
              <w:t>邮储银行</w:t>
            </w:r>
          </w:p>
        </w:tc>
        <w:tc>
          <w:tcPr>
            <w:vAlign w:val="center"/>
          </w:tcPr>
          <w:p>
            <w:pPr>
              <w:jc w:val="right"/>
            </w:pPr>
            <w:r>
              <w:rPr>
                <w:color w:val="000000"/>
                <w:sz w:val="24"/>
                <w:szCs w:val="24"/>
              </w:rPr>
              <w:t>231,100</w:t>
            </w:r>
          </w:p>
        </w:tc>
        <w:tc>
          <w:tcPr>
            <w:vAlign w:val="center"/>
          </w:tcPr>
          <w:p>
            <w:pPr>
              <w:jc w:val="right"/>
            </w:pPr>
            <w:r>
              <w:rPr>
                <w:color w:val="000000"/>
                <w:sz w:val="24"/>
                <w:szCs w:val="24"/>
              </w:rPr>
              <w:t>1,354,246.00</w:t>
            </w:r>
          </w:p>
        </w:tc>
        <w:tc>
          <w:tcPr>
            <w:vAlign w:val="center"/>
          </w:tcPr>
          <w:p>
            <w:pPr>
              <w:jc w:val="right"/>
            </w:pPr>
            <w:r>
              <w:rPr>
                <w:color w:val="000000"/>
                <w:sz w:val="24"/>
                <w:szCs w:val="24"/>
              </w:rPr>
              <w:t>1.50</w:t>
            </w:r>
          </w:p>
        </w:tc>
      </w:tr>
      <w:tr>
        <w:tc>
          <w:tcPr>
            <w:vAlign w:val="center"/>
          </w:tcPr>
          <w:p>
            <w:pPr>
              <w:jc w:val="center"/>
            </w:pPr>
            <w:r>
              <w:rPr>
                <w:color w:val="000000"/>
                <w:sz w:val="24"/>
                <w:szCs w:val="24"/>
              </w:rPr>
              <w:t>4</w:t>
            </w:r>
          </w:p>
        </w:tc>
        <w:tc>
          <w:tcPr>
            <w:vAlign w:val="center"/>
          </w:tcPr>
          <w:p>
            <w:pPr>
              <w:jc w:val="center"/>
            </w:pPr>
            <w:r>
              <w:rPr>
                <w:color w:val="000000"/>
                <w:sz w:val="24"/>
                <w:szCs w:val="24"/>
              </w:rPr>
              <w:t>600795</w:t>
            </w:r>
          </w:p>
        </w:tc>
        <w:tc>
          <w:tcPr>
            <w:vAlign w:val="center"/>
          </w:tcPr>
          <w:p>
            <w:pPr>
              <w:jc w:val="center"/>
            </w:pPr>
            <w:r>
              <w:rPr>
                <w:color w:val="000000"/>
                <w:sz w:val="24"/>
                <w:szCs w:val="24"/>
              </w:rPr>
              <w:t>国电电力</w:t>
            </w:r>
          </w:p>
        </w:tc>
        <w:tc>
          <w:tcPr>
            <w:vAlign w:val="center"/>
          </w:tcPr>
          <w:p>
            <w:pPr>
              <w:jc w:val="right"/>
            </w:pPr>
            <w:r>
              <w:rPr>
                <w:color w:val="000000"/>
                <w:sz w:val="24"/>
                <w:szCs w:val="24"/>
              </w:rPr>
              <w:t>402,800</w:t>
            </w:r>
          </w:p>
        </w:tc>
        <w:tc>
          <w:tcPr>
            <w:vAlign w:val="center"/>
          </w:tcPr>
          <w:p>
            <w:pPr>
              <w:jc w:val="right"/>
            </w:pPr>
            <w:r>
              <w:rPr>
                <w:color w:val="000000"/>
                <w:sz w:val="24"/>
                <w:szCs w:val="24"/>
              </w:rPr>
              <w:t>942,552.00</w:t>
            </w:r>
          </w:p>
        </w:tc>
        <w:tc>
          <w:tcPr>
            <w:vAlign w:val="center"/>
          </w:tcPr>
          <w:p>
            <w:pPr>
              <w:jc w:val="right"/>
            </w:pPr>
            <w:r>
              <w:rPr>
                <w:color w:val="000000"/>
                <w:sz w:val="24"/>
                <w:szCs w:val="24"/>
              </w:rPr>
              <w:t>1.05</w:t>
            </w:r>
          </w:p>
        </w:tc>
      </w:tr>
      <w:tr>
        <w:tc>
          <w:tcPr>
            <w:vAlign w:val="center"/>
          </w:tcPr>
          <w:p>
            <w:pPr>
              <w:jc w:val="center"/>
            </w:pPr>
            <w:r>
              <w:rPr>
                <w:color w:val="000000"/>
                <w:sz w:val="24"/>
                <w:szCs w:val="24"/>
              </w:rPr>
              <w:t>5</w:t>
            </w:r>
          </w:p>
        </w:tc>
        <w:tc>
          <w:tcPr>
            <w:vAlign w:val="center"/>
          </w:tcPr>
          <w:p>
            <w:pPr>
              <w:jc w:val="center"/>
            </w:pPr>
            <w:r>
              <w:rPr>
                <w:color w:val="000000"/>
                <w:sz w:val="24"/>
                <w:szCs w:val="24"/>
              </w:rPr>
              <w:t>601288</w:t>
            </w:r>
          </w:p>
        </w:tc>
        <w:tc>
          <w:tcPr>
            <w:vAlign w:val="center"/>
          </w:tcPr>
          <w:p>
            <w:pPr>
              <w:jc w:val="center"/>
            </w:pPr>
            <w:r>
              <w:rPr>
                <w:color w:val="000000"/>
                <w:sz w:val="24"/>
                <w:szCs w:val="24"/>
              </w:rPr>
              <w:t>农业银行</w:t>
            </w:r>
          </w:p>
        </w:tc>
        <w:tc>
          <w:tcPr>
            <w:vAlign w:val="center"/>
          </w:tcPr>
          <w:p>
            <w:pPr>
              <w:jc w:val="right"/>
            </w:pPr>
            <w:r>
              <w:rPr>
                <w:color w:val="000000"/>
                <w:sz w:val="24"/>
                <w:szCs w:val="24"/>
              </w:rPr>
              <w:t>243,600</w:t>
            </w:r>
          </w:p>
        </w:tc>
        <w:tc>
          <w:tcPr>
            <w:vAlign w:val="center"/>
          </w:tcPr>
          <w:p>
            <w:pPr>
              <w:jc w:val="right"/>
            </w:pPr>
            <w:r>
              <w:rPr>
                <w:color w:val="000000"/>
                <w:sz w:val="24"/>
                <w:szCs w:val="24"/>
              </w:rPr>
              <w:t>898,884.00</w:t>
            </w:r>
          </w:p>
        </w:tc>
        <w:tc>
          <w:tcPr>
            <w:vAlign w:val="center"/>
          </w:tcPr>
          <w:p>
            <w:pPr>
              <w:jc w:val="right"/>
            </w:pPr>
            <w:r>
              <w:rPr>
                <w:color w:val="000000"/>
                <w:sz w:val="24"/>
                <w:szCs w:val="24"/>
              </w:rPr>
              <w:t>1.00</w:t>
            </w:r>
          </w:p>
        </w:tc>
      </w:tr>
      <w:tr>
        <w:tc>
          <w:tcPr>
            <w:vAlign w:val="center"/>
          </w:tcPr>
          <w:p>
            <w:pPr>
              <w:jc w:val="center"/>
            </w:pPr>
            <w:r>
              <w:rPr>
                <w:color w:val="000000"/>
                <w:sz w:val="24"/>
                <w:szCs w:val="24"/>
              </w:rPr>
              <w:t>6</w:t>
            </w:r>
          </w:p>
        </w:tc>
        <w:tc>
          <w:tcPr>
            <w:vAlign w:val="center"/>
          </w:tcPr>
          <w:p>
            <w:pPr>
              <w:jc w:val="center"/>
            </w:pPr>
            <w:r>
              <w:rPr>
                <w:color w:val="000000"/>
                <w:sz w:val="24"/>
                <w:szCs w:val="24"/>
              </w:rPr>
              <w:t>002698</w:t>
            </w:r>
          </w:p>
        </w:tc>
        <w:tc>
          <w:tcPr>
            <w:vAlign w:val="center"/>
          </w:tcPr>
          <w:p>
            <w:pPr>
              <w:jc w:val="center"/>
            </w:pPr>
            <w:r>
              <w:rPr>
                <w:color w:val="000000"/>
                <w:sz w:val="24"/>
                <w:szCs w:val="24"/>
              </w:rPr>
              <w:t>博实股份</w:t>
            </w:r>
          </w:p>
        </w:tc>
        <w:tc>
          <w:tcPr>
            <w:vAlign w:val="center"/>
          </w:tcPr>
          <w:p>
            <w:pPr>
              <w:jc w:val="right"/>
            </w:pPr>
            <w:r>
              <w:rPr>
                <w:color w:val="000000"/>
                <w:sz w:val="24"/>
                <w:szCs w:val="24"/>
              </w:rPr>
              <w:t>85,300</w:t>
            </w:r>
          </w:p>
        </w:tc>
        <w:tc>
          <w:tcPr>
            <w:vAlign w:val="center"/>
          </w:tcPr>
          <w:p>
            <w:pPr>
              <w:jc w:val="right"/>
            </w:pPr>
            <w:r>
              <w:rPr>
                <w:color w:val="000000"/>
                <w:sz w:val="24"/>
                <w:szCs w:val="24"/>
              </w:rPr>
              <w:t>897,356.00</w:t>
            </w:r>
          </w:p>
        </w:tc>
        <w:tc>
          <w:tcPr>
            <w:vAlign w:val="center"/>
          </w:tcPr>
          <w:p>
            <w:pPr>
              <w:jc w:val="right"/>
            </w:pPr>
            <w:r>
              <w:rPr>
                <w:color w:val="000000"/>
                <w:sz w:val="24"/>
                <w:szCs w:val="24"/>
              </w:rPr>
              <w:t>1.00</w:t>
            </w:r>
          </w:p>
        </w:tc>
      </w:tr>
      <w:tr>
        <w:tc>
          <w:tcPr>
            <w:vAlign w:val="center"/>
          </w:tcPr>
          <w:p>
            <w:pPr>
              <w:jc w:val="center"/>
            </w:pPr>
            <w:r>
              <w:rPr>
                <w:color w:val="000000"/>
                <w:sz w:val="24"/>
                <w:szCs w:val="24"/>
              </w:rPr>
              <w:t>7</w:t>
            </w:r>
          </w:p>
        </w:tc>
        <w:tc>
          <w:tcPr>
            <w:vAlign w:val="center"/>
          </w:tcPr>
          <w:p>
            <w:pPr>
              <w:jc w:val="center"/>
            </w:pPr>
            <w:r>
              <w:rPr>
                <w:color w:val="000000"/>
                <w:sz w:val="24"/>
                <w:szCs w:val="24"/>
              </w:rPr>
              <w:t>603885</w:t>
            </w:r>
          </w:p>
        </w:tc>
        <w:tc>
          <w:tcPr>
            <w:vAlign w:val="center"/>
          </w:tcPr>
          <w:p>
            <w:pPr>
              <w:jc w:val="center"/>
            </w:pPr>
            <w:r>
              <w:rPr>
                <w:color w:val="000000"/>
                <w:sz w:val="24"/>
                <w:szCs w:val="24"/>
              </w:rPr>
              <w:t>吉祥航空</w:t>
            </w:r>
          </w:p>
        </w:tc>
        <w:tc>
          <w:tcPr>
            <w:vAlign w:val="center"/>
          </w:tcPr>
          <w:p>
            <w:pPr>
              <w:jc w:val="right"/>
            </w:pPr>
            <w:r>
              <w:rPr>
                <w:color w:val="000000"/>
                <w:sz w:val="24"/>
                <w:szCs w:val="24"/>
              </w:rPr>
              <w:t>59,700</w:t>
            </w:r>
          </w:p>
        </w:tc>
        <w:tc>
          <w:tcPr>
            <w:vAlign w:val="center"/>
          </w:tcPr>
          <w:p>
            <w:pPr>
              <w:jc w:val="right"/>
            </w:pPr>
            <w:r>
              <w:rPr>
                <w:color w:val="000000"/>
                <w:sz w:val="24"/>
                <w:szCs w:val="24"/>
              </w:rPr>
              <w:t>895,500.00</w:t>
            </w:r>
          </w:p>
        </w:tc>
        <w:tc>
          <w:tcPr>
            <w:vAlign w:val="center"/>
          </w:tcPr>
          <w:p>
            <w:pPr>
              <w:jc w:val="right"/>
            </w:pPr>
            <w:r>
              <w:rPr>
                <w:color w:val="000000"/>
                <w:sz w:val="24"/>
                <w:szCs w:val="24"/>
              </w:rPr>
              <w:t>0.99</w:t>
            </w:r>
          </w:p>
        </w:tc>
      </w:tr>
      <w:tr>
        <w:tc>
          <w:tcPr>
            <w:vAlign w:val="center"/>
          </w:tcPr>
          <w:p>
            <w:pPr>
              <w:jc w:val="center"/>
            </w:pPr>
            <w:r>
              <w:rPr>
                <w:color w:val="000000"/>
                <w:sz w:val="24"/>
                <w:szCs w:val="24"/>
              </w:rPr>
              <w:t>8</w:t>
            </w:r>
          </w:p>
        </w:tc>
        <w:tc>
          <w:tcPr>
            <w:vAlign w:val="center"/>
          </w:tcPr>
          <w:p>
            <w:pPr>
              <w:jc w:val="center"/>
            </w:pPr>
            <w:r>
              <w:rPr>
                <w:color w:val="000000"/>
                <w:sz w:val="24"/>
                <w:szCs w:val="24"/>
              </w:rPr>
              <w:t>601058</w:t>
            </w:r>
          </w:p>
        </w:tc>
        <w:tc>
          <w:tcPr>
            <w:vAlign w:val="center"/>
          </w:tcPr>
          <w:p>
            <w:pPr>
              <w:jc w:val="center"/>
            </w:pPr>
            <w:r>
              <w:rPr>
                <w:color w:val="000000"/>
                <w:sz w:val="24"/>
                <w:szCs w:val="24"/>
              </w:rPr>
              <w:t>赛轮轮胎</w:t>
            </w:r>
          </w:p>
        </w:tc>
        <w:tc>
          <w:tcPr>
            <w:vAlign w:val="center"/>
          </w:tcPr>
          <w:p>
            <w:pPr>
              <w:jc w:val="right"/>
            </w:pPr>
            <w:r>
              <w:rPr>
                <w:color w:val="000000"/>
                <w:sz w:val="24"/>
                <w:szCs w:val="24"/>
              </w:rPr>
              <w:t>174,000</w:t>
            </w:r>
          </w:p>
        </w:tc>
        <w:tc>
          <w:tcPr>
            <w:vAlign w:val="center"/>
          </w:tcPr>
          <w:p>
            <w:pPr>
              <w:jc w:val="right"/>
            </w:pPr>
            <w:r>
              <w:rPr>
                <w:color w:val="000000"/>
                <w:sz w:val="24"/>
                <w:szCs w:val="24"/>
              </w:rPr>
              <w:t>777,780.00</w:t>
            </w:r>
          </w:p>
        </w:tc>
        <w:tc>
          <w:tcPr>
            <w:vAlign w:val="center"/>
          </w:tcPr>
          <w:p>
            <w:pPr>
              <w:jc w:val="right"/>
            </w:pPr>
            <w:r>
              <w:rPr>
                <w:color w:val="000000"/>
                <w:sz w:val="24"/>
                <w:szCs w:val="24"/>
              </w:rPr>
              <w:t>0.86</w:t>
            </w:r>
          </w:p>
        </w:tc>
      </w:tr>
      <w:tr>
        <w:tc>
          <w:tcPr>
            <w:vAlign w:val="center"/>
          </w:tcPr>
          <w:p>
            <w:pPr>
              <w:jc w:val="center"/>
            </w:pPr>
            <w:r>
              <w:rPr>
                <w:color w:val="000000"/>
                <w:sz w:val="24"/>
                <w:szCs w:val="24"/>
              </w:rPr>
              <w:t>9</w:t>
            </w:r>
          </w:p>
        </w:tc>
        <w:tc>
          <w:tcPr>
            <w:vAlign w:val="center"/>
          </w:tcPr>
          <w:p>
            <w:pPr>
              <w:jc w:val="center"/>
            </w:pPr>
            <w:r>
              <w:rPr>
                <w:color w:val="000000"/>
                <w:sz w:val="24"/>
                <w:szCs w:val="24"/>
              </w:rPr>
              <w:t>601336</w:t>
            </w:r>
          </w:p>
        </w:tc>
        <w:tc>
          <w:tcPr>
            <w:vAlign w:val="center"/>
          </w:tcPr>
          <w:p>
            <w:pPr>
              <w:jc w:val="center"/>
            </w:pPr>
            <w:r>
              <w:rPr>
                <w:color w:val="000000"/>
                <w:sz w:val="24"/>
                <w:szCs w:val="24"/>
              </w:rPr>
              <w:t>新华保险</w:t>
            </w:r>
          </w:p>
        </w:tc>
        <w:tc>
          <w:tcPr>
            <w:vAlign w:val="center"/>
          </w:tcPr>
          <w:p>
            <w:pPr>
              <w:jc w:val="right"/>
            </w:pPr>
            <w:r>
              <w:rPr>
                <w:color w:val="000000"/>
                <w:sz w:val="24"/>
                <w:szCs w:val="24"/>
              </w:rPr>
              <w:t>10,200</w:t>
            </w:r>
          </w:p>
        </w:tc>
        <w:tc>
          <w:tcPr>
            <w:vAlign w:val="center"/>
          </w:tcPr>
          <w:p>
            <w:pPr>
              <w:jc w:val="right"/>
            </w:pPr>
            <w:r>
              <w:rPr>
                <w:color w:val="000000"/>
                <w:sz w:val="24"/>
                <w:szCs w:val="24"/>
              </w:rPr>
              <w:t>501,330.00</w:t>
            </w:r>
          </w:p>
        </w:tc>
        <w:tc>
          <w:tcPr>
            <w:vAlign w:val="center"/>
          </w:tcPr>
          <w:p>
            <w:pPr>
              <w:jc w:val="right"/>
            </w:pPr>
            <w:r>
              <w:rPr>
                <w:color w:val="000000"/>
                <w:sz w:val="24"/>
                <w:szCs w:val="24"/>
              </w:rPr>
              <w:t>0.56</w:t>
            </w:r>
          </w:p>
        </w:tc>
      </w:tr>
      <w:tr>
        <w:tc>
          <w:tcPr>
            <w:vAlign w:val="center"/>
          </w:tcPr>
          <w:p>
            <w:pPr>
              <w:jc w:val="center"/>
            </w:pPr>
            <w:r>
              <w:rPr>
                <w:color w:val="000000"/>
                <w:sz w:val="24"/>
                <w:szCs w:val="24"/>
              </w:rPr>
              <w:t>10</w:t>
            </w:r>
          </w:p>
        </w:tc>
        <w:tc>
          <w:tcPr>
            <w:vAlign w:val="center"/>
          </w:tcPr>
          <w:p>
            <w:pPr>
              <w:jc w:val="center"/>
            </w:pPr>
            <w:r>
              <w:rPr>
                <w:color w:val="000000"/>
                <w:sz w:val="24"/>
                <w:szCs w:val="24"/>
              </w:rPr>
              <w:t>001965</w:t>
            </w:r>
          </w:p>
        </w:tc>
        <w:tc>
          <w:tcPr>
            <w:vAlign w:val="center"/>
          </w:tcPr>
          <w:p>
            <w:pPr>
              <w:jc w:val="center"/>
            </w:pPr>
            <w:r>
              <w:rPr>
                <w:color w:val="000000"/>
                <w:sz w:val="24"/>
                <w:szCs w:val="24"/>
              </w:rPr>
              <w:t>招商公路</w:t>
            </w:r>
          </w:p>
        </w:tc>
        <w:tc>
          <w:tcPr>
            <w:vAlign w:val="center"/>
          </w:tcPr>
          <w:p>
            <w:pPr>
              <w:jc w:val="right"/>
            </w:pPr>
            <w:r>
              <w:rPr>
                <w:color w:val="000000"/>
                <w:sz w:val="24"/>
                <w:szCs w:val="24"/>
              </w:rPr>
              <w:t>51,700</w:t>
            </w:r>
          </w:p>
        </w:tc>
        <w:tc>
          <w:tcPr>
            <w:vAlign w:val="center"/>
          </w:tcPr>
          <w:p>
            <w:pPr>
              <w:jc w:val="right"/>
            </w:pPr>
            <w:r>
              <w:rPr>
                <w:color w:val="000000"/>
                <w:sz w:val="24"/>
                <w:szCs w:val="24"/>
              </w:rPr>
              <w:t>453,409.00</w:t>
            </w:r>
          </w:p>
        </w:tc>
        <w:tc>
          <w:tcPr>
            <w:vAlign w:val="center"/>
          </w:tcPr>
          <w:p>
            <w:pPr>
              <w:jc w:val="right"/>
            </w:pPr>
            <w:r>
              <w:rPr>
                <w:color w:val="000000"/>
                <w:sz w:val="24"/>
                <w:szCs w:val="24"/>
              </w:rPr>
              <w:t>0.50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3,395,408.30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3.77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70,367,317.50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78.03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70,367,317.50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78.03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535,330.20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0.59</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74,298,056.00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82.39</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180203</w:t>
            </w:r>
          </w:p>
        </w:tc>
        <w:tc>
          <w:tcPr>
            <w:vAlign w:val="center"/>
          </w:tcPr>
          <w:p>
            <w:pPr>
              <w:jc w:val="center"/>
            </w:pPr>
            <w:r>
              <w:rPr>
                <w:color w:val="000000"/>
                <w:sz w:val="24"/>
                <w:szCs w:val="24"/>
              </w:rPr>
              <w:t>18国开03</w:t>
            </w:r>
          </w:p>
        </w:tc>
        <w:tc>
          <w:tcPr>
            <w:vAlign w:val="center"/>
          </w:tcPr>
          <w:p>
            <w:pPr>
              <w:jc w:val="right"/>
            </w:pPr>
            <w:r>
              <w:rPr>
                <w:color w:val="000000"/>
                <w:sz w:val="24"/>
                <w:szCs w:val="24"/>
              </w:rPr>
              <w:t>300,000</w:t>
            </w:r>
          </w:p>
        </w:tc>
        <w:tc>
          <w:tcPr>
            <w:vAlign w:val="center"/>
          </w:tcPr>
          <w:p>
            <w:pPr>
              <w:jc w:val="right"/>
            </w:pPr>
            <w:r>
              <w:rPr>
                <w:color w:val="000000"/>
                <w:sz w:val="24"/>
                <w:szCs w:val="24"/>
              </w:rPr>
              <w:t>30,687,000.00</w:t>
            </w:r>
          </w:p>
        </w:tc>
        <w:tc>
          <w:tcPr>
            <w:vAlign w:val="center"/>
          </w:tcPr>
          <w:p>
            <w:pPr>
              <w:jc w:val="right"/>
            </w:pPr>
            <w:r>
              <w:rPr>
                <w:color w:val="000000"/>
                <w:sz w:val="24"/>
                <w:szCs w:val="24"/>
              </w:rPr>
              <w:t>34.03</w:t>
            </w:r>
          </w:p>
        </w:tc>
      </w:tr>
      <w:tr>
        <w:tc>
          <w:tcPr>
            <w:vAlign w:val="center"/>
          </w:tcPr>
          <w:p>
            <w:pPr>
              <w:jc w:val="center"/>
            </w:pPr>
            <w:r>
              <w:rPr>
                <w:color w:val="000000"/>
                <w:sz w:val="24"/>
                <w:szCs w:val="24"/>
              </w:rPr>
              <w:t>2</w:t>
            </w:r>
          </w:p>
        </w:tc>
        <w:tc>
          <w:tcPr>
            <w:vAlign w:val="center"/>
          </w:tcPr>
          <w:p>
            <w:pPr>
              <w:jc w:val="center"/>
            </w:pPr>
            <w:r>
              <w:rPr>
                <w:color w:val="000000"/>
                <w:sz w:val="24"/>
                <w:szCs w:val="24"/>
              </w:rPr>
              <w:t>180208</w:t>
            </w:r>
          </w:p>
        </w:tc>
        <w:tc>
          <w:tcPr>
            <w:vAlign w:val="center"/>
          </w:tcPr>
          <w:p>
            <w:pPr>
              <w:jc w:val="center"/>
            </w:pPr>
            <w:r>
              <w:rPr>
                <w:color w:val="000000"/>
                <w:sz w:val="24"/>
                <w:szCs w:val="24"/>
              </w:rPr>
              <w:t>18国开08</w:t>
            </w:r>
          </w:p>
        </w:tc>
        <w:tc>
          <w:tcPr>
            <w:vAlign w:val="center"/>
          </w:tcPr>
          <w:p>
            <w:pPr>
              <w:jc w:val="right"/>
            </w:pPr>
            <w:r>
              <w:rPr>
                <w:color w:val="000000"/>
                <w:sz w:val="24"/>
                <w:szCs w:val="24"/>
              </w:rPr>
              <w:t>100,000</w:t>
            </w:r>
          </w:p>
        </w:tc>
        <w:tc>
          <w:tcPr>
            <w:vAlign w:val="center"/>
          </w:tcPr>
          <w:p>
            <w:pPr>
              <w:jc w:val="right"/>
            </w:pPr>
            <w:r>
              <w:rPr>
                <w:color w:val="000000"/>
                <w:sz w:val="24"/>
                <w:szCs w:val="24"/>
              </w:rPr>
              <w:t>10,180,000.00</w:t>
            </w:r>
          </w:p>
        </w:tc>
        <w:tc>
          <w:tcPr>
            <w:vAlign w:val="center"/>
          </w:tcPr>
          <w:p>
            <w:pPr>
              <w:jc w:val="right"/>
            </w:pPr>
            <w:r>
              <w:rPr>
                <w:color w:val="000000"/>
                <w:sz w:val="24"/>
                <w:szCs w:val="24"/>
              </w:rPr>
              <w:t>11.29</w:t>
            </w:r>
          </w:p>
        </w:tc>
      </w:tr>
      <w:tr>
        <w:tc>
          <w:tcPr>
            <w:vAlign w:val="center"/>
          </w:tcPr>
          <w:p>
            <w:pPr>
              <w:jc w:val="center"/>
            </w:pPr>
            <w:r>
              <w:rPr>
                <w:color w:val="000000"/>
                <w:sz w:val="24"/>
                <w:szCs w:val="24"/>
              </w:rPr>
              <w:t>3</w:t>
            </w:r>
          </w:p>
        </w:tc>
        <w:tc>
          <w:tcPr>
            <w:vAlign w:val="center"/>
          </w:tcPr>
          <w:p>
            <w:pPr>
              <w:jc w:val="center"/>
            </w:pPr>
            <w:r>
              <w:rPr>
                <w:color w:val="000000"/>
                <w:sz w:val="24"/>
                <w:szCs w:val="24"/>
              </w:rPr>
              <w:t>108604</w:t>
            </w:r>
          </w:p>
        </w:tc>
        <w:tc>
          <w:tcPr>
            <w:vAlign w:val="center"/>
          </w:tcPr>
          <w:p>
            <w:pPr>
              <w:jc w:val="center"/>
            </w:pPr>
            <w:r>
              <w:rPr>
                <w:color w:val="000000"/>
                <w:sz w:val="24"/>
                <w:szCs w:val="24"/>
              </w:rPr>
              <w:t>国开1805</w:t>
            </w:r>
          </w:p>
        </w:tc>
        <w:tc>
          <w:tcPr>
            <w:vAlign w:val="center"/>
          </w:tcPr>
          <w:p>
            <w:pPr>
              <w:jc w:val="right"/>
            </w:pPr>
            <w:r>
              <w:rPr>
                <w:color w:val="000000"/>
                <w:sz w:val="24"/>
                <w:szCs w:val="24"/>
              </w:rPr>
              <w:t>96,730</w:t>
            </w:r>
          </w:p>
        </w:tc>
        <w:tc>
          <w:tcPr>
            <w:vAlign w:val="center"/>
          </w:tcPr>
          <w:p>
            <w:pPr>
              <w:jc w:val="right"/>
            </w:pPr>
            <w:r>
              <w:rPr>
                <w:color w:val="000000"/>
                <w:sz w:val="24"/>
                <w:szCs w:val="24"/>
              </w:rPr>
              <w:t>9,809,389.30</w:t>
            </w:r>
          </w:p>
        </w:tc>
        <w:tc>
          <w:tcPr>
            <w:vAlign w:val="center"/>
          </w:tcPr>
          <w:p>
            <w:pPr>
              <w:jc w:val="right"/>
            </w:pPr>
            <w:r>
              <w:rPr>
                <w:color w:val="000000"/>
                <w:sz w:val="24"/>
                <w:szCs w:val="24"/>
              </w:rPr>
              <w:t>10.88</w:t>
            </w:r>
          </w:p>
        </w:tc>
      </w:tr>
      <w:tr>
        <w:tc>
          <w:tcPr>
            <w:vAlign w:val="center"/>
          </w:tcPr>
          <w:p>
            <w:pPr>
              <w:jc w:val="center"/>
            </w:pPr>
            <w:r>
              <w:rPr>
                <w:color w:val="000000"/>
                <w:sz w:val="24"/>
                <w:szCs w:val="24"/>
              </w:rPr>
              <w:t>4</w:t>
            </w:r>
          </w:p>
        </w:tc>
        <w:tc>
          <w:tcPr>
            <w:vAlign w:val="center"/>
          </w:tcPr>
          <w:p>
            <w:pPr>
              <w:jc w:val="center"/>
            </w:pPr>
            <w:r>
              <w:rPr>
                <w:color w:val="000000"/>
                <w:sz w:val="24"/>
                <w:szCs w:val="24"/>
              </w:rPr>
              <w:t>108602</w:t>
            </w:r>
          </w:p>
        </w:tc>
        <w:tc>
          <w:tcPr>
            <w:vAlign w:val="center"/>
          </w:tcPr>
          <w:p>
            <w:pPr>
              <w:jc w:val="center"/>
            </w:pPr>
            <w:r>
              <w:rPr>
                <w:color w:val="000000"/>
                <w:sz w:val="24"/>
                <w:szCs w:val="24"/>
              </w:rPr>
              <w:t>国开1704</w:t>
            </w:r>
          </w:p>
        </w:tc>
        <w:tc>
          <w:tcPr>
            <w:vAlign w:val="center"/>
          </w:tcPr>
          <w:p>
            <w:pPr>
              <w:jc w:val="right"/>
            </w:pPr>
            <w:r>
              <w:rPr>
                <w:color w:val="000000"/>
                <w:sz w:val="24"/>
                <w:szCs w:val="24"/>
              </w:rPr>
              <w:t>87,790</w:t>
            </w:r>
          </w:p>
        </w:tc>
        <w:tc>
          <w:tcPr>
            <w:vAlign w:val="center"/>
          </w:tcPr>
          <w:p>
            <w:pPr>
              <w:jc w:val="right"/>
            </w:pPr>
            <w:r>
              <w:rPr>
                <w:color w:val="000000"/>
                <w:sz w:val="24"/>
                <w:szCs w:val="24"/>
              </w:rPr>
              <w:t>8,829,918.20</w:t>
            </w:r>
          </w:p>
        </w:tc>
        <w:tc>
          <w:tcPr>
            <w:vAlign w:val="center"/>
          </w:tcPr>
          <w:p>
            <w:pPr>
              <w:jc w:val="right"/>
            </w:pPr>
            <w:r>
              <w:rPr>
                <w:color w:val="000000"/>
                <w:sz w:val="24"/>
                <w:szCs w:val="24"/>
              </w:rPr>
              <w:t>9.79</w:t>
            </w:r>
          </w:p>
        </w:tc>
      </w:tr>
      <w:tr>
        <w:tc>
          <w:tcPr>
            <w:vAlign w:val="center"/>
          </w:tcPr>
          <w:p>
            <w:pPr>
              <w:jc w:val="center"/>
            </w:pPr>
            <w:r>
              <w:rPr>
                <w:color w:val="000000"/>
                <w:sz w:val="24"/>
                <w:szCs w:val="24"/>
              </w:rPr>
              <w:t>5</w:t>
            </w:r>
          </w:p>
        </w:tc>
        <w:tc>
          <w:tcPr>
            <w:vAlign w:val="center"/>
          </w:tcPr>
          <w:p>
            <w:pPr>
              <w:jc w:val="center"/>
            </w:pPr>
            <w:r>
              <w:rPr>
                <w:color w:val="000000"/>
                <w:sz w:val="24"/>
                <w:szCs w:val="24"/>
              </w:rPr>
              <w:t>018007</w:t>
            </w:r>
          </w:p>
        </w:tc>
        <w:tc>
          <w:tcPr>
            <w:vAlign w:val="center"/>
          </w:tcPr>
          <w:p>
            <w:pPr>
              <w:jc w:val="center"/>
            </w:pPr>
            <w:r>
              <w:rPr>
                <w:color w:val="000000"/>
                <w:sz w:val="24"/>
                <w:szCs w:val="24"/>
              </w:rPr>
              <w:t>国开1801</w:t>
            </w:r>
          </w:p>
        </w:tc>
        <w:tc>
          <w:tcPr>
            <w:vAlign w:val="center"/>
          </w:tcPr>
          <w:p>
            <w:pPr>
              <w:jc w:val="right"/>
            </w:pPr>
            <w:r>
              <w:rPr>
                <w:color w:val="000000"/>
                <w:sz w:val="24"/>
                <w:szCs w:val="24"/>
              </w:rPr>
              <w:t>68,970</w:t>
            </w:r>
          </w:p>
        </w:tc>
        <w:tc>
          <w:tcPr>
            <w:vAlign w:val="center"/>
          </w:tcPr>
          <w:p>
            <w:pPr>
              <w:jc w:val="right"/>
            </w:pPr>
            <w:r>
              <w:rPr>
                <w:color w:val="000000"/>
                <w:sz w:val="24"/>
                <w:szCs w:val="24"/>
              </w:rPr>
              <w:t>6,948,727.50</w:t>
            </w:r>
          </w:p>
        </w:tc>
        <w:tc>
          <w:tcPr>
            <w:vAlign w:val="center"/>
          </w:tcPr>
          <w:p>
            <w:pPr>
              <w:jc w:val="right"/>
            </w:pPr>
            <w:r>
              <w:rPr>
                <w:color w:val="000000"/>
                <w:sz w:val="24"/>
                <w:szCs w:val="24"/>
              </w:rPr>
              <w:t>7.71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42,219.16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4,773,539.47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2,087,445.00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29.97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6,903,233.60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pPr>
        <w:spacing w:before="29" w:line="288" w:lineRule="auto"/>
        <w:rPr>
          <w:color w:val="000000"/>
          <w:sz w:val="24"/>
          <w:szCs w:val="24"/>
        </w:rPr>
      </w:pPr>
      <w:r>
        <w:rPr>
          <w:color w:val="000000"/>
          <w:sz w:val="24"/>
          <w:szCs w:val="24"/>
        </w:rPr>
        <w:t>1、本基金本报告期末未持有处于交换期的可交换债券。</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2、由于四舍五入的原因，分项之和与合计项之间可能存在尾差。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46,398,072.41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86,089,167.30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47,034,594.65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85,452,645.06</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2019/10/1-2019/12/31</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42,815,413.89</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42,815,413.89</w:t>
            </w:r>
          </w:p>
        </w:tc>
        <w:tc>
          <w:tcPr>
            <w:vAlign w:val="center"/>
          </w:tcPr>
          <w:p>
            <w:pPr>
              <w:jc w:val="center"/>
            </w:pPr>
            <w:r>
              <w:rPr>
                <w:rFonts w:ascii="宋体" w:hAnsi="宋体"/>
                <w:color w:val="000000"/>
                <w:kern w:val="0"/>
              </w:rPr>
              <w:t>50.10%</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2019/10/1-2019/12/31</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43,102,490.42</w:t>
            </w:r>
          </w:p>
        </w:tc>
        <w:tc>
          <w:tcPr>
            <w:vAlign w:val="center"/>
          </w:tcPr>
          <w:p>
            <w:pPr>
              <w:jc w:val="center"/>
            </w:pPr>
            <w:r>
              <w:rPr>
                <w:rFonts w:ascii="宋体" w:hAnsi="宋体"/>
                <w:color w:val="000000"/>
                <w:kern w:val="0"/>
              </w:rPr>
              <w:t>43,102,490.42</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r>
      <w:tr>
        <w:tc>
          <w:tcPr>
            <w:vMerge w:val="restart"/>
          </w:tcPr>
          <w:p/>
          <w:p>
            <w:r>
              <w:rPr>
                <w:rFonts w:ascii="宋体" w:hAnsi="宋体" w:hint="eastAsia"/>
                <w:bCs/>
                <w:color w:val="000000"/>
                <w:kern w:val="0"/>
              </w:rPr>
              <w:t>个人</w:t>
            </w:r>
          </w:p>
        </w:tc>
        <w:tc>
          <w:tcPr>
            <w:vAlign w:val="center"/>
          </w:tcPr>
          <w:p>
            <w:pPr>
              <w:jc w:val="center"/>
            </w:pPr>
            <w:r>
              <w:rPr>
                <w:rFonts w:ascii="宋体" w:hAnsi="宋体"/>
                <w:kern w:val="0"/>
              </w:rPr>
              <w:t>1</w:t>
            </w:r>
          </w:p>
        </w:tc>
        <w:tc>
          <w:tcPr>
            <w:vAlign w:val="center"/>
          </w:tcPr>
          <w:p>
            <w:pPr>
              <w:jc w:val="center"/>
            </w:pPr>
            <w:r>
              <w:rPr>
                <w:rFonts w:ascii="宋体" w:hAnsi="宋体"/>
                <w:kern w:val="0"/>
              </w:rPr>
              <w:t>2019/10/1-2019/12/31</w:t>
            </w:r>
          </w:p>
        </w:tc>
        <w:tc>
          <w:tcPr>
            <w:vAlign w:val="center"/>
          </w:tcPr>
          <w:p>
            <w:pPr>
              <w:jc w:val="center"/>
            </w:pPr>
            <w:r>
              <w:rPr>
                <w:rFonts w:ascii="宋体" w:hAnsi="宋体"/>
                <w:kern w:val="0"/>
              </w:rPr>
              <w:t>15,000,350.00</w:t>
            </w:r>
          </w:p>
        </w:tc>
        <w:tc>
          <w:tcPr>
            <w:vAlign w:val="center"/>
          </w:tcPr>
          <w:p>
            <w:pPr>
              <w:jc w:val="center"/>
            </w:pPr>
            <w:r>
              <w:rPr>
                <w:rFonts w:ascii="宋体" w:hAnsi="宋体"/>
                <w:kern w:val="0"/>
              </w:rPr>
              <w:t>-</w:t>
            </w:r>
          </w:p>
        </w:tc>
        <w:tc>
          <w:tcPr>
            <w:vAlign w:val="center"/>
          </w:tcPr>
          <w:p>
            <w:pPr>
              <w:jc w:val="center"/>
            </w:pPr>
            <w:r>
              <w:rPr>
                <w:rFonts w:ascii="宋体" w:hAnsi="宋体"/>
                <w:kern w:val="0"/>
              </w:rPr>
              <w:t>-</w:t>
            </w:r>
          </w:p>
        </w:tc>
        <w:tc>
          <w:tcPr>
            <w:vAlign w:val="center"/>
          </w:tcPr>
          <w:p>
            <w:pPr>
              <w:jc w:val="center"/>
            </w:pPr>
            <w:r>
              <w:rPr>
                <w:rFonts w:ascii="宋体" w:hAnsi="宋体"/>
                <w:kern w:val="0"/>
              </w:rPr>
              <w:t>15,000,350.00</w:t>
            </w:r>
          </w:p>
        </w:tc>
        <w:tc>
          <w:tcPr>
            <w:vAlign w:val="center"/>
          </w:tcPr>
          <w:p>
            <w:pPr>
              <w:jc w:val="center"/>
            </w:pPr>
            <w:r>
              <w:rPr>
                <w:rFonts w:ascii="宋体" w:hAnsi="宋体"/>
                <w:kern w:val="0"/>
              </w:rPr>
              <w:t>17.55%</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1、中国证监会准予交银施罗德荣和保本混合型证券投资基金募集注册的文件；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2、《交银施罗德安心收益债券型证券投资基金基金合同》； </w:t>
      </w:r>
    </w:p>
    <w:p>
      <w:pPr>
        <w:spacing w:before="29" w:line="288" w:lineRule="auto"/>
        <w:ind w:firstLine="480" w:firstLineChars="200"/>
        <w:rPr>
          <w:color w:val="000000"/>
          <w:sz w:val="24"/>
          <w:szCs w:val="24"/>
        </w:rPr>
      </w:pPr>
      <w:r>
        <w:rPr>
          <w:color w:val="000000"/>
          <w:sz w:val="24"/>
          <w:szCs w:val="24"/>
        </w:rPr>
        <w:t xml:space="preserve">3、《交银施罗德安心收益债券型证券投资基金招募说明书》；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4、《交银施罗德安心收益债券型证券投资基金托管协议》； </w:t>
      </w:r>
    </w:p>
    <w:p>
      <w:pPr>
        <w:spacing w:before="29" w:line="288" w:lineRule="auto"/>
        <w:ind w:firstLine="480" w:firstLineChars="200"/>
        <w:rPr>
          <w:color w:val="000000"/>
          <w:sz w:val="24"/>
          <w:szCs w:val="24"/>
        </w:rPr>
      </w:pPr>
      <w:r>
        <w:rPr>
          <w:color w:val="000000"/>
          <w:sz w:val="24"/>
          <w:szCs w:val="24"/>
        </w:rPr>
        <w:t xml:space="preserve">5、《交银施罗德荣和保本混合型证券投资基金基金合同》； </w:t>
      </w:r>
    </w:p>
    <w:p>
      <w:pPr>
        <w:spacing w:before="29" w:line="288" w:lineRule="auto"/>
        <w:ind w:firstLine="480" w:firstLineChars="200"/>
        <w:rPr>
          <w:color w:val="000000"/>
          <w:sz w:val="24"/>
          <w:szCs w:val="24"/>
        </w:rPr>
      </w:pPr>
      <w:r>
        <w:rPr>
          <w:color w:val="000000"/>
          <w:sz w:val="24"/>
          <w:szCs w:val="24"/>
        </w:rPr>
        <w:t xml:space="preserve">6、《交银施罗德荣和保本混合型证券投资基金招募说明书》； </w:t>
      </w:r>
    </w:p>
    <w:p>
      <w:pPr>
        <w:spacing w:before="29" w:line="288" w:lineRule="auto"/>
        <w:ind w:firstLine="480" w:firstLineChars="200"/>
        <w:rPr>
          <w:color w:val="000000"/>
          <w:sz w:val="24"/>
          <w:szCs w:val="24"/>
        </w:rPr>
      </w:pPr>
      <w:r>
        <w:rPr>
          <w:color w:val="000000"/>
          <w:sz w:val="24"/>
          <w:szCs w:val="24"/>
        </w:rPr>
        <w:t xml:space="preserve">7、《交银施罗德荣和保本混合型证券投资基金托管协议》； </w:t>
      </w:r>
    </w:p>
    <w:p>
      <w:pPr>
        <w:spacing w:before="29" w:line="288" w:lineRule="auto"/>
        <w:ind w:firstLine="480" w:firstLineChars="200"/>
        <w:rPr>
          <w:color w:val="000000"/>
          <w:sz w:val="24"/>
          <w:szCs w:val="24"/>
        </w:rPr>
      </w:pPr>
      <w:r>
        <w:rPr>
          <w:color w:val="000000"/>
          <w:sz w:val="24"/>
          <w:szCs w:val="24"/>
        </w:rPr>
        <w:t>8、《交银施罗德荣和保本混合型证券投资基金保证合同》；</w:t>
      </w:r>
    </w:p>
    <w:p>
      <w:pPr>
        <w:spacing w:before="29" w:line="288" w:lineRule="auto"/>
        <w:ind w:firstLine="480" w:firstLineChars="200"/>
        <w:rPr>
          <w:color w:val="000000"/>
          <w:sz w:val="24"/>
          <w:szCs w:val="24"/>
        </w:rPr>
      </w:pPr>
      <w:r>
        <w:rPr>
          <w:color w:val="000000"/>
          <w:sz w:val="24"/>
          <w:szCs w:val="24"/>
        </w:rPr>
        <w:t xml:space="preserve">9、基金管理人业务资格批件、营业执照； </w:t>
      </w:r>
    </w:p>
    <w:p>
      <w:pPr>
        <w:spacing w:before="29" w:line="288" w:lineRule="auto"/>
        <w:ind w:firstLine="480" w:firstLineChars="200"/>
        <w:rPr>
          <w:color w:val="000000"/>
          <w:sz w:val="24"/>
          <w:szCs w:val="24"/>
        </w:rPr>
      </w:pPr>
      <w:r>
        <w:rPr>
          <w:color w:val="000000"/>
          <w:sz w:val="24"/>
          <w:szCs w:val="24"/>
        </w:rPr>
        <w:t xml:space="preserve">10、基金托管人业务资格批件、营业执照； </w:t>
      </w:r>
    </w:p>
    <w:p>
      <w:pPr>
        <w:spacing w:before="29" w:line="288" w:lineRule="auto"/>
        <w:ind w:firstLine="480" w:firstLineChars="200"/>
        <w:rPr>
          <w:color w:val="000000"/>
          <w:sz w:val="24"/>
          <w:szCs w:val="24"/>
        </w:rPr>
      </w:pPr>
      <w:r>
        <w:rPr>
          <w:color w:val="000000"/>
          <w:sz w:val="24"/>
          <w:szCs w:val="24"/>
        </w:rPr>
        <w:t xml:space="preserve">11、关于申请募集注册交银施罗德荣和保本混合型证券投资基金的法律意见书； </w:t>
      </w:r>
    </w:p>
    <w:p>
      <w:pPr>
        <w:spacing w:before="29" w:line="288" w:lineRule="auto"/>
        <w:ind w:firstLine="480" w:firstLineChars="200"/>
        <w:rPr>
          <w:color w:val="000000"/>
          <w:sz w:val="24"/>
          <w:szCs w:val="24"/>
        </w:rPr>
      </w:pPr>
      <w:r>
        <w:rPr>
          <w:color w:val="000000"/>
          <w:sz w:val="24"/>
          <w:szCs w:val="24"/>
        </w:rPr>
        <w:t>12、关于修改《交银施罗德荣和保本混合型证券投资基金基金合同》的法律意见书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13、报告期内交银施罗德荣和保本混合型证券投资基金、交银施罗德安心收益债券型证券投资基金在指定报刊上各项公告的原稿。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交银施罗德安心收益债券型证券投资基金2019年第4季度报告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