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交银施罗德稳健配置混合型证券投资基金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2006年6月14日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3,126,476,203.34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65%×MSCI中国A股指数+35%×中证综合债券指数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155,847,360.09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175,410,869.96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0.0657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3,694,936,370.24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1.1818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4.21%</w:t>
            </w:r>
          </w:p>
        </w:tc>
        <w:tc>
          <w:tcPr>
            <w:vAlign w:val="center"/>
          </w:tcPr>
          <w:p>
            <w:pPr>
              <w:jc w:val="center"/>
            </w:pPr>
            <w:r>
              <w:rPr>
                <w:color w:val="000000"/>
                <w:sz w:val="24"/>
                <w:szCs w:val="24"/>
              </w:rPr>
              <w:t>0.95%</w:t>
            </w:r>
          </w:p>
        </w:tc>
        <w:tc>
          <w:tcPr>
            <w:vAlign w:val="center"/>
          </w:tcPr>
          <w:p>
            <w:pPr>
              <w:jc w:val="center"/>
            </w:pPr>
            <w:r>
              <w:rPr>
                <w:color w:val="000000"/>
                <w:sz w:val="24"/>
                <w:szCs w:val="24"/>
              </w:rPr>
              <w:t>0.61%</w:t>
            </w:r>
          </w:p>
        </w:tc>
        <w:tc>
          <w:tcPr>
            <w:vAlign w:val="center"/>
          </w:tcPr>
          <w:p>
            <w:pPr>
              <w:jc w:val="center"/>
            </w:pPr>
            <w:r>
              <w:rPr>
                <w:color w:val="000000"/>
                <w:sz w:val="24"/>
                <w:szCs w:val="24"/>
              </w:rPr>
              <w:t>0.65%</w:t>
            </w:r>
          </w:p>
        </w:tc>
        <w:tc>
          <w:tcPr>
            <w:vAlign w:val="center"/>
          </w:tcPr>
          <w:p>
            <w:pPr>
              <w:jc w:val="center"/>
            </w:pPr>
            <w:r>
              <w:rPr>
                <w:color w:val="000000"/>
                <w:sz w:val="24"/>
                <w:szCs w:val="24"/>
              </w:rPr>
              <w:t>3.60%</w:t>
            </w:r>
          </w:p>
        </w:tc>
        <w:tc>
          <w:tcPr>
            <w:vAlign w:val="center"/>
          </w:tcPr>
          <w:p>
            <w:pPr>
              <w:jc w:val="center"/>
            </w:pPr>
            <w:r>
              <w:rPr>
                <w:color w:val="000000"/>
                <w:sz w:val="24"/>
                <w:szCs w:val="24"/>
              </w:rPr>
              <w:t>0.30%</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2013年7月1日起，由“65%×MSCI中国A股指数+35%×新华巴克莱资本中国全债指数”变更为“65%×MSCI中国A股指数+35%×中信标普全债指数”，3.2.2同。详情见本基金管理人于2013年6月26日发布的《交银施罗德基金管理有限公司关于变更交银施罗德稳健配置混合型证券投资基金业绩比较基准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基金业绩比较基准自2015年10月1日起，由“65%×MSCI中国A股指数+35%×中信标普全债指数”变更为“65%×MSCI中国A股指数+35%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交银施罗德稳健配置混合型证券投资基金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2006年6月14日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陈孜铎</w:t>
            </w:r>
          </w:p>
        </w:tc>
        <w:tc>
          <w:tcPr>
            <w:vAlign w:val="center"/>
          </w:tcPr>
          <w:p>
            <w:pPr>
              <w:jc w:val="center"/>
            </w:pPr>
            <w:r>
              <w:rPr>
                <w:color w:val="000000"/>
                <w:sz w:val="24"/>
                <w:szCs w:val="24"/>
              </w:rPr>
              <w:t>交银稳健配置混合的基金经理，公司研究部助理总经理</w:t>
            </w:r>
          </w:p>
        </w:tc>
        <w:tc>
          <w:tcPr>
            <w:vAlign w:val="center"/>
          </w:tcPr>
          <w:p>
            <w:pPr>
              <w:jc w:val="center"/>
            </w:pPr>
            <w:r>
              <w:rPr>
                <w:color w:val="000000"/>
                <w:sz w:val="24"/>
                <w:szCs w:val="24"/>
              </w:rPr>
              <w:t>2018-07-04</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陈孜铎先生，清华大学材料科学与工程硕士。2008年加入交银施罗德基金管理有限公司，历任行业分析师、高级研究员。2014年10月22日至2019年1月28日担任交银施罗德蓝筹混合型证券投资基金的基金经理。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整个A股市场震荡反弹。二季度市场对整体经济流动性宽松的预期有所下降，三季度整体流动性持续宽松的进度相比市场预期偏慢。中美贸易摩擦形势有所缓解，促使短期高科技板块风险偏好明显回升。</w:t>
      </w:r>
    </w:p>
    <w:p>
      <w:pPr>
        <w:spacing w:before="29" w:line="288" w:lineRule="auto"/>
        <w:ind w:firstLine="480" w:firstLineChars="200"/>
        <w:rPr>
          <w:color w:val="000000"/>
          <w:sz w:val="24"/>
          <w:szCs w:val="24"/>
        </w:rPr>
      </w:pPr>
      <w:r>
        <w:rPr>
          <w:color w:val="000000"/>
          <w:sz w:val="24"/>
          <w:szCs w:val="24"/>
        </w:rPr>
        <w:t>在上述市场环境中，本基金整体适度调整组合机构，以绝对收益为主要目标。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贸易摩擦形势的波动预计将更加常态化，中美最终达成协议是市场预期最终的结果，但即使此次达成协议之后，在更长的时间尺度内两国加剧的竞争形势依然会对市场有持续的影响。此外，在今明两年经济见底之后，中国经济体发展由解决周期性问题向解决结构性问题过渡的进程也更为迫切。四季度中美贸易谈判将继续推进，明年经济增长的预期会逐渐形成。在当前市场环境下，本基金将更为关注传统行业中在周期波动中竞争优势凸显价值被低估、行业地位突出的公司，在转型过程中更关注长期前景的中微观路径日渐明晰的公司，积极寻找投资机会，力求持续稳健均衡地创造绝对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2,864,699,639.51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77.23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2,864,699,639.51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77.23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203,219,830.56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203,219,830.56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616,553,183.22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16.62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25,015,039.80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0.67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3,709,487,693.09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3,750,000.00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1,018,095,873.92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103,169,171.60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115,663,617.99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241,660,478.82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269,926,071.16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606,944,865.70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130,160,000.00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42,372,000.00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332,957,560.32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2,864,699,639.51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77.53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4,500,000</w:t>
            </w:r>
          </w:p>
        </w:tc>
        <w:tc>
          <w:tcPr>
            <w:vAlign w:val="center"/>
          </w:tcPr>
          <w:p>
            <w:pPr>
              <w:jc w:val="right"/>
            </w:pPr>
            <w:r>
              <w:rPr>
                <w:color w:val="000000"/>
                <w:sz w:val="24"/>
                <w:szCs w:val="24"/>
              </w:rPr>
              <w:t>257,850,000.00</w:t>
            </w:r>
          </w:p>
        </w:tc>
        <w:tc>
          <w:tcPr>
            <w:vAlign w:val="center"/>
          </w:tcPr>
          <w:p>
            <w:pPr>
              <w:jc w:val="right"/>
            </w:pPr>
            <w:r>
              <w:rPr>
                <w:color w:val="000000"/>
                <w:sz w:val="24"/>
                <w:szCs w:val="24"/>
              </w:rPr>
              <w:t>6.98</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5,500,000</w:t>
            </w:r>
          </w:p>
        </w:tc>
        <w:tc>
          <w:tcPr>
            <w:vAlign w:val="center"/>
          </w:tcPr>
          <w:p>
            <w:pPr>
              <w:jc w:val="right"/>
            </w:pPr>
            <w:r>
              <w:rPr>
                <w:color w:val="000000"/>
                <w:sz w:val="24"/>
                <w:szCs w:val="24"/>
              </w:rPr>
              <w:t>248,650,000.00</w:t>
            </w:r>
          </w:p>
        </w:tc>
        <w:tc>
          <w:tcPr>
            <w:vAlign w:val="center"/>
          </w:tcPr>
          <w:p>
            <w:pPr>
              <w:jc w:val="right"/>
            </w:pPr>
            <w:r>
              <w:rPr>
                <w:color w:val="000000"/>
                <w:sz w:val="24"/>
                <w:szCs w:val="24"/>
              </w:rPr>
              <w:t>6.73</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15,000,000</w:t>
            </w:r>
          </w:p>
        </w:tc>
        <w:tc>
          <w:tcPr>
            <w:vAlign w:val="center"/>
          </w:tcPr>
          <w:p>
            <w:pPr>
              <w:jc w:val="right"/>
            </w:pPr>
            <w:r>
              <w:rPr>
                <w:color w:val="000000"/>
                <w:sz w:val="24"/>
                <w:szCs w:val="24"/>
              </w:rPr>
              <w:t>214,500,000.00</w:t>
            </w:r>
          </w:p>
        </w:tc>
        <w:tc>
          <w:tcPr>
            <w:vAlign w:val="center"/>
          </w:tcPr>
          <w:p>
            <w:pPr>
              <w:jc w:val="right"/>
            </w:pPr>
            <w:r>
              <w:rPr>
                <w:color w:val="000000"/>
                <w:sz w:val="24"/>
                <w:szCs w:val="24"/>
              </w:rPr>
              <w:t>5.81</w:t>
            </w:r>
          </w:p>
        </w:tc>
      </w:tr>
      <w:tr>
        <w:tc>
          <w:tcPr>
            <w:vAlign w:val="center"/>
          </w:tcPr>
          <w:p>
            <w:pPr>
              <w:jc w:val="center"/>
            </w:pPr>
            <w:r>
              <w:rPr>
                <w:color w:val="000000"/>
                <w:sz w:val="24"/>
                <w:szCs w:val="24"/>
              </w:rPr>
              <w:t>4</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12,000,000</w:t>
            </w:r>
          </w:p>
        </w:tc>
        <w:tc>
          <w:tcPr>
            <w:vAlign w:val="center"/>
          </w:tcPr>
          <w:p>
            <w:pPr>
              <w:jc w:val="right"/>
            </w:pPr>
            <w:r>
              <w:rPr>
                <w:color w:val="000000"/>
                <w:sz w:val="24"/>
                <w:szCs w:val="24"/>
              </w:rPr>
              <w:t>137,400,000.00</w:t>
            </w:r>
          </w:p>
        </w:tc>
        <w:tc>
          <w:tcPr>
            <w:vAlign w:val="center"/>
          </w:tcPr>
          <w:p>
            <w:pPr>
              <w:jc w:val="right"/>
            </w:pPr>
            <w:r>
              <w:rPr>
                <w:color w:val="000000"/>
                <w:sz w:val="24"/>
                <w:szCs w:val="24"/>
              </w:rPr>
              <w:t>3.72</w:t>
            </w:r>
          </w:p>
        </w:tc>
      </w:tr>
      <w:tr>
        <w:tc>
          <w:tcPr>
            <w:vAlign w:val="center"/>
          </w:tcPr>
          <w:p>
            <w:pPr>
              <w:jc w:val="center"/>
            </w:pPr>
            <w:r>
              <w:rPr>
                <w:color w:val="000000"/>
                <w:sz w:val="24"/>
                <w:szCs w:val="24"/>
              </w:rPr>
              <w:t>5</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8,000,000</w:t>
            </w:r>
          </w:p>
        </w:tc>
        <w:tc>
          <w:tcPr>
            <w:vAlign w:val="center"/>
          </w:tcPr>
          <w:p>
            <w:pPr>
              <w:jc w:val="right"/>
            </w:pPr>
            <w:r>
              <w:rPr>
                <w:color w:val="000000"/>
                <w:sz w:val="24"/>
                <w:szCs w:val="24"/>
              </w:rPr>
              <w:t>130,160,000.00</w:t>
            </w:r>
          </w:p>
        </w:tc>
        <w:tc>
          <w:tcPr>
            <w:vAlign w:val="center"/>
          </w:tcPr>
          <w:p>
            <w:pPr>
              <w:jc w:val="right"/>
            </w:pPr>
            <w:r>
              <w:rPr>
                <w:color w:val="000000"/>
                <w:sz w:val="24"/>
                <w:szCs w:val="24"/>
              </w:rPr>
              <w:t>3.52</w:t>
            </w:r>
          </w:p>
        </w:tc>
      </w:tr>
      <w:tr>
        <w:tc>
          <w:tcPr>
            <w:vAlign w:val="center"/>
          </w:tcPr>
          <w:p>
            <w:pPr>
              <w:jc w:val="center"/>
            </w:pPr>
            <w:r>
              <w:rPr>
                <w:color w:val="000000"/>
                <w:sz w:val="24"/>
                <w:szCs w:val="24"/>
              </w:rPr>
              <w:t>6</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3,009,798</w:t>
            </w:r>
          </w:p>
        </w:tc>
        <w:tc>
          <w:tcPr>
            <w:vAlign w:val="center"/>
          </w:tcPr>
          <w:p>
            <w:pPr>
              <w:jc w:val="right"/>
            </w:pPr>
            <w:r>
              <w:rPr>
                <w:color w:val="000000"/>
                <w:sz w:val="24"/>
                <w:szCs w:val="24"/>
              </w:rPr>
              <w:t>122,077,406.88</w:t>
            </w:r>
          </w:p>
        </w:tc>
        <w:tc>
          <w:tcPr>
            <w:vAlign w:val="center"/>
          </w:tcPr>
          <w:p>
            <w:pPr>
              <w:jc w:val="right"/>
            </w:pPr>
            <w:r>
              <w:rPr>
                <w:color w:val="000000"/>
                <w:sz w:val="24"/>
                <w:szCs w:val="24"/>
              </w:rPr>
              <w:t>3.30</w:t>
            </w:r>
          </w:p>
        </w:tc>
      </w:tr>
      <w:tr>
        <w:tc>
          <w:tcPr>
            <w:vAlign w:val="center"/>
          </w:tcPr>
          <w:p>
            <w:pPr>
              <w:jc w:val="center"/>
            </w:pPr>
            <w:r>
              <w:rPr>
                <w:color w:val="000000"/>
                <w:sz w:val="24"/>
                <w:szCs w:val="24"/>
              </w:rPr>
              <w:t>7</w:t>
            </w:r>
          </w:p>
        </w:tc>
        <w:tc>
          <w:tcPr>
            <w:vAlign w:val="center"/>
          </w:tcPr>
          <w:p>
            <w:pPr>
              <w:jc w:val="center"/>
            </w:pPr>
            <w:r>
              <w:rPr>
                <w:color w:val="000000"/>
                <w:sz w:val="24"/>
                <w:szCs w:val="24"/>
              </w:rPr>
              <w:t>601933</w:t>
            </w:r>
          </w:p>
        </w:tc>
        <w:tc>
          <w:tcPr>
            <w:vAlign w:val="center"/>
          </w:tcPr>
          <w:p>
            <w:pPr>
              <w:jc w:val="center"/>
            </w:pPr>
            <w:r>
              <w:rPr>
                <w:color w:val="000000"/>
                <w:sz w:val="24"/>
                <w:szCs w:val="24"/>
              </w:rPr>
              <w:t>永辉超市</w:t>
            </w:r>
          </w:p>
        </w:tc>
        <w:tc>
          <w:tcPr>
            <w:vAlign w:val="center"/>
          </w:tcPr>
          <w:p>
            <w:pPr>
              <w:jc w:val="right"/>
            </w:pPr>
            <w:r>
              <w:rPr>
                <w:color w:val="000000"/>
                <w:sz w:val="24"/>
                <w:szCs w:val="24"/>
              </w:rPr>
              <w:t>13,000,000</w:t>
            </w:r>
          </w:p>
        </w:tc>
        <w:tc>
          <w:tcPr>
            <w:vAlign w:val="center"/>
          </w:tcPr>
          <w:p>
            <w:pPr>
              <w:jc w:val="right"/>
            </w:pPr>
            <w:r>
              <w:rPr>
                <w:color w:val="000000"/>
                <w:sz w:val="24"/>
                <w:szCs w:val="24"/>
              </w:rPr>
              <w:t>115,570,000.00</w:t>
            </w:r>
          </w:p>
        </w:tc>
        <w:tc>
          <w:tcPr>
            <w:vAlign w:val="center"/>
          </w:tcPr>
          <w:p>
            <w:pPr>
              <w:jc w:val="right"/>
            </w:pPr>
            <w:r>
              <w:rPr>
                <w:color w:val="000000"/>
                <w:sz w:val="24"/>
                <w:szCs w:val="24"/>
              </w:rPr>
              <w:t>3.13</w:t>
            </w:r>
          </w:p>
        </w:tc>
      </w:tr>
      <w:tr>
        <w:tc>
          <w:tcPr>
            <w:vAlign w:val="center"/>
          </w:tcPr>
          <w:p>
            <w:pPr>
              <w:jc w:val="center"/>
            </w:pPr>
            <w:r>
              <w:rPr>
                <w:color w:val="000000"/>
                <w:sz w:val="24"/>
                <w:szCs w:val="24"/>
              </w:rPr>
              <w:t>8</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14,000,000</w:t>
            </w:r>
          </w:p>
        </w:tc>
        <w:tc>
          <w:tcPr>
            <w:vAlign w:val="center"/>
          </w:tcPr>
          <w:p>
            <w:pPr>
              <w:jc w:val="right"/>
            </w:pPr>
            <w:r>
              <w:rPr>
                <w:color w:val="000000"/>
                <w:sz w:val="24"/>
                <w:szCs w:val="24"/>
              </w:rPr>
              <w:t>108,640,000.00</w:t>
            </w:r>
          </w:p>
        </w:tc>
        <w:tc>
          <w:tcPr>
            <w:vAlign w:val="center"/>
          </w:tcPr>
          <w:p>
            <w:pPr>
              <w:jc w:val="right"/>
            </w:pPr>
            <w:r>
              <w:rPr>
                <w:color w:val="000000"/>
                <w:sz w:val="24"/>
                <w:szCs w:val="24"/>
              </w:rPr>
              <w:t>2.94</w:t>
            </w:r>
          </w:p>
        </w:tc>
      </w:tr>
      <w:tr>
        <w:tc>
          <w:tcPr>
            <w:vAlign w:val="center"/>
          </w:tcPr>
          <w:p>
            <w:pPr>
              <w:jc w:val="center"/>
            </w:pPr>
            <w:r>
              <w:rPr>
                <w:color w:val="000000"/>
                <w:sz w:val="24"/>
                <w:szCs w:val="24"/>
              </w:rPr>
              <w:t>9</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6,000,000</w:t>
            </w:r>
          </w:p>
        </w:tc>
        <w:tc>
          <w:tcPr>
            <w:vAlign w:val="center"/>
          </w:tcPr>
          <w:p>
            <w:pPr>
              <w:jc w:val="right"/>
            </w:pPr>
            <w:r>
              <w:rPr>
                <w:color w:val="000000"/>
                <w:sz w:val="24"/>
                <w:szCs w:val="24"/>
              </w:rPr>
              <w:t>108,180,000.00</w:t>
            </w:r>
          </w:p>
        </w:tc>
        <w:tc>
          <w:tcPr>
            <w:vAlign w:val="center"/>
          </w:tcPr>
          <w:p>
            <w:pPr>
              <w:jc w:val="right"/>
            </w:pPr>
            <w:r>
              <w:rPr>
                <w:color w:val="000000"/>
                <w:sz w:val="24"/>
                <w:szCs w:val="24"/>
              </w:rPr>
              <w:t>2.93</w:t>
            </w:r>
          </w:p>
        </w:tc>
      </w:tr>
      <w:tr>
        <w:tc>
          <w:tcPr>
            <w:vAlign w:val="center"/>
          </w:tcPr>
          <w:p>
            <w:pPr>
              <w:jc w:val="center"/>
            </w:pPr>
            <w:r>
              <w:rPr>
                <w:color w:val="000000"/>
                <w:sz w:val="24"/>
                <w:szCs w:val="24"/>
              </w:rPr>
              <w:t>10</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9,009,700</w:t>
            </w:r>
          </w:p>
        </w:tc>
        <w:tc>
          <w:tcPr>
            <w:vAlign w:val="center"/>
          </w:tcPr>
          <w:p>
            <w:pPr>
              <w:jc w:val="right"/>
            </w:pPr>
            <w:r>
              <w:rPr>
                <w:color w:val="000000"/>
                <w:sz w:val="24"/>
                <w:szCs w:val="24"/>
              </w:rPr>
              <w:t>104,062,035.00</w:t>
            </w:r>
          </w:p>
        </w:tc>
        <w:tc>
          <w:tcPr>
            <w:vAlign w:val="center"/>
          </w:tcPr>
          <w:p>
            <w:pPr>
              <w:jc w:val="right"/>
            </w:pPr>
            <w:r>
              <w:rPr>
                <w:color w:val="000000"/>
                <w:sz w:val="24"/>
                <w:szCs w:val="24"/>
              </w:rPr>
              <w:t>2.82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199,852,000.00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199,852,000.00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3,367,830.56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203,219,830.56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1,200,000</w:t>
            </w:r>
          </w:p>
        </w:tc>
        <w:tc>
          <w:tcPr>
            <w:vAlign w:val="center"/>
          </w:tcPr>
          <w:p>
            <w:pPr>
              <w:jc w:val="right"/>
            </w:pPr>
            <w:r>
              <w:rPr>
                <w:color w:val="000000"/>
                <w:sz w:val="24"/>
                <w:szCs w:val="24"/>
              </w:rPr>
              <w:t>119,964,000.00</w:t>
            </w:r>
          </w:p>
        </w:tc>
        <w:tc>
          <w:tcPr>
            <w:vAlign w:val="center"/>
          </w:tcPr>
          <w:p>
            <w:pPr>
              <w:jc w:val="right"/>
            </w:pPr>
            <w:r>
              <w:rPr>
                <w:color w:val="000000"/>
                <w:sz w:val="24"/>
                <w:szCs w:val="24"/>
              </w:rPr>
              <w:t>3.25</w:t>
            </w:r>
          </w:p>
        </w:tc>
      </w:tr>
      <w:tr>
        <w:tc>
          <w:tcPr>
            <w:vAlign w:val="center"/>
          </w:tcPr>
          <w:p>
            <w:pPr>
              <w:jc w:val="center"/>
            </w:pPr>
            <w:r>
              <w:rPr>
                <w:color w:val="000000"/>
                <w:sz w:val="24"/>
                <w:szCs w:val="24"/>
              </w:rPr>
              <w:t>2</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800,000</w:t>
            </w:r>
          </w:p>
        </w:tc>
        <w:tc>
          <w:tcPr>
            <w:vAlign w:val="center"/>
          </w:tcPr>
          <w:p>
            <w:pPr>
              <w:jc w:val="right"/>
            </w:pPr>
            <w:r>
              <w:rPr>
                <w:color w:val="000000"/>
                <w:sz w:val="24"/>
                <w:szCs w:val="24"/>
              </w:rPr>
              <w:t>79,888,000.00</w:t>
            </w:r>
          </w:p>
        </w:tc>
        <w:tc>
          <w:tcPr>
            <w:vAlign w:val="center"/>
          </w:tcPr>
          <w:p>
            <w:pPr>
              <w:jc w:val="right"/>
            </w:pPr>
            <w:r>
              <w:rPr>
                <w:color w:val="000000"/>
                <w:sz w:val="24"/>
                <w:szCs w:val="24"/>
              </w:rPr>
              <w:t>2.16</w:t>
            </w:r>
          </w:p>
        </w:tc>
      </w:tr>
      <w:tr>
        <w:tc>
          <w:tcPr>
            <w:vAlign w:val="center"/>
          </w:tcPr>
          <w:p>
            <w:pPr>
              <w:jc w:val="center"/>
            </w:pPr>
            <w:r>
              <w:rPr>
                <w:color w:val="000000"/>
                <w:sz w:val="24"/>
                <w:szCs w:val="24"/>
              </w:rPr>
              <w:t>3</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31,514</w:t>
            </w:r>
          </w:p>
        </w:tc>
        <w:tc>
          <w:tcPr>
            <w:vAlign w:val="center"/>
          </w:tcPr>
          <w:p>
            <w:pPr>
              <w:jc w:val="right"/>
            </w:pPr>
            <w:r>
              <w:rPr>
                <w:color w:val="000000"/>
                <w:sz w:val="24"/>
                <w:szCs w:val="24"/>
              </w:rPr>
              <w:t>3,365,380.06</w:t>
            </w:r>
          </w:p>
        </w:tc>
        <w:tc>
          <w:tcPr>
            <w:vAlign w:val="center"/>
          </w:tcPr>
          <w:p>
            <w:pPr>
              <w:jc w:val="right"/>
            </w:pPr>
            <w:r>
              <w:rPr>
                <w:color w:val="000000"/>
                <w:sz w:val="24"/>
                <w:szCs w:val="24"/>
              </w:rPr>
              <w:t>0.09</w:t>
            </w:r>
          </w:p>
        </w:tc>
      </w:tr>
      <w:tr>
        <w:tc>
          <w:tcPr>
            <w:vAlign w:val="center"/>
          </w:tcPr>
          <w:p>
            <w:pPr>
              <w:jc w:val="center"/>
            </w:pPr>
            <w:r>
              <w:rPr>
                <w:color w:val="000000"/>
                <w:sz w:val="24"/>
                <w:szCs w:val="24"/>
              </w:rPr>
              <w:t>4</w:t>
            </w:r>
          </w:p>
        </w:tc>
        <w:tc>
          <w:tcPr>
            <w:vAlign w:val="center"/>
          </w:tcPr>
          <w:p>
            <w:pPr>
              <w:jc w:val="center"/>
            </w:pPr>
            <w:r>
              <w:rPr>
                <w:color w:val="000000"/>
                <w:sz w:val="24"/>
                <w:szCs w:val="24"/>
              </w:rPr>
              <w:t>128023</w:t>
            </w:r>
          </w:p>
        </w:tc>
        <w:tc>
          <w:tcPr>
            <w:vAlign w:val="center"/>
          </w:tcPr>
          <w:p>
            <w:pPr>
              <w:jc w:val="center"/>
            </w:pPr>
            <w:r>
              <w:rPr>
                <w:color w:val="000000"/>
                <w:sz w:val="24"/>
                <w:szCs w:val="24"/>
              </w:rPr>
              <w:t>亚太转债</w:t>
            </w:r>
          </w:p>
        </w:tc>
        <w:tc>
          <w:tcPr>
            <w:vAlign w:val="center"/>
          </w:tcPr>
          <w:p>
            <w:pPr>
              <w:jc w:val="right"/>
            </w:pPr>
            <w:r>
              <w:rPr>
                <w:color w:val="000000"/>
                <w:sz w:val="24"/>
                <w:szCs w:val="24"/>
              </w:rPr>
              <w:t>26</w:t>
            </w:r>
          </w:p>
        </w:tc>
        <w:tc>
          <w:tcPr>
            <w:vAlign w:val="center"/>
          </w:tcPr>
          <w:p>
            <w:pPr>
              <w:jc w:val="right"/>
            </w:pPr>
            <w:r>
              <w:rPr>
                <w:color w:val="000000"/>
                <w:sz w:val="24"/>
                <w:szCs w:val="24"/>
              </w:rPr>
              <w:t>2,450.50</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1,159,410.07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21,081,809.68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2,077,012.86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696,807.19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25,015,039.80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128035</w:t>
            </w:r>
          </w:p>
        </w:tc>
        <w:tc>
          <w:tcPr>
            <w:vAlign w:val="center"/>
          </w:tcPr>
          <w:p>
            <w:pPr>
              <w:jc w:val="center"/>
            </w:pPr>
            <w:r>
              <w:rPr>
                <w:color w:val="000000"/>
                <w:sz w:val="24"/>
                <w:szCs w:val="24"/>
              </w:rPr>
              <w:t>大族转债</w:t>
            </w:r>
          </w:p>
        </w:tc>
        <w:tc>
          <w:tcPr>
            <w:vAlign w:val="center"/>
          </w:tcPr>
          <w:p>
            <w:pPr>
              <w:jc w:val="right"/>
            </w:pPr>
            <w:r>
              <w:rPr>
                <w:color w:val="000000"/>
                <w:sz w:val="24"/>
                <w:szCs w:val="24"/>
              </w:rPr>
              <w:t>3,365,380.06</w:t>
            </w:r>
          </w:p>
        </w:tc>
        <w:tc>
          <w:tcPr>
            <w:vAlign w:val="center"/>
          </w:tcPr>
          <w:p>
            <w:pPr>
              <w:jc w:val="right"/>
            </w:pPr>
            <w:r>
              <w:rPr>
                <w:color w:val="000000"/>
                <w:sz w:val="24"/>
                <w:szCs w:val="24"/>
              </w:rPr>
              <w:t>0.09</w:t>
            </w:r>
          </w:p>
        </w:tc>
      </w:tr>
      <w:tr>
        <w:tc>
          <w:tcPr>
            <w:vAlign w:val="center"/>
          </w:tcPr>
          <w:p>
            <w:pPr>
              <w:jc w:val="center"/>
            </w:pPr>
            <w:r>
              <w:rPr>
                <w:color w:val="000000"/>
                <w:sz w:val="24"/>
                <w:szCs w:val="24"/>
              </w:rPr>
              <w:t>2</w:t>
            </w:r>
          </w:p>
        </w:tc>
        <w:tc>
          <w:tcPr>
            <w:vAlign w:val="center"/>
          </w:tcPr>
          <w:p>
            <w:pPr>
              <w:jc w:val="center"/>
            </w:pPr>
            <w:r>
              <w:rPr>
                <w:color w:val="000000"/>
                <w:sz w:val="24"/>
                <w:szCs w:val="24"/>
              </w:rPr>
              <w:t>128023</w:t>
            </w:r>
          </w:p>
        </w:tc>
        <w:tc>
          <w:tcPr>
            <w:vAlign w:val="center"/>
          </w:tcPr>
          <w:p>
            <w:pPr>
              <w:jc w:val="center"/>
            </w:pPr>
            <w:r>
              <w:rPr>
                <w:color w:val="000000"/>
                <w:sz w:val="24"/>
                <w:szCs w:val="24"/>
              </w:rPr>
              <w:t>亚太转债</w:t>
            </w:r>
          </w:p>
        </w:tc>
        <w:tc>
          <w:tcPr>
            <w:vAlign w:val="center"/>
          </w:tcPr>
          <w:p>
            <w:pPr>
              <w:jc w:val="right"/>
            </w:pPr>
            <w:r>
              <w:rPr>
                <w:color w:val="000000"/>
                <w:sz w:val="24"/>
                <w:szCs w:val="24"/>
              </w:rPr>
              <w:t>2,450.50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65,610,000.00</w:t>
            </w:r>
          </w:p>
        </w:tc>
        <w:tc>
          <w:tcPr>
            <w:vAlign w:val="center"/>
          </w:tcPr>
          <w:p>
            <w:pPr>
              <w:jc w:val="right"/>
            </w:pPr>
            <w:r>
              <w:rPr>
                <w:color w:val="000000"/>
                <w:sz w:val="24"/>
                <w:szCs w:val="24"/>
              </w:rPr>
              <w:t>1.78</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2,279,996,418.69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1,052,150,818.71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205,671,034.06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3,126,476,203.34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1、中国证监会批准交银施罗德稳健配置混合型证券投资基金募集的文件；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2、《交银施罗德稳健配置混合型证券投资基金基金合同》； </w:t>
      </w:r>
    </w:p>
    <w:p>
      <w:pPr>
        <w:spacing w:before="29" w:line="288" w:lineRule="auto"/>
        <w:ind w:firstLine="480" w:firstLineChars="200"/>
        <w:rPr>
          <w:color w:val="000000"/>
          <w:sz w:val="24"/>
          <w:szCs w:val="24"/>
        </w:rPr>
      </w:pPr>
      <w:r>
        <w:rPr>
          <w:color w:val="000000"/>
          <w:sz w:val="24"/>
          <w:szCs w:val="24"/>
        </w:rPr>
        <w:t>3、《交银施罗德稳健配置混合型证券投资基金招募说明书》；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4、《交银施罗德稳健配置混合型证券投资基金托管协议》；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5、关于募集交银施罗德稳健配置混合型证券投资基金之法律意见书；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8、报告期内交银施罗德稳健配置混合型证券投资基金在指定报刊上各项公告的原稿。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交银施罗德稳健配置混合型证券投资基金2019年第3季度报告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