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B6709" w:rsidRDefault="00FE052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6E6726" w:rsidRPr="00414345" w:rsidTr="006E6726">
        <w:trPr>
          <w:jc w:val="center"/>
        </w:trPr>
        <w:tc>
          <w:tcPr>
            <w:tcW w:w="3023" w:type="dxa"/>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w="5845" w:type="dxa"/>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1,887,935,431.17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w:t>
            </w:r>
            <w:r w:rsidRPr="00414345">
              <w:rPr>
                <w:color w:val="000000"/>
                <w:kern w:val="0"/>
                <w:sz w:val="24"/>
                <w:szCs w:val="24"/>
              </w:rPr>
              <w:lastRenderedPageBreak/>
              <w:t>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E052B" w:rsidRPr="00414345" w:rsidTr="00FE052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E052B" w:rsidRPr="00414345" w:rsidTr="00FE05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14,664,840.70</w:t>
            </w:r>
          </w:p>
        </w:tc>
      </w:tr>
      <w:tr w:rsidR="00FE052B" w:rsidRPr="00414345" w:rsidTr="00FE05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20,199,211.70</w:t>
            </w:r>
          </w:p>
        </w:tc>
      </w:tr>
      <w:tr w:rsidR="00FE052B" w:rsidRPr="00414345" w:rsidTr="00FE05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0.0114</w:t>
            </w:r>
          </w:p>
        </w:tc>
      </w:tr>
      <w:tr w:rsidR="00FE052B" w:rsidRPr="00414345" w:rsidTr="00FE05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2,226,960,084.67</w:t>
            </w:r>
          </w:p>
        </w:tc>
      </w:tr>
      <w:tr w:rsidR="00FE052B" w:rsidRPr="00414345" w:rsidTr="00FE052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1.180</w:t>
            </w:r>
          </w:p>
        </w:tc>
      </w:tr>
    </w:tbl>
    <w:p w:rsidR="001B6709" w:rsidRDefault="00FE052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B6709">
        <w:trPr>
          <w:jc w:val="center"/>
        </w:trPr>
        <w:tc>
          <w:tcPr>
            <w:tcW w:w="1701" w:type="dxa"/>
            <w:vAlign w:val="center"/>
          </w:tcPr>
          <w:p w:rsidR="001B6709" w:rsidRDefault="00FE052B">
            <w:pPr>
              <w:jc w:val="left"/>
            </w:pPr>
            <w:r>
              <w:rPr>
                <w:color w:val="000000"/>
                <w:sz w:val="24"/>
                <w:szCs w:val="24"/>
              </w:rPr>
              <w:t>过去三个月</w:t>
            </w:r>
          </w:p>
        </w:tc>
        <w:tc>
          <w:tcPr>
            <w:tcW w:w="1045" w:type="dxa"/>
            <w:vAlign w:val="center"/>
          </w:tcPr>
          <w:p w:rsidR="001B6709" w:rsidRDefault="00FE052B">
            <w:pPr>
              <w:jc w:val="center"/>
            </w:pPr>
            <w:r>
              <w:rPr>
                <w:color w:val="000000"/>
                <w:sz w:val="24"/>
                <w:szCs w:val="24"/>
              </w:rPr>
              <w:t>0.99%</w:t>
            </w:r>
          </w:p>
        </w:tc>
        <w:tc>
          <w:tcPr>
            <w:tcW w:w="1344" w:type="dxa"/>
            <w:vAlign w:val="center"/>
          </w:tcPr>
          <w:p w:rsidR="001B6709" w:rsidRDefault="00FE052B">
            <w:pPr>
              <w:jc w:val="center"/>
            </w:pPr>
            <w:r>
              <w:rPr>
                <w:color w:val="000000"/>
                <w:sz w:val="24"/>
                <w:szCs w:val="24"/>
              </w:rPr>
              <w:t>0.04%</w:t>
            </w:r>
          </w:p>
        </w:tc>
        <w:tc>
          <w:tcPr>
            <w:tcW w:w="1194" w:type="dxa"/>
            <w:vAlign w:val="center"/>
          </w:tcPr>
          <w:p w:rsidR="001B6709" w:rsidRDefault="00FE052B">
            <w:pPr>
              <w:jc w:val="center"/>
            </w:pPr>
            <w:r>
              <w:rPr>
                <w:color w:val="000000"/>
                <w:sz w:val="24"/>
                <w:szCs w:val="24"/>
              </w:rPr>
              <w:t>0.41%</w:t>
            </w:r>
          </w:p>
        </w:tc>
        <w:tc>
          <w:tcPr>
            <w:tcW w:w="1492" w:type="dxa"/>
            <w:vAlign w:val="center"/>
          </w:tcPr>
          <w:p w:rsidR="001B6709" w:rsidRDefault="00FE052B">
            <w:pPr>
              <w:jc w:val="center"/>
            </w:pPr>
            <w:r>
              <w:rPr>
                <w:color w:val="000000"/>
                <w:sz w:val="24"/>
                <w:szCs w:val="24"/>
              </w:rPr>
              <w:t>0.03%</w:t>
            </w:r>
          </w:p>
        </w:tc>
        <w:tc>
          <w:tcPr>
            <w:tcW w:w="1194" w:type="dxa"/>
            <w:vAlign w:val="center"/>
          </w:tcPr>
          <w:p w:rsidR="001B6709" w:rsidRDefault="00FE052B">
            <w:pPr>
              <w:jc w:val="center"/>
            </w:pPr>
            <w:r>
              <w:rPr>
                <w:color w:val="000000"/>
                <w:sz w:val="24"/>
                <w:szCs w:val="24"/>
              </w:rPr>
              <w:t>0.58%</w:t>
            </w:r>
          </w:p>
        </w:tc>
        <w:tc>
          <w:tcPr>
            <w:tcW w:w="898" w:type="dxa"/>
            <w:vAlign w:val="center"/>
          </w:tcPr>
          <w:p w:rsidR="001B6709" w:rsidRDefault="00FE052B">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B6709">
        <w:trPr>
          <w:jc w:val="center"/>
        </w:trPr>
        <w:tc>
          <w:tcPr>
            <w:tcW w:w="846" w:type="dxa"/>
            <w:vAlign w:val="center"/>
          </w:tcPr>
          <w:p w:rsidR="001B6709" w:rsidRDefault="00FE052B">
            <w:pPr>
              <w:jc w:val="center"/>
            </w:pPr>
            <w:r>
              <w:rPr>
                <w:color w:val="000000"/>
                <w:sz w:val="24"/>
                <w:szCs w:val="24"/>
              </w:rPr>
              <w:t>唐赟</w:t>
            </w:r>
          </w:p>
        </w:tc>
        <w:tc>
          <w:tcPr>
            <w:tcW w:w="845" w:type="dxa"/>
            <w:vAlign w:val="center"/>
          </w:tcPr>
          <w:p w:rsidR="001B6709" w:rsidRDefault="00FE052B">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、交银双利债券、交银双轮动债券、交银裕通纯债债券、交银安心收益债券、交银荣鑫灵活配置混合的基金经理</w:t>
            </w:r>
          </w:p>
        </w:tc>
        <w:tc>
          <w:tcPr>
            <w:tcW w:w="1549" w:type="dxa"/>
            <w:vAlign w:val="center"/>
          </w:tcPr>
          <w:p w:rsidR="001B6709" w:rsidRDefault="00FE052B">
            <w:pPr>
              <w:jc w:val="center"/>
            </w:pPr>
            <w:r>
              <w:rPr>
                <w:color w:val="000000"/>
                <w:sz w:val="24"/>
                <w:szCs w:val="24"/>
              </w:rPr>
              <w:t>2015-08-04</w:t>
            </w:r>
          </w:p>
        </w:tc>
        <w:tc>
          <w:tcPr>
            <w:tcW w:w="1548" w:type="dxa"/>
            <w:vAlign w:val="center"/>
          </w:tcPr>
          <w:p w:rsidR="001B6709" w:rsidRDefault="00FE052B">
            <w:pPr>
              <w:jc w:val="center"/>
            </w:pPr>
            <w:r>
              <w:rPr>
                <w:color w:val="000000"/>
                <w:sz w:val="24"/>
                <w:szCs w:val="24"/>
              </w:rPr>
              <w:t>-</w:t>
            </w:r>
          </w:p>
        </w:tc>
        <w:tc>
          <w:tcPr>
            <w:tcW w:w="1407" w:type="dxa"/>
            <w:vAlign w:val="center"/>
          </w:tcPr>
          <w:p w:rsidR="001B6709" w:rsidRDefault="00FE052B">
            <w:pPr>
              <w:jc w:val="center"/>
            </w:pPr>
            <w:r>
              <w:rPr>
                <w:color w:val="000000"/>
                <w:sz w:val="24"/>
                <w:szCs w:val="24"/>
              </w:rPr>
              <w:t>9</w:t>
            </w:r>
            <w:r>
              <w:rPr>
                <w:color w:val="000000"/>
                <w:sz w:val="24"/>
                <w:szCs w:val="24"/>
              </w:rPr>
              <w:t>年</w:t>
            </w:r>
          </w:p>
        </w:tc>
        <w:tc>
          <w:tcPr>
            <w:tcW w:w="2673" w:type="dxa"/>
            <w:vAlign w:val="center"/>
          </w:tcPr>
          <w:p w:rsidR="001B6709" w:rsidRDefault="00FE052B">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B6709" w:rsidRDefault="00FE052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B6709" w:rsidRDefault="00FE052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B6709" w:rsidRDefault="00FE052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B6709" w:rsidRDefault="00FE052B">
      <w:pPr>
        <w:spacing w:before="29" w:line="288" w:lineRule="auto"/>
        <w:ind w:firstLineChars="200" w:firstLine="48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w:t>
      </w:r>
      <w:r>
        <w:rPr>
          <w:color w:val="000000"/>
          <w:sz w:val="24"/>
          <w:szCs w:val="24"/>
        </w:rPr>
        <w:t>7</w:t>
      </w:r>
      <w:r>
        <w:rPr>
          <w:color w:val="000000"/>
          <w:sz w:val="24"/>
          <w:szCs w:val="24"/>
        </w:rPr>
        <w:t>等事件催化下，债券市场收益率呈现快速下行，十年国债一度破</w:t>
      </w:r>
      <w:r>
        <w:rPr>
          <w:color w:val="000000"/>
          <w:sz w:val="24"/>
          <w:szCs w:val="24"/>
        </w:rPr>
        <w:t>3%</w:t>
      </w:r>
      <w:r>
        <w:rPr>
          <w:color w:val="000000"/>
          <w:sz w:val="24"/>
          <w:szCs w:val="24"/>
        </w:rPr>
        <w:t>。九月后，随着稳增长预期升温、通胀担忧加剧以及资金面紧平衡等因素出现，债券市场小幅调整。截至九月底，活跃十年国债收益率自七月初一路走低，八月中旬破</w:t>
      </w:r>
      <w:r>
        <w:rPr>
          <w:color w:val="000000"/>
          <w:sz w:val="24"/>
          <w:szCs w:val="24"/>
        </w:rPr>
        <w:t>3%</w:t>
      </w:r>
      <w:r>
        <w:rPr>
          <w:color w:val="000000"/>
          <w:sz w:val="24"/>
          <w:szCs w:val="24"/>
        </w:rPr>
        <w:t>，后再度小幅上行。可转债方面，三季度受益于权益市场结构性机会，部分可转债存在超额收益，九月随着成长股估值偏高以及债市回调，多数可转债价格小幅回落。</w:t>
      </w:r>
    </w:p>
    <w:p w:rsidR="001B6709" w:rsidRDefault="00FE052B">
      <w:pPr>
        <w:spacing w:before="29" w:line="288" w:lineRule="auto"/>
        <w:ind w:firstLineChars="200" w:firstLine="480"/>
        <w:rPr>
          <w:color w:val="000000"/>
          <w:sz w:val="24"/>
          <w:szCs w:val="24"/>
        </w:rPr>
      </w:pPr>
      <w:r>
        <w:rPr>
          <w:color w:val="000000"/>
          <w:sz w:val="24"/>
          <w:szCs w:val="24"/>
        </w:rPr>
        <w:t>我们认为，三季度债市在前期调整下存在配置机会，因此在季度初期的基金操作中，基金适当提升杠杆，增配了部分收益较好的城投品种。在八月中旬后的回调伊始，考虑到资金成本有所提升，短期经济下行压力被市场充分预期，基金适当减配长久期利率品种，以控制回撤，并在随后的市场回调中适度增配短久期信用品种，以提升底仓的静态收益。可转债方面，基金维持中低仓位，主要关注大市值转债品种和部分一级市场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信用债品种，并积极关注长端利率的波段交易机会，以期提升基金静态收益。转债方面，我们将关注年底大市值品种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5,622,715.26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5,622,715.26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2,473,786,714.00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2,473,786,714.00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269,300,708.95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52,414,895.99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35,514,122.78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2,836,639,156.98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5,622,715.26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5,622,715.26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B6709">
        <w:trPr>
          <w:jc w:val="center"/>
        </w:trPr>
        <w:tc>
          <w:tcPr>
            <w:tcW w:w="855" w:type="dxa"/>
            <w:vAlign w:val="center"/>
          </w:tcPr>
          <w:p w:rsidR="001B6709" w:rsidRDefault="00FE052B">
            <w:pPr>
              <w:jc w:val="center"/>
            </w:pPr>
            <w:r>
              <w:rPr>
                <w:color w:val="000000"/>
                <w:sz w:val="24"/>
                <w:szCs w:val="24"/>
              </w:rPr>
              <w:t>1</w:t>
            </w:r>
          </w:p>
        </w:tc>
        <w:tc>
          <w:tcPr>
            <w:tcW w:w="1334" w:type="dxa"/>
            <w:vAlign w:val="center"/>
          </w:tcPr>
          <w:p w:rsidR="001B6709" w:rsidRDefault="00FE052B">
            <w:pPr>
              <w:jc w:val="center"/>
            </w:pPr>
            <w:r>
              <w:rPr>
                <w:color w:val="000000"/>
                <w:sz w:val="24"/>
                <w:szCs w:val="24"/>
              </w:rPr>
              <w:t>601012</w:t>
            </w:r>
          </w:p>
        </w:tc>
        <w:tc>
          <w:tcPr>
            <w:tcW w:w="1777" w:type="dxa"/>
            <w:vAlign w:val="center"/>
          </w:tcPr>
          <w:p w:rsidR="001B6709" w:rsidRDefault="00FE052B">
            <w:pPr>
              <w:jc w:val="center"/>
            </w:pPr>
            <w:r>
              <w:rPr>
                <w:color w:val="000000"/>
                <w:sz w:val="24"/>
                <w:szCs w:val="24"/>
              </w:rPr>
              <w:t>隆基股份</w:t>
            </w:r>
          </w:p>
        </w:tc>
        <w:tc>
          <w:tcPr>
            <w:tcW w:w="1334" w:type="dxa"/>
            <w:vAlign w:val="center"/>
          </w:tcPr>
          <w:p w:rsidR="001B6709" w:rsidRDefault="00FE052B">
            <w:pPr>
              <w:jc w:val="right"/>
            </w:pPr>
            <w:r>
              <w:rPr>
                <w:color w:val="000000"/>
                <w:sz w:val="24"/>
                <w:szCs w:val="24"/>
              </w:rPr>
              <w:t>214,362</w:t>
            </w:r>
          </w:p>
        </w:tc>
        <w:tc>
          <w:tcPr>
            <w:tcW w:w="1924" w:type="dxa"/>
            <w:vAlign w:val="center"/>
          </w:tcPr>
          <w:p w:rsidR="001B6709" w:rsidRDefault="00FE052B">
            <w:pPr>
              <w:jc w:val="right"/>
            </w:pPr>
            <w:r>
              <w:rPr>
                <w:color w:val="000000"/>
                <w:sz w:val="24"/>
                <w:szCs w:val="24"/>
              </w:rPr>
              <w:t>5,622,715.26</w:t>
            </w:r>
          </w:p>
        </w:tc>
        <w:tc>
          <w:tcPr>
            <w:tcW w:w="1644" w:type="dxa"/>
            <w:vAlign w:val="center"/>
          </w:tcPr>
          <w:p w:rsidR="001B6709" w:rsidRDefault="00FE052B">
            <w:pPr>
              <w:jc w:val="right"/>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7,501,235.00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111,080,156.00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111,080,156.00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851,481,500.00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38.24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712,754,000.00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32.01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663,287,000.00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29.78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127,682,823.00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2,473,786,714.00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B6709">
        <w:trPr>
          <w:jc w:val="center"/>
        </w:trPr>
        <w:tc>
          <w:tcPr>
            <w:tcW w:w="850" w:type="dxa"/>
            <w:vAlign w:val="center"/>
          </w:tcPr>
          <w:p w:rsidR="001B6709" w:rsidRDefault="00FE052B">
            <w:pPr>
              <w:jc w:val="center"/>
            </w:pPr>
            <w:r>
              <w:rPr>
                <w:color w:val="000000"/>
                <w:sz w:val="24"/>
                <w:szCs w:val="24"/>
              </w:rPr>
              <w:t>1</w:t>
            </w:r>
          </w:p>
        </w:tc>
        <w:tc>
          <w:tcPr>
            <w:tcW w:w="1475" w:type="dxa"/>
            <w:vAlign w:val="center"/>
          </w:tcPr>
          <w:p w:rsidR="001B6709" w:rsidRDefault="00FE052B">
            <w:pPr>
              <w:jc w:val="center"/>
            </w:pPr>
            <w:r>
              <w:rPr>
                <w:color w:val="000000"/>
                <w:sz w:val="24"/>
                <w:szCs w:val="24"/>
              </w:rPr>
              <w:t>018007</w:t>
            </w:r>
          </w:p>
        </w:tc>
        <w:tc>
          <w:tcPr>
            <w:tcW w:w="1769" w:type="dxa"/>
            <w:vAlign w:val="center"/>
          </w:tcPr>
          <w:p w:rsidR="001B6709" w:rsidRDefault="00FE052B">
            <w:pPr>
              <w:jc w:val="center"/>
            </w:pPr>
            <w:r>
              <w:rPr>
                <w:color w:val="000000"/>
                <w:sz w:val="24"/>
                <w:szCs w:val="24"/>
              </w:rPr>
              <w:t>国开</w:t>
            </w:r>
            <w:r>
              <w:rPr>
                <w:color w:val="000000"/>
                <w:sz w:val="24"/>
                <w:szCs w:val="24"/>
              </w:rPr>
              <w:t>1801</w:t>
            </w:r>
          </w:p>
        </w:tc>
        <w:tc>
          <w:tcPr>
            <w:tcW w:w="1387" w:type="dxa"/>
            <w:vAlign w:val="center"/>
          </w:tcPr>
          <w:p w:rsidR="001B6709" w:rsidRDefault="00FE052B">
            <w:pPr>
              <w:jc w:val="right"/>
            </w:pPr>
            <w:r>
              <w:rPr>
                <w:color w:val="000000"/>
                <w:sz w:val="24"/>
                <w:szCs w:val="24"/>
              </w:rPr>
              <w:t>1,097,630</w:t>
            </w:r>
          </w:p>
        </w:tc>
        <w:tc>
          <w:tcPr>
            <w:tcW w:w="2150" w:type="dxa"/>
            <w:vAlign w:val="center"/>
          </w:tcPr>
          <w:p w:rsidR="001B6709" w:rsidRDefault="00FE052B">
            <w:pPr>
              <w:jc w:val="right"/>
            </w:pPr>
            <w:r>
              <w:rPr>
                <w:color w:val="000000"/>
                <w:sz w:val="24"/>
                <w:szCs w:val="24"/>
              </w:rPr>
              <w:t>111,080,156.00</w:t>
            </w:r>
          </w:p>
        </w:tc>
        <w:tc>
          <w:tcPr>
            <w:tcW w:w="1237" w:type="dxa"/>
            <w:vAlign w:val="center"/>
          </w:tcPr>
          <w:p w:rsidR="001B6709" w:rsidRDefault="00FE052B">
            <w:pPr>
              <w:jc w:val="right"/>
            </w:pPr>
            <w:r>
              <w:rPr>
                <w:color w:val="000000"/>
                <w:sz w:val="24"/>
                <w:szCs w:val="24"/>
              </w:rPr>
              <w:t>4.99</w:t>
            </w:r>
          </w:p>
        </w:tc>
      </w:tr>
      <w:tr w:rsidR="001B6709">
        <w:trPr>
          <w:jc w:val="center"/>
        </w:trPr>
        <w:tc>
          <w:tcPr>
            <w:tcW w:w="850" w:type="dxa"/>
            <w:vAlign w:val="center"/>
          </w:tcPr>
          <w:p w:rsidR="001B6709" w:rsidRDefault="00FE052B">
            <w:pPr>
              <w:jc w:val="center"/>
            </w:pPr>
            <w:r>
              <w:rPr>
                <w:color w:val="000000"/>
                <w:sz w:val="24"/>
                <w:szCs w:val="24"/>
              </w:rPr>
              <w:t>2</w:t>
            </w:r>
          </w:p>
        </w:tc>
        <w:tc>
          <w:tcPr>
            <w:tcW w:w="1475" w:type="dxa"/>
            <w:vAlign w:val="center"/>
          </w:tcPr>
          <w:p w:rsidR="001B6709" w:rsidRDefault="00FE052B">
            <w:pPr>
              <w:jc w:val="center"/>
            </w:pPr>
            <w:r>
              <w:rPr>
                <w:color w:val="000000"/>
                <w:sz w:val="24"/>
                <w:szCs w:val="24"/>
              </w:rPr>
              <w:t>124532</w:t>
            </w:r>
          </w:p>
        </w:tc>
        <w:tc>
          <w:tcPr>
            <w:tcW w:w="1769" w:type="dxa"/>
            <w:vAlign w:val="center"/>
          </w:tcPr>
          <w:p w:rsidR="001B6709" w:rsidRDefault="00FE052B">
            <w:pPr>
              <w:jc w:val="center"/>
            </w:pPr>
            <w:r>
              <w:rPr>
                <w:color w:val="000000"/>
                <w:sz w:val="24"/>
                <w:szCs w:val="24"/>
              </w:rPr>
              <w:t>14</w:t>
            </w:r>
            <w:r>
              <w:rPr>
                <w:color w:val="000000"/>
                <w:sz w:val="24"/>
                <w:szCs w:val="24"/>
              </w:rPr>
              <w:t>甘公</w:t>
            </w:r>
            <w:r>
              <w:rPr>
                <w:color w:val="000000"/>
                <w:sz w:val="24"/>
                <w:szCs w:val="24"/>
              </w:rPr>
              <w:t>01</w:t>
            </w:r>
          </w:p>
        </w:tc>
        <w:tc>
          <w:tcPr>
            <w:tcW w:w="1387" w:type="dxa"/>
            <w:vAlign w:val="center"/>
          </w:tcPr>
          <w:p w:rsidR="001B6709" w:rsidRDefault="00FE052B">
            <w:pPr>
              <w:jc w:val="right"/>
            </w:pPr>
            <w:r>
              <w:rPr>
                <w:color w:val="000000"/>
                <w:sz w:val="24"/>
                <w:szCs w:val="24"/>
              </w:rPr>
              <w:t>800,000</w:t>
            </w:r>
          </w:p>
        </w:tc>
        <w:tc>
          <w:tcPr>
            <w:tcW w:w="2150" w:type="dxa"/>
            <w:vAlign w:val="center"/>
          </w:tcPr>
          <w:p w:rsidR="001B6709" w:rsidRDefault="00FE052B">
            <w:pPr>
              <w:jc w:val="right"/>
            </w:pPr>
            <w:r>
              <w:rPr>
                <w:color w:val="000000"/>
                <w:sz w:val="24"/>
                <w:szCs w:val="24"/>
              </w:rPr>
              <w:t>81,208,000.00</w:t>
            </w:r>
          </w:p>
        </w:tc>
        <w:tc>
          <w:tcPr>
            <w:tcW w:w="1237" w:type="dxa"/>
            <w:vAlign w:val="center"/>
          </w:tcPr>
          <w:p w:rsidR="001B6709" w:rsidRDefault="00FE052B">
            <w:pPr>
              <w:jc w:val="right"/>
            </w:pPr>
            <w:r>
              <w:rPr>
                <w:color w:val="000000"/>
                <w:sz w:val="24"/>
                <w:szCs w:val="24"/>
              </w:rPr>
              <w:t>3.65</w:t>
            </w:r>
          </w:p>
        </w:tc>
      </w:tr>
      <w:tr w:rsidR="001B6709">
        <w:trPr>
          <w:jc w:val="center"/>
        </w:trPr>
        <w:tc>
          <w:tcPr>
            <w:tcW w:w="850" w:type="dxa"/>
            <w:vAlign w:val="center"/>
          </w:tcPr>
          <w:p w:rsidR="001B6709" w:rsidRDefault="00FE052B">
            <w:pPr>
              <w:jc w:val="center"/>
            </w:pPr>
            <w:r>
              <w:rPr>
                <w:color w:val="000000"/>
                <w:sz w:val="24"/>
                <w:szCs w:val="24"/>
              </w:rPr>
              <w:t>3</w:t>
            </w:r>
          </w:p>
        </w:tc>
        <w:tc>
          <w:tcPr>
            <w:tcW w:w="1475" w:type="dxa"/>
            <w:vAlign w:val="center"/>
          </w:tcPr>
          <w:p w:rsidR="001B6709" w:rsidRDefault="00FE052B">
            <w:pPr>
              <w:jc w:val="center"/>
            </w:pPr>
            <w:r>
              <w:rPr>
                <w:color w:val="000000"/>
                <w:sz w:val="24"/>
                <w:szCs w:val="24"/>
              </w:rPr>
              <w:t>011900661</w:t>
            </w:r>
          </w:p>
        </w:tc>
        <w:tc>
          <w:tcPr>
            <w:tcW w:w="1769" w:type="dxa"/>
            <w:vAlign w:val="center"/>
          </w:tcPr>
          <w:p w:rsidR="001B6709" w:rsidRDefault="00FE052B">
            <w:pPr>
              <w:jc w:val="center"/>
            </w:pPr>
            <w:r>
              <w:rPr>
                <w:color w:val="000000"/>
                <w:sz w:val="24"/>
                <w:szCs w:val="24"/>
              </w:rPr>
              <w:t>19</w:t>
            </w:r>
            <w:r>
              <w:rPr>
                <w:color w:val="000000"/>
                <w:sz w:val="24"/>
                <w:szCs w:val="24"/>
              </w:rPr>
              <w:t>鲁信</w:t>
            </w:r>
            <w:r>
              <w:rPr>
                <w:color w:val="000000"/>
                <w:sz w:val="24"/>
                <w:szCs w:val="24"/>
              </w:rPr>
              <w:t>SCP001</w:t>
            </w:r>
          </w:p>
        </w:tc>
        <w:tc>
          <w:tcPr>
            <w:tcW w:w="1387" w:type="dxa"/>
            <w:vAlign w:val="center"/>
          </w:tcPr>
          <w:p w:rsidR="001B6709" w:rsidRDefault="00FE052B">
            <w:pPr>
              <w:jc w:val="right"/>
            </w:pPr>
            <w:r>
              <w:rPr>
                <w:color w:val="000000"/>
                <w:sz w:val="24"/>
                <w:szCs w:val="24"/>
              </w:rPr>
              <w:t>800,000</w:t>
            </w:r>
          </w:p>
        </w:tc>
        <w:tc>
          <w:tcPr>
            <w:tcW w:w="2150" w:type="dxa"/>
            <w:vAlign w:val="center"/>
          </w:tcPr>
          <w:p w:rsidR="001B6709" w:rsidRDefault="00FE052B">
            <w:pPr>
              <w:jc w:val="right"/>
            </w:pPr>
            <w:r>
              <w:rPr>
                <w:color w:val="000000"/>
                <w:sz w:val="24"/>
                <w:szCs w:val="24"/>
              </w:rPr>
              <w:t>80,328,000.00</w:t>
            </w:r>
          </w:p>
        </w:tc>
        <w:tc>
          <w:tcPr>
            <w:tcW w:w="1237" w:type="dxa"/>
            <w:vAlign w:val="center"/>
          </w:tcPr>
          <w:p w:rsidR="001B6709" w:rsidRDefault="00FE052B">
            <w:pPr>
              <w:jc w:val="right"/>
            </w:pPr>
            <w:r>
              <w:rPr>
                <w:color w:val="000000"/>
                <w:sz w:val="24"/>
                <w:szCs w:val="24"/>
              </w:rPr>
              <w:t>3.61</w:t>
            </w:r>
          </w:p>
        </w:tc>
      </w:tr>
      <w:tr w:rsidR="001B6709">
        <w:trPr>
          <w:jc w:val="center"/>
        </w:trPr>
        <w:tc>
          <w:tcPr>
            <w:tcW w:w="850" w:type="dxa"/>
            <w:vAlign w:val="center"/>
          </w:tcPr>
          <w:p w:rsidR="001B6709" w:rsidRDefault="00FE052B">
            <w:pPr>
              <w:jc w:val="center"/>
            </w:pPr>
            <w:r>
              <w:rPr>
                <w:color w:val="000000"/>
                <w:sz w:val="24"/>
                <w:szCs w:val="24"/>
              </w:rPr>
              <w:t>4</w:t>
            </w:r>
          </w:p>
        </w:tc>
        <w:tc>
          <w:tcPr>
            <w:tcW w:w="1475" w:type="dxa"/>
            <w:vAlign w:val="center"/>
          </w:tcPr>
          <w:p w:rsidR="001B6709" w:rsidRDefault="00FE052B">
            <w:pPr>
              <w:jc w:val="center"/>
            </w:pPr>
            <w:r>
              <w:rPr>
                <w:color w:val="000000"/>
                <w:sz w:val="24"/>
                <w:szCs w:val="24"/>
              </w:rPr>
              <w:t>1580193</w:t>
            </w:r>
          </w:p>
        </w:tc>
        <w:tc>
          <w:tcPr>
            <w:tcW w:w="1769" w:type="dxa"/>
            <w:vAlign w:val="center"/>
          </w:tcPr>
          <w:p w:rsidR="001B6709" w:rsidRDefault="00FE052B">
            <w:pPr>
              <w:jc w:val="center"/>
            </w:pPr>
            <w:r>
              <w:rPr>
                <w:color w:val="000000"/>
                <w:sz w:val="24"/>
                <w:szCs w:val="24"/>
              </w:rPr>
              <w:t>15</w:t>
            </w:r>
            <w:r>
              <w:rPr>
                <w:color w:val="000000"/>
                <w:sz w:val="24"/>
                <w:szCs w:val="24"/>
              </w:rPr>
              <w:t>洪轨债</w:t>
            </w:r>
            <w:r>
              <w:rPr>
                <w:color w:val="000000"/>
                <w:sz w:val="24"/>
                <w:szCs w:val="24"/>
              </w:rPr>
              <w:t>02</w:t>
            </w:r>
          </w:p>
        </w:tc>
        <w:tc>
          <w:tcPr>
            <w:tcW w:w="1387" w:type="dxa"/>
            <w:vAlign w:val="center"/>
          </w:tcPr>
          <w:p w:rsidR="001B6709" w:rsidRDefault="00FE052B">
            <w:pPr>
              <w:jc w:val="right"/>
            </w:pPr>
            <w:r>
              <w:rPr>
                <w:color w:val="000000"/>
                <w:sz w:val="24"/>
                <w:szCs w:val="24"/>
              </w:rPr>
              <w:t>600,000</w:t>
            </w:r>
          </w:p>
        </w:tc>
        <w:tc>
          <w:tcPr>
            <w:tcW w:w="2150" w:type="dxa"/>
            <w:vAlign w:val="center"/>
          </w:tcPr>
          <w:p w:rsidR="001B6709" w:rsidRDefault="00FE052B">
            <w:pPr>
              <w:jc w:val="right"/>
            </w:pPr>
            <w:r>
              <w:rPr>
                <w:color w:val="000000"/>
                <w:sz w:val="24"/>
                <w:szCs w:val="24"/>
              </w:rPr>
              <w:t>60,942,000.00</w:t>
            </w:r>
          </w:p>
        </w:tc>
        <w:tc>
          <w:tcPr>
            <w:tcW w:w="1237" w:type="dxa"/>
            <w:vAlign w:val="center"/>
          </w:tcPr>
          <w:p w:rsidR="001B6709" w:rsidRDefault="00FE052B">
            <w:pPr>
              <w:jc w:val="right"/>
            </w:pPr>
            <w:r>
              <w:rPr>
                <w:color w:val="000000"/>
                <w:sz w:val="24"/>
                <w:szCs w:val="24"/>
              </w:rPr>
              <w:t>2.74</w:t>
            </w:r>
          </w:p>
        </w:tc>
      </w:tr>
      <w:tr w:rsidR="001B6709">
        <w:trPr>
          <w:jc w:val="center"/>
        </w:trPr>
        <w:tc>
          <w:tcPr>
            <w:tcW w:w="850" w:type="dxa"/>
            <w:vAlign w:val="center"/>
          </w:tcPr>
          <w:p w:rsidR="001B6709" w:rsidRDefault="00FE052B">
            <w:pPr>
              <w:jc w:val="center"/>
            </w:pPr>
            <w:r>
              <w:rPr>
                <w:color w:val="000000"/>
                <w:sz w:val="24"/>
                <w:szCs w:val="24"/>
              </w:rPr>
              <w:t>5</w:t>
            </w:r>
          </w:p>
        </w:tc>
        <w:tc>
          <w:tcPr>
            <w:tcW w:w="1475" w:type="dxa"/>
            <w:vAlign w:val="center"/>
          </w:tcPr>
          <w:p w:rsidR="001B6709" w:rsidRDefault="00FE052B">
            <w:pPr>
              <w:jc w:val="center"/>
            </w:pPr>
            <w:r>
              <w:rPr>
                <w:color w:val="000000"/>
                <w:sz w:val="24"/>
                <w:szCs w:val="24"/>
              </w:rPr>
              <w:t>011901023</w:t>
            </w:r>
          </w:p>
        </w:tc>
        <w:tc>
          <w:tcPr>
            <w:tcW w:w="1769" w:type="dxa"/>
            <w:vAlign w:val="center"/>
          </w:tcPr>
          <w:p w:rsidR="001B6709" w:rsidRDefault="00FE052B">
            <w:pPr>
              <w:jc w:val="center"/>
            </w:pPr>
            <w:r>
              <w:rPr>
                <w:color w:val="000000"/>
                <w:sz w:val="24"/>
                <w:szCs w:val="24"/>
              </w:rPr>
              <w:t>19</w:t>
            </w:r>
            <w:r>
              <w:rPr>
                <w:color w:val="000000"/>
                <w:sz w:val="24"/>
                <w:szCs w:val="24"/>
              </w:rPr>
              <w:t>常城建</w:t>
            </w:r>
            <w:r>
              <w:rPr>
                <w:color w:val="000000"/>
                <w:sz w:val="24"/>
                <w:szCs w:val="24"/>
              </w:rPr>
              <w:t>SCP006</w:t>
            </w:r>
          </w:p>
        </w:tc>
        <w:tc>
          <w:tcPr>
            <w:tcW w:w="1387" w:type="dxa"/>
            <w:vAlign w:val="center"/>
          </w:tcPr>
          <w:p w:rsidR="001B6709" w:rsidRDefault="00FE052B">
            <w:pPr>
              <w:jc w:val="right"/>
            </w:pPr>
            <w:r>
              <w:rPr>
                <w:color w:val="000000"/>
                <w:sz w:val="24"/>
                <w:szCs w:val="24"/>
              </w:rPr>
              <w:t>600,000</w:t>
            </w:r>
          </w:p>
        </w:tc>
        <w:tc>
          <w:tcPr>
            <w:tcW w:w="2150" w:type="dxa"/>
            <w:vAlign w:val="center"/>
          </w:tcPr>
          <w:p w:rsidR="001B6709" w:rsidRDefault="00FE052B">
            <w:pPr>
              <w:jc w:val="right"/>
            </w:pPr>
            <w:r>
              <w:rPr>
                <w:color w:val="000000"/>
                <w:sz w:val="24"/>
                <w:szCs w:val="24"/>
              </w:rPr>
              <w:t>60,180,000.00</w:t>
            </w:r>
          </w:p>
        </w:tc>
        <w:tc>
          <w:tcPr>
            <w:tcW w:w="1237" w:type="dxa"/>
            <w:vAlign w:val="center"/>
          </w:tcPr>
          <w:p w:rsidR="001B6709" w:rsidRDefault="00FE052B">
            <w:pPr>
              <w:jc w:val="right"/>
            </w:pPr>
            <w:r>
              <w:rPr>
                <w:color w:val="000000"/>
                <w:sz w:val="24"/>
                <w:szCs w:val="24"/>
              </w:rPr>
              <w:t>2.70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106,189.77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35,405,574.88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2,308.13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35,514,122.78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1B6709">
        <w:trPr>
          <w:jc w:val="center"/>
        </w:trPr>
        <w:tc>
          <w:tcPr>
            <w:tcW w:w="1883" w:type="dxa"/>
            <w:vAlign w:val="center"/>
          </w:tcPr>
          <w:p w:rsidR="001B6709" w:rsidRDefault="00FE052B">
            <w:pPr>
              <w:jc w:val="center"/>
            </w:pPr>
            <w:r>
              <w:rPr>
                <w:color w:val="000000"/>
                <w:sz w:val="24"/>
                <w:szCs w:val="24"/>
              </w:rPr>
              <w:t>1</w:t>
            </w:r>
          </w:p>
        </w:tc>
        <w:tc>
          <w:tcPr>
            <w:tcW w:w="1801" w:type="dxa"/>
            <w:vAlign w:val="center"/>
          </w:tcPr>
          <w:p w:rsidR="001B6709" w:rsidRDefault="00FE052B">
            <w:pPr>
              <w:jc w:val="center"/>
            </w:pPr>
            <w:r>
              <w:rPr>
                <w:color w:val="000000"/>
                <w:sz w:val="24"/>
                <w:szCs w:val="24"/>
              </w:rPr>
              <w:t>110053</w:t>
            </w:r>
          </w:p>
        </w:tc>
        <w:tc>
          <w:tcPr>
            <w:tcW w:w="1727" w:type="dxa"/>
            <w:vAlign w:val="center"/>
          </w:tcPr>
          <w:p w:rsidR="001B6709" w:rsidRDefault="00FE052B">
            <w:pPr>
              <w:jc w:val="center"/>
            </w:pPr>
            <w:r>
              <w:rPr>
                <w:color w:val="000000"/>
                <w:sz w:val="24"/>
                <w:szCs w:val="24"/>
              </w:rPr>
              <w:t>苏银转债</w:t>
            </w:r>
          </w:p>
        </w:tc>
        <w:tc>
          <w:tcPr>
            <w:tcW w:w="1768" w:type="dxa"/>
            <w:vAlign w:val="center"/>
          </w:tcPr>
          <w:p w:rsidR="001B6709" w:rsidRDefault="00FE052B">
            <w:pPr>
              <w:jc w:val="right"/>
            </w:pPr>
            <w:r>
              <w:rPr>
                <w:color w:val="000000"/>
                <w:sz w:val="24"/>
                <w:szCs w:val="24"/>
              </w:rPr>
              <w:t>47,713,600.00</w:t>
            </w:r>
          </w:p>
        </w:tc>
        <w:tc>
          <w:tcPr>
            <w:tcW w:w="1689" w:type="dxa"/>
            <w:vAlign w:val="center"/>
          </w:tcPr>
          <w:p w:rsidR="001B6709" w:rsidRDefault="00FE052B">
            <w:pPr>
              <w:jc w:val="right"/>
            </w:pPr>
            <w:r>
              <w:rPr>
                <w:color w:val="000000"/>
                <w:sz w:val="24"/>
                <w:szCs w:val="24"/>
              </w:rPr>
              <w:t>2.14</w:t>
            </w:r>
          </w:p>
        </w:tc>
      </w:tr>
      <w:tr w:rsidR="001B6709">
        <w:trPr>
          <w:jc w:val="center"/>
        </w:trPr>
        <w:tc>
          <w:tcPr>
            <w:tcW w:w="1883" w:type="dxa"/>
            <w:vAlign w:val="center"/>
          </w:tcPr>
          <w:p w:rsidR="001B6709" w:rsidRDefault="00FE052B">
            <w:pPr>
              <w:jc w:val="center"/>
            </w:pPr>
            <w:r>
              <w:rPr>
                <w:color w:val="000000"/>
                <w:sz w:val="24"/>
                <w:szCs w:val="24"/>
              </w:rPr>
              <w:t>2</w:t>
            </w:r>
          </w:p>
        </w:tc>
        <w:tc>
          <w:tcPr>
            <w:tcW w:w="1801" w:type="dxa"/>
            <w:vAlign w:val="center"/>
          </w:tcPr>
          <w:p w:rsidR="001B6709" w:rsidRDefault="00FE052B">
            <w:pPr>
              <w:jc w:val="center"/>
            </w:pPr>
            <w:r>
              <w:rPr>
                <w:color w:val="000000"/>
                <w:sz w:val="24"/>
                <w:szCs w:val="24"/>
              </w:rPr>
              <w:t>113011</w:t>
            </w:r>
          </w:p>
        </w:tc>
        <w:tc>
          <w:tcPr>
            <w:tcW w:w="1727" w:type="dxa"/>
            <w:vAlign w:val="center"/>
          </w:tcPr>
          <w:p w:rsidR="001B6709" w:rsidRDefault="00FE052B">
            <w:pPr>
              <w:jc w:val="center"/>
            </w:pPr>
            <w:r>
              <w:rPr>
                <w:color w:val="000000"/>
                <w:sz w:val="24"/>
                <w:szCs w:val="24"/>
              </w:rPr>
              <w:t>光大转债</w:t>
            </w:r>
          </w:p>
        </w:tc>
        <w:tc>
          <w:tcPr>
            <w:tcW w:w="1768" w:type="dxa"/>
            <w:vAlign w:val="center"/>
          </w:tcPr>
          <w:p w:rsidR="001B6709" w:rsidRDefault="00FE052B">
            <w:pPr>
              <w:jc w:val="right"/>
            </w:pPr>
            <w:r>
              <w:rPr>
                <w:color w:val="000000"/>
                <w:sz w:val="24"/>
                <w:szCs w:val="24"/>
              </w:rPr>
              <w:t>29,515,200.00</w:t>
            </w:r>
          </w:p>
        </w:tc>
        <w:tc>
          <w:tcPr>
            <w:tcW w:w="1689" w:type="dxa"/>
            <w:vAlign w:val="center"/>
          </w:tcPr>
          <w:p w:rsidR="001B6709" w:rsidRDefault="00FE052B">
            <w:pPr>
              <w:jc w:val="right"/>
            </w:pPr>
            <w:r>
              <w:rPr>
                <w:color w:val="000000"/>
                <w:sz w:val="24"/>
                <w:szCs w:val="24"/>
              </w:rPr>
              <w:t>1.33</w:t>
            </w:r>
          </w:p>
        </w:tc>
      </w:tr>
      <w:tr w:rsidR="001B6709">
        <w:trPr>
          <w:jc w:val="center"/>
        </w:trPr>
        <w:tc>
          <w:tcPr>
            <w:tcW w:w="1883" w:type="dxa"/>
            <w:vAlign w:val="center"/>
          </w:tcPr>
          <w:p w:rsidR="001B6709" w:rsidRDefault="00FE052B">
            <w:pPr>
              <w:jc w:val="center"/>
            </w:pPr>
            <w:r>
              <w:rPr>
                <w:color w:val="000000"/>
                <w:sz w:val="24"/>
                <w:szCs w:val="24"/>
              </w:rPr>
              <w:t>3</w:t>
            </w:r>
          </w:p>
        </w:tc>
        <w:tc>
          <w:tcPr>
            <w:tcW w:w="1801" w:type="dxa"/>
            <w:vAlign w:val="center"/>
          </w:tcPr>
          <w:p w:rsidR="001B6709" w:rsidRDefault="00FE052B">
            <w:pPr>
              <w:jc w:val="center"/>
            </w:pPr>
            <w:r>
              <w:rPr>
                <w:color w:val="000000"/>
                <w:sz w:val="24"/>
                <w:szCs w:val="24"/>
              </w:rPr>
              <w:t>113020</w:t>
            </w:r>
          </w:p>
        </w:tc>
        <w:tc>
          <w:tcPr>
            <w:tcW w:w="1727" w:type="dxa"/>
            <w:vAlign w:val="center"/>
          </w:tcPr>
          <w:p w:rsidR="001B6709" w:rsidRDefault="00FE052B">
            <w:pPr>
              <w:jc w:val="center"/>
            </w:pPr>
            <w:r>
              <w:rPr>
                <w:color w:val="000000"/>
                <w:sz w:val="24"/>
                <w:szCs w:val="24"/>
              </w:rPr>
              <w:t>桐昆转债</w:t>
            </w:r>
          </w:p>
        </w:tc>
        <w:tc>
          <w:tcPr>
            <w:tcW w:w="1768" w:type="dxa"/>
            <w:vAlign w:val="center"/>
          </w:tcPr>
          <w:p w:rsidR="001B6709" w:rsidRDefault="00FE052B">
            <w:pPr>
              <w:jc w:val="right"/>
            </w:pPr>
            <w:r>
              <w:rPr>
                <w:color w:val="000000"/>
                <w:sz w:val="24"/>
                <w:szCs w:val="24"/>
              </w:rPr>
              <w:t>20,109,300.00</w:t>
            </w:r>
          </w:p>
        </w:tc>
        <w:tc>
          <w:tcPr>
            <w:tcW w:w="1689" w:type="dxa"/>
            <w:vAlign w:val="center"/>
          </w:tcPr>
          <w:p w:rsidR="001B6709" w:rsidRDefault="00FE052B">
            <w:pPr>
              <w:jc w:val="right"/>
            </w:pPr>
            <w:r>
              <w:rPr>
                <w:color w:val="000000"/>
                <w:sz w:val="24"/>
                <w:szCs w:val="24"/>
              </w:rPr>
              <w:t>0.90</w:t>
            </w:r>
          </w:p>
        </w:tc>
      </w:tr>
      <w:tr w:rsidR="001B6709">
        <w:trPr>
          <w:jc w:val="center"/>
        </w:trPr>
        <w:tc>
          <w:tcPr>
            <w:tcW w:w="1883" w:type="dxa"/>
            <w:vAlign w:val="center"/>
          </w:tcPr>
          <w:p w:rsidR="001B6709" w:rsidRDefault="00FE052B">
            <w:pPr>
              <w:jc w:val="center"/>
            </w:pPr>
            <w:r>
              <w:rPr>
                <w:color w:val="000000"/>
                <w:sz w:val="24"/>
                <w:szCs w:val="24"/>
              </w:rPr>
              <w:t>4</w:t>
            </w:r>
          </w:p>
        </w:tc>
        <w:tc>
          <w:tcPr>
            <w:tcW w:w="1801" w:type="dxa"/>
            <w:vAlign w:val="center"/>
          </w:tcPr>
          <w:p w:rsidR="001B6709" w:rsidRDefault="00FE052B">
            <w:pPr>
              <w:jc w:val="center"/>
            </w:pPr>
            <w:r>
              <w:rPr>
                <w:color w:val="000000"/>
                <w:sz w:val="24"/>
                <w:szCs w:val="24"/>
              </w:rPr>
              <w:t>128016</w:t>
            </w:r>
          </w:p>
        </w:tc>
        <w:tc>
          <w:tcPr>
            <w:tcW w:w="1727" w:type="dxa"/>
            <w:vAlign w:val="center"/>
          </w:tcPr>
          <w:p w:rsidR="001B6709" w:rsidRDefault="00FE052B">
            <w:pPr>
              <w:jc w:val="center"/>
            </w:pPr>
            <w:r>
              <w:rPr>
                <w:color w:val="000000"/>
                <w:sz w:val="24"/>
                <w:szCs w:val="24"/>
              </w:rPr>
              <w:t>雨虹转债</w:t>
            </w:r>
          </w:p>
        </w:tc>
        <w:tc>
          <w:tcPr>
            <w:tcW w:w="1768" w:type="dxa"/>
            <w:vAlign w:val="center"/>
          </w:tcPr>
          <w:p w:rsidR="001B6709" w:rsidRDefault="00FE052B">
            <w:pPr>
              <w:jc w:val="right"/>
            </w:pPr>
            <w:r>
              <w:rPr>
                <w:color w:val="000000"/>
                <w:sz w:val="24"/>
                <w:szCs w:val="24"/>
              </w:rPr>
              <w:t>8,039,898.00</w:t>
            </w:r>
          </w:p>
        </w:tc>
        <w:tc>
          <w:tcPr>
            <w:tcW w:w="1689" w:type="dxa"/>
            <w:vAlign w:val="center"/>
          </w:tcPr>
          <w:p w:rsidR="001B6709" w:rsidRDefault="00FE052B">
            <w:pPr>
              <w:jc w:val="right"/>
            </w:pPr>
            <w:r>
              <w:rPr>
                <w:color w:val="000000"/>
                <w:sz w:val="24"/>
                <w:szCs w:val="24"/>
              </w:rPr>
              <w:t>0.36</w:t>
            </w:r>
          </w:p>
        </w:tc>
      </w:tr>
      <w:tr w:rsidR="001B6709">
        <w:trPr>
          <w:jc w:val="center"/>
        </w:trPr>
        <w:tc>
          <w:tcPr>
            <w:tcW w:w="1883" w:type="dxa"/>
            <w:vAlign w:val="center"/>
          </w:tcPr>
          <w:p w:rsidR="001B6709" w:rsidRDefault="00FE052B">
            <w:pPr>
              <w:jc w:val="center"/>
            </w:pPr>
            <w:r>
              <w:rPr>
                <w:color w:val="000000"/>
                <w:sz w:val="24"/>
                <w:szCs w:val="24"/>
              </w:rPr>
              <w:t>5</w:t>
            </w:r>
          </w:p>
        </w:tc>
        <w:tc>
          <w:tcPr>
            <w:tcW w:w="1801" w:type="dxa"/>
            <w:vAlign w:val="center"/>
          </w:tcPr>
          <w:p w:rsidR="001B6709" w:rsidRDefault="00FE052B">
            <w:pPr>
              <w:jc w:val="center"/>
            </w:pPr>
            <w:r>
              <w:rPr>
                <w:color w:val="000000"/>
                <w:sz w:val="24"/>
                <w:szCs w:val="24"/>
              </w:rPr>
              <w:t>110049</w:t>
            </w:r>
          </w:p>
        </w:tc>
        <w:tc>
          <w:tcPr>
            <w:tcW w:w="1727" w:type="dxa"/>
            <w:vAlign w:val="center"/>
          </w:tcPr>
          <w:p w:rsidR="001B6709" w:rsidRDefault="00FE052B">
            <w:pPr>
              <w:jc w:val="center"/>
            </w:pPr>
            <w:r>
              <w:rPr>
                <w:color w:val="000000"/>
                <w:sz w:val="24"/>
                <w:szCs w:val="24"/>
              </w:rPr>
              <w:t>海尔转债</w:t>
            </w:r>
          </w:p>
        </w:tc>
        <w:tc>
          <w:tcPr>
            <w:tcW w:w="1768" w:type="dxa"/>
            <w:vAlign w:val="center"/>
          </w:tcPr>
          <w:p w:rsidR="001B6709" w:rsidRDefault="00FE052B">
            <w:pPr>
              <w:jc w:val="right"/>
            </w:pPr>
            <w:r>
              <w:rPr>
                <w:color w:val="000000"/>
                <w:sz w:val="24"/>
                <w:szCs w:val="24"/>
              </w:rPr>
              <w:t>5,901,000.00</w:t>
            </w:r>
          </w:p>
        </w:tc>
        <w:tc>
          <w:tcPr>
            <w:tcW w:w="1689" w:type="dxa"/>
            <w:vAlign w:val="center"/>
          </w:tcPr>
          <w:p w:rsidR="001B6709" w:rsidRDefault="00FE052B">
            <w:pPr>
              <w:jc w:val="right"/>
            </w:pPr>
            <w:r>
              <w:rPr>
                <w:color w:val="000000"/>
                <w:sz w:val="24"/>
                <w:szCs w:val="24"/>
              </w:rPr>
              <w:t>0.2</w:t>
            </w:r>
            <w:r>
              <w:rPr>
                <w:rFonts w:hint="eastAsia"/>
                <w:color w:val="000000"/>
                <w:sz w:val="24"/>
                <w:szCs w:val="24"/>
              </w:rPr>
              <w:t>7</w:t>
            </w:r>
          </w:p>
        </w:tc>
      </w:tr>
      <w:tr w:rsidR="001B6709">
        <w:trPr>
          <w:jc w:val="center"/>
        </w:trPr>
        <w:tc>
          <w:tcPr>
            <w:tcW w:w="1883" w:type="dxa"/>
            <w:vAlign w:val="center"/>
          </w:tcPr>
          <w:p w:rsidR="001B6709" w:rsidRDefault="00FE052B">
            <w:pPr>
              <w:jc w:val="center"/>
            </w:pPr>
            <w:r>
              <w:rPr>
                <w:color w:val="000000"/>
                <w:sz w:val="24"/>
                <w:szCs w:val="24"/>
              </w:rPr>
              <w:t>6</w:t>
            </w:r>
          </w:p>
        </w:tc>
        <w:tc>
          <w:tcPr>
            <w:tcW w:w="1801" w:type="dxa"/>
            <w:vAlign w:val="center"/>
          </w:tcPr>
          <w:p w:rsidR="001B6709" w:rsidRDefault="00FE052B">
            <w:pPr>
              <w:jc w:val="center"/>
            </w:pPr>
            <w:r>
              <w:rPr>
                <w:color w:val="000000"/>
                <w:sz w:val="24"/>
                <w:szCs w:val="24"/>
              </w:rPr>
              <w:t>113008</w:t>
            </w:r>
          </w:p>
        </w:tc>
        <w:tc>
          <w:tcPr>
            <w:tcW w:w="1727" w:type="dxa"/>
            <w:vAlign w:val="center"/>
          </w:tcPr>
          <w:p w:rsidR="001B6709" w:rsidRDefault="00FE052B">
            <w:pPr>
              <w:jc w:val="center"/>
            </w:pPr>
            <w:r>
              <w:rPr>
                <w:color w:val="000000"/>
                <w:sz w:val="24"/>
                <w:szCs w:val="24"/>
              </w:rPr>
              <w:t>电气转债</w:t>
            </w:r>
          </w:p>
        </w:tc>
        <w:tc>
          <w:tcPr>
            <w:tcW w:w="1768" w:type="dxa"/>
            <w:vAlign w:val="center"/>
          </w:tcPr>
          <w:p w:rsidR="001B6709" w:rsidRDefault="00FE052B">
            <w:pPr>
              <w:jc w:val="right"/>
            </w:pPr>
            <w:r>
              <w:rPr>
                <w:color w:val="000000"/>
                <w:sz w:val="24"/>
                <w:szCs w:val="24"/>
              </w:rPr>
              <w:t>5,735,000.00</w:t>
            </w:r>
          </w:p>
        </w:tc>
        <w:tc>
          <w:tcPr>
            <w:tcW w:w="1689" w:type="dxa"/>
            <w:vAlign w:val="center"/>
          </w:tcPr>
          <w:p w:rsidR="001B6709" w:rsidRDefault="00FE052B">
            <w:pPr>
              <w:jc w:val="right"/>
            </w:pPr>
            <w:r>
              <w:rPr>
                <w:color w:val="000000"/>
                <w:sz w:val="24"/>
                <w:szCs w:val="24"/>
              </w:rPr>
              <w:t>0.26</w:t>
            </w:r>
          </w:p>
        </w:tc>
      </w:tr>
      <w:tr w:rsidR="001B6709">
        <w:trPr>
          <w:jc w:val="center"/>
        </w:trPr>
        <w:tc>
          <w:tcPr>
            <w:tcW w:w="1883" w:type="dxa"/>
            <w:vAlign w:val="center"/>
          </w:tcPr>
          <w:p w:rsidR="001B6709" w:rsidRDefault="00FE052B">
            <w:pPr>
              <w:jc w:val="center"/>
            </w:pPr>
            <w:r>
              <w:rPr>
                <w:color w:val="000000"/>
                <w:sz w:val="24"/>
                <w:szCs w:val="24"/>
              </w:rPr>
              <w:t>7</w:t>
            </w:r>
          </w:p>
        </w:tc>
        <w:tc>
          <w:tcPr>
            <w:tcW w:w="1801" w:type="dxa"/>
            <w:vAlign w:val="center"/>
          </w:tcPr>
          <w:p w:rsidR="001B6709" w:rsidRDefault="00FE052B">
            <w:pPr>
              <w:jc w:val="center"/>
            </w:pPr>
            <w:r>
              <w:rPr>
                <w:color w:val="000000"/>
                <w:sz w:val="24"/>
                <w:szCs w:val="24"/>
              </w:rPr>
              <w:t>113019</w:t>
            </w:r>
          </w:p>
        </w:tc>
        <w:tc>
          <w:tcPr>
            <w:tcW w:w="1727" w:type="dxa"/>
            <w:vAlign w:val="center"/>
          </w:tcPr>
          <w:p w:rsidR="001B6709" w:rsidRDefault="00FE052B">
            <w:pPr>
              <w:jc w:val="center"/>
            </w:pPr>
            <w:r>
              <w:rPr>
                <w:color w:val="000000"/>
                <w:sz w:val="24"/>
                <w:szCs w:val="24"/>
              </w:rPr>
              <w:t>玲珑转债</w:t>
            </w:r>
          </w:p>
        </w:tc>
        <w:tc>
          <w:tcPr>
            <w:tcW w:w="1768" w:type="dxa"/>
            <w:vAlign w:val="center"/>
          </w:tcPr>
          <w:p w:rsidR="001B6709" w:rsidRDefault="00FE052B">
            <w:pPr>
              <w:jc w:val="right"/>
            </w:pPr>
            <w:r>
              <w:rPr>
                <w:color w:val="000000"/>
                <w:sz w:val="24"/>
                <w:szCs w:val="24"/>
              </w:rPr>
              <w:t>4,105,947.10</w:t>
            </w:r>
          </w:p>
        </w:tc>
        <w:tc>
          <w:tcPr>
            <w:tcW w:w="1689" w:type="dxa"/>
            <w:vAlign w:val="center"/>
          </w:tcPr>
          <w:p w:rsidR="001B6709" w:rsidRDefault="00FE052B">
            <w:pPr>
              <w:jc w:val="right"/>
            </w:pPr>
            <w:r>
              <w:rPr>
                <w:color w:val="000000"/>
                <w:sz w:val="24"/>
                <w:szCs w:val="24"/>
              </w:rPr>
              <w:t>0.18</w:t>
            </w:r>
          </w:p>
        </w:tc>
      </w:tr>
      <w:tr w:rsidR="001B6709">
        <w:trPr>
          <w:jc w:val="center"/>
        </w:trPr>
        <w:tc>
          <w:tcPr>
            <w:tcW w:w="1883" w:type="dxa"/>
            <w:vAlign w:val="center"/>
          </w:tcPr>
          <w:p w:rsidR="001B6709" w:rsidRDefault="00FE052B">
            <w:pPr>
              <w:jc w:val="center"/>
            </w:pPr>
            <w:r>
              <w:rPr>
                <w:color w:val="000000"/>
                <w:sz w:val="24"/>
                <w:szCs w:val="24"/>
              </w:rPr>
              <w:t>8</w:t>
            </w:r>
          </w:p>
        </w:tc>
        <w:tc>
          <w:tcPr>
            <w:tcW w:w="1801" w:type="dxa"/>
            <w:vAlign w:val="center"/>
          </w:tcPr>
          <w:p w:rsidR="001B6709" w:rsidRDefault="00FE052B">
            <w:pPr>
              <w:jc w:val="center"/>
            </w:pPr>
            <w:r>
              <w:rPr>
                <w:color w:val="000000"/>
                <w:sz w:val="24"/>
                <w:szCs w:val="24"/>
              </w:rPr>
              <w:t>128034</w:t>
            </w:r>
          </w:p>
        </w:tc>
        <w:tc>
          <w:tcPr>
            <w:tcW w:w="1727" w:type="dxa"/>
            <w:vAlign w:val="center"/>
          </w:tcPr>
          <w:p w:rsidR="001B6709" w:rsidRDefault="00FE052B">
            <w:pPr>
              <w:jc w:val="center"/>
            </w:pPr>
            <w:r>
              <w:rPr>
                <w:color w:val="000000"/>
                <w:sz w:val="24"/>
                <w:szCs w:val="24"/>
              </w:rPr>
              <w:t>江银转债</w:t>
            </w:r>
          </w:p>
        </w:tc>
        <w:tc>
          <w:tcPr>
            <w:tcW w:w="1768" w:type="dxa"/>
            <w:vAlign w:val="center"/>
          </w:tcPr>
          <w:p w:rsidR="001B6709" w:rsidRDefault="00FE052B">
            <w:pPr>
              <w:jc w:val="right"/>
            </w:pPr>
            <w:r>
              <w:rPr>
                <w:color w:val="000000"/>
                <w:sz w:val="24"/>
                <w:szCs w:val="24"/>
              </w:rPr>
              <w:t>1,270,080.00</w:t>
            </w:r>
          </w:p>
        </w:tc>
        <w:tc>
          <w:tcPr>
            <w:tcW w:w="1689" w:type="dxa"/>
            <w:vAlign w:val="center"/>
          </w:tcPr>
          <w:p w:rsidR="001B6709" w:rsidRDefault="00FE052B">
            <w:pPr>
              <w:jc w:val="right"/>
            </w:pPr>
            <w:r>
              <w:rPr>
                <w:color w:val="000000"/>
                <w:sz w:val="24"/>
                <w:szCs w:val="24"/>
              </w:rPr>
              <w:t>0.06</w:t>
            </w:r>
          </w:p>
        </w:tc>
      </w:tr>
      <w:tr w:rsidR="001B6709">
        <w:trPr>
          <w:jc w:val="center"/>
        </w:trPr>
        <w:tc>
          <w:tcPr>
            <w:tcW w:w="1883" w:type="dxa"/>
            <w:vAlign w:val="center"/>
          </w:tcPr>
          <w:p w:rsidR="001B6709" w:rsidRDefault="00FE052B">
            <w:pPr>
              <w:jc w:val="center"/>
            </w:pPr>
            <w:r>
              <w:rPr>
                <w:color w:val="000000"/>
                <w:sz w:val="24"/>
                <w:szCs w:val="24"/>
              </w:rPr>
              <w:t>9</w:t>
            </w:r>
          </w:p>
        </w:tc>
        <w:tc>
          <w:tcPr>
            <w:tcW w:w="1801" w:type="dxa"/>
            <w:vAlign w:val="center"/>
          </w:tcPr>
          <w:p w:rsidR="001B6709" w:rsidRDefault="00FE052B">
            <w:pPr>
              <w:jc w:val="center"/>
            </w:pPr>
            <w:r>
              <w:rPr>
                <w:color w:val="000000"/>
                <w:sz w:val="24"/>
                <w:szCs w:val="24"/>
              </w:rPr>
              <w:t>113516</w:t>
            </w:r>
          </w:p>
        </w:tc>
        <w:tc>
          <w:tcPr>
            <w:tcW w:w="1727" w:type="dxa"/>
            <w:vAlign w:val="center"/>
          </w:tcPr>
          <w:p w:rsidR="001B6709" w:rsidRDefault="002F3F89">
            <w:pPr>
              <w:jc w:val="center"/>
            </w:pPr>
            <w:r w:rsidRPr="002F3F89">
              <w:rPr>
                <w:rFonts w:hint="eastAsia"/>
                <w:color w:val="000000"/>
                <w:sz w:val="24"/>
                <w:szCs w:val="24"/>
              </w:rPr>
              <w:t>苏农转债</w:t>
            </w:r>
          </w:p>
        </w:tc>
        <w:tc>
          <w:tcPr>
            <w:tcW w:w="1768" w:type="dxa"/>
            <w:vAlign w:val="center"/>
          </w:tcPr>
          <w:p w:rsidR="001B6709" w:rsidRDefault="00FE052B">
            <w:pPr>
              <w:jc w:val="right"/>
            </w:pPr>
            <w:r>
              <w:rPr>
                <w:color w:val="000000"/>
                <w:sz w:val="24"/>
                <w:szCs w:val="24"/>
              </w:rPr>
              <w:t>48,100.50</w:t>
            </w:r>
          </w:p>
        </w:tc>
        <w:tc>
          <w:tcPr>
            <w:tcW w:w="1689" w:type="dxa"/>
            <w:vAlign w:val="center"/>
          </w:tcPr>
          <w:p w:rsidR="001B6709" w:rsidRDefault="00FE052B">
            <w:pPr>
              <w:jc w:val="right"/>
            </w:pPr>
            <w:r>
              <w:rPr>
                <w:color w:val="000000"/>
                <w:sz w:val="24"/>
                <w:szCs w:val="24"/>
              </w:rPr>
              <w:t>0.00</w:t>
            </w:r>
          </w:p>
        </w:tc>
      </w:tr>
      <w:tr w:rsidR="001B6709">
        <w:trPr>
          <w:jc w:val="center"/>
        </w:trPr>
        <w:tc>
          <w:tcPr>
            <w:tcW w:w="1883" w:type="dxa"/>
            <w:vAlign w:val="center"/>
          </w:tcPr>
          <w:p w:rsidR="001B6709" w:rsidRDefault="00FE052B">
            <w:pPr>
              <w:jc w:val="center"/>
            </w:pPr>
            <w:r>
              <w:rPr>
                <w:color w:val="000000"/>
                <w:sz w:val="24"/>
                <w:szCs w:val="24"/>
              </w:rPr>
              <w:t>10</w:t>
            </w:r>
          </w:p>
        </w:tc>
        <w:tc>
          <w:tcPr>
            <w:tcW w:w="1801" w:type="dxa"/>
            <w:vAlign w:val="center"/>
          </w:tcPr>
          <w:p w:rsidR="001B6709" w:rsidRDefault="00FE052B">
            <w:pPr>
              <w:jc w:val="center"/>
            </w:pPr>
            <w:r>
              <w:rPr>
                <w:color w:val="000000"/>
                <w:sz w:val="24"/>
                <w:szCs w:val="24"/>
              </w:rPr>
              <w:t>110043</w:t>
            </w:r>
          </w:p>
        </w:tc>
        <w:tc>
          <w:tcPr>
            <w:tcW w:w="1727" w:type="dxa"/>
            <w:vAlign w:val="center"/>
          </w:tcPr>
          <w:p w:rsidR="001B6709" w:rsidRDefault="00FE052B">
            <w:pPr>
              <w:jc w:val="center"/>
            </w:pPr>
            <w:r>
              <w:rPr>
                <w:color w:val="000000"/>
                <w:sz w:val="24"/>
                <w:szCs w:val="24"/>
              </w:rPr>
              <w:t>无锡转债</w:t>
            </w:r>
          </w:p>
        </w:tc>
        <w:tc>
          <w:tcPr>
            <w:tcW w:w="1768" w:type="dxa"/>
            <w:vAlign w:val="center"/>
          </w:tcPr>
          <w:p w:rsidR="001B6709" w:rsidRDefault="00FE052B">
            <w:pPr>
              <w:jc w:val="right"/>
            </w:pPr>
            <w:r>
              <w:rPr>
                <w:color w:val="000000"/>
                <w:sz w:val="24"/>
                <w:szCs w:val="24"/>
              </w:rPr>
              <w:t>2,073.40</w:t>
            </w:r>
          </w:p>
        </w:tc>
        <w:tc>
          <w:tcPr>
            <w:tcW w:w="1689" w:type="dxa"/>
            <w:vAlign w:val="center"/>
          </w:tcPr>
          <w:p w:rsidR="001B6709" w:rsidRDefault="00FE052B">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Default="002F3F89" w:rsidP="00E40D31">
      <w:pPr>
        <w:spacing w:before="29" w:line="288" w:lineRule="auto"/>
        <w:rPr>
          <w:color w:val="000000"/>
          <w:sz w:val="24"/>
          <w:szCs w:val="24"/>
        </w:rPr>
      </w:pPr>
      <w:r>
        <w:rPr>
          <w:rFonts w:hint="eastAsia"/>
          <w:color w:val="000000"/>
          <w:sz w:val="24"/>
          <w:szCs w:val="24"/>
        </w:rPr>
        <w:t>1</w:t>
      </w:r>
      <w:r>
        <w:rPr>
          <w:rFonts w:hint="eastAsia"/>
          <w:color w:val="000000"/>
          <w:sz w:val="24"/>
          <w:szCs w:val="24"/>
        </w:rPr>
        <w:t>、</w:t>
      </w:r>
      <w:r w:rsidRPr="002F3F89">
        <w:rPr>
          <w:rFonts w:hint="eastAsia"/>
          <w:color w:val="000000"/>
          <w:sz w:val="24"/>
          <w:szCs w:val="24"/>
        </w:rPr>
        <w:t>本基金本报告期末未持有处于交换期的可交换债券</w:t>
      </w:r>
      <w:bookmarkStart w:id="0" w:name="_GoBack"/>
      <w:bookmarkEnd w:id="0"/>
      <w:r w:rsidR="004061AC" w:rsidRPr="00414345">
        <w:rPr>
          <w:color w:val="000000"/>
          <w:sz w:val="24"/>
          <w:szCs w:val="24"/>
        </w:rPr>
        <w:t>。</w:t>
      </w:r>
    </w:p>
    <w:p w:rsidR="002F3F89" w:rsidRPr="00414345" w:rsidRDefault="002F3F89" w:rsidP="00E40D31">
      <w:pPr>
        <w:spacing w:before="29" w:line="288" w:lineRule="auto"/>
        <w:rPr>
          <w:rFonts w:hint="eastAsia"/>
          <w:color w:val="000000"/>
          <w:sz w:val="24"/>
          <w:szCs w:val="24"/>
        </w:rPr>
      </w:pPr>
      <w:r>
        <w:rPr>
          <w:rFonts w:hint="eastAsia"/>
          <w:color w:val="000000"/>
          <w:sz w:val="24"/>
          <w:szCs w:val="24"/>
        </w:rPr>
        <w:t>2</w:t>
      </w:r>
      <w:r>
        <w:rPr>
          <w:rFonts w:hint="eastAsia"/>
          <w:color w:val="000000"/>
          <w:sz w:val="24"/>
          <w:szCs w:val="24"/>
        </w:rPr>
        <w:t>、</w:t>
      </w:r>
      <w:r w:rsidRPr="00414345">
        <w:rPr>
          <w:color w:val="000000"/>
          <w:sz w:val="24"/>
          <w:szCs w:val="24"/>
        </w:rPr>
        <w:t>由于四舍五入的原因，分项之和与合计项之间可能存在尾差</w:t>
      </w:r>
      <w:r>
        <w:rPr>
          <w:rFonts w:hint="eastAsia"/>
          <w:color w:val="000000"/>
          <w:sz w:val="24"/>
          <w:szCs w:val="24"/>
        </w:rPr>
        <w:t>。</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1,850,387,921.25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357,435,141.08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319,887,631.16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1,887,935,431.17</w:t>
            </w:r>
          </w:p>
        </w:tc>
      </w:tr>
    </w:tbl>
    <w:p w:rsidR="001B6709" w:rsidRDefault="00FE052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1B6709">
        <w:tc>
          <w:tcPr>
            <w:tcW w:w="993" w:type="dxa"/>
            <w:vMerge w:val="restart"/>
          </w:tcPr>
          <w:p w:rsidR="001B6709" w:rsidRDefault="001B6709"/>
          <w:p w:rsidR="001B6709" w:rsidRDefault="00FE052B">
            <w:r>
              <w:rPr>
                <w:rFonts w:ascii="宋体" w:hAnsi="宋体" w:hint="eastAsia"/>
                <w:bCs/>
                <w:color w:val="000000"/>
                <w:kern w:val="0"/>
              </w:rPr>
              <w:t>机构</w:t>
            </w:r>
          </w:p>
        </w:tc>
        <w:tc>
          <w:tcPr>
            <w:tcW w:w="992" w:type="dxa"/>
            <w:vAlign w:val="center"/>
          </w:tcPr>
          <w:p w:rsidR="001B6709" w:rsidRDefault="00FE052B">
            <w:pPr>
              <w:jc w:val="center"/>
            </w:pPr>
            <w:r>
              <w:rPr>
                <w:rFonts w:ascii="宋体" w:hAnsi="宋体"/>
                <w:color w:val="000000"/>
                <w:kern w:val="0"/>
              </w:rPr>
              <w:t>1</w:t>
            </w:r>
          </w:p>
        </w:tc>
        <w:tc>
          <w:tcPr>
            <w:tcW w:w="1843" w:type="dxa"/>
            <w:vAlign w:val="center"/>
          </w:tcPr>
          <w:p w:rsidR="001B6709" w:rsidRDefault="00FE052B">
            <w:pPr>
              <w:jc w:val="center"/>
            </w:pPr>
            <w:r>
              <w:rPr>
                <w:rFonts w:ascii="宋体" w:hAnsi="宋体"/>
                <w:color w:val="000000"/>
                <w:kern w:val="0"/>
              </w:rPr>
              <w:t>2019/7/1-2019/9/30</w:t>
            </w:r>
          </w:p>
        </w:tc>
        <w:tc>
          <w:tcPr>
            <w:tcW w:w="851" w:type="dxa"/>
            <w:vAlign w:val="center"/>
          </w:tcPr>
          <w:p w:rsidR="001B6709" w:rsidRDefault="00FE052B">
            <w:pPr>
              <w:jc w:val="center"/>
            </w:pPr>
            <w:r>
              <w:rPr>
                <w:rFonts w:ascii="宋体" w:hAnsi="宋体"/>
                <w:color w:val="000000"/>
                <w:kern w:val="0"/>
              </w:rPr>
              <w:t>377,073,152.34</w:t>
            </w:r>
          </w:p>
        </w:tc>
        <w:tc>
          <w:tcPr>
            <w:tcW w:w="850" w:type="dxa"/>
            <w:vAlign w:val="center"/>
          </w:tcPr>
          <w:p w:rsidR="001B6709" w:rsidRDefault="00FE052B">
            <w:pPr>
              <w:jc w:val="center"/>
            </w:pPr>
            <w:r>
              <w:rPr>
                <w:rFonts w:ascii="宋体" w:hAnsi="宋体"/>
                <w:color w:val="000000"/>
                <w:kern w:val="0"/>
              </w:rPr>
              <w:t>-</w:t>
            </w:r>
          </w:p>
        </w:tc>
        <w:tc>
          <w:tcPr>
            <w:tcW w:w="1134" w:type="dxa"/>
            <w:vAlign w:val="center"/>
          </w:tcPr>
          <w:p w:rsidR="001B6709" w:rsidRDefault="00FE052B">
            <w:pPr>
              <w:jc w:val="center"/>
            </w:pPr>
            <w:r>
              <w:rPr>
                <w:rFonts w:ascii="宋体" w:hAnsi="宋体"/>
                <w:color w:val="000000"/>
                <w:kern w:val="0"/>
              </w:rPr>
              <w:t>188,536,576.17</w:t>
            </w:r>
          </w:p>
        </w:tc>
        <w:tc>
          <w:tcPr>
            <w:tcW w:w="1419" w:type="dxa"/>
            <w:vAlign w:val="center"/>
          </w:tcPr>
          <w:p w:rsidR="001B6709" w:rsidRDefault="00FE052B">
            <w:pPr>
              <w:jc w:val="center"/>
            </w:pPr>
            <w:r>
              <w:rPr>
                <w:rFonts w:ascii="宋体" w:hAnsi="宋体"/>
                <w:color w:val="000000"/>
                <w:kern w:val="0"/>
              </w:rPr>
              <w:t>188,536,576.17</w:t>
            </w:r>
          </w:p>
        </w:tc>
        <w:tc>
          <w:tcPr>
            <w:tcW w:w="1130" w:type="dxa"/>
            <w:vAlign w:val="center"/>
          </w:tcPr>
          <w:p w:rsidR="001B6709" w:rsidRDefault="00FE052B">
            <w:pPr>
              <w:jc w:val="center"/>
            </w:pPr>
            <w:r>
              <w:rPr>
                <w:rFonts w:ascii="宋体" w:hAnsi="宋体"/>
                <w:color w:val="000000"/>
                <w:kern w:val="0"/>
              </w:rPr>
              <w:t>9.99%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B6709" w:rsidRDefault="00FE052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1B6709" w:rsidRDefault="00FE052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1B6709" w:rsidRDefault="00FE052B">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B6709" w:rsidRDefault="00FE052B">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B6709" w:rsidRDefault="00FE052B">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B6709" w:rsidRDefault="00FE052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F3F89">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F3F89">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交银施罗德信用添利债券证券投资基金（</w:t>
    </w:r>
    <w:r w:rsidRPr="003E676C">
      <w:rPr>
        <w:sz w:val="24"/>
        <w:szCs w:val="24"/>
      </w:rPr>
      <w:t>LOF</w:t>
    </w:r>
    <w:r w:rsidRPr="003E676C">
      <w:rPr>
        <w:sz w:val="24"/>
        <w:szCs w:val="24"/>
      </w:rPr>
      <w:t>）</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B6709"/>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2F3F89"/>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52B"/>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1632-54EE-4DB8-8F6B-6BFCE096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13</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599</cp:revision>
  <dcterms:created xsi:type="dcterms:W3CDTF">2012-10-16T06:07:00Z</dcterms:created>
  <dcterms:modified xsi:type="dcterms:W3CDTF">2019-10-16T11:19:00Z</dcterms:modified>
</cp:coreProperties>
</file>