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512,672,445.25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在严格控制风险和追求资产稳健增值的基础上,力求获得高于业绩基准的投资收益。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pPr>
              <w:adjustRightInd w:val="0"/>
              <w:spacing w:before="29" w:line="288" w:lineRule="auto"/>
              <w:ind w:left="17"/>
              <w:jc w:val="left"/>
              <w:rPr>
                <w:color w:val="000000"/>
                <w:sz w:val="24"/>
              </w:rPr>
            </w:pPr>
            <w:r>
              <w:rPr>
                <w:color w:val="000000"/>
                <w:kern w:val="0"/>
                <w:sz w:val="24"/>
              </w:rPr>
              <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519746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519748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503,452,961.36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9,219,483.89</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注：本基金自2017年1月20日起转为开放式运作。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交银丰享收益债券A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交银丰享收益债券C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11,015,050.56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98,243.07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13,195,561.48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120,796.97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0.0262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1,040,076,771.38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9,904,967.09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交银丰享收益债券A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1.27%</w:t>
            </w:r>
          </w:p>
        </w:tc>
        <w:tc>
          <w:tcPr>
            <w:vAlign w:val="center"/>
          </w:tcPr>
          <w:p>
            <w:pPr>
              <w:jc w:val="center"/>
            </w:pPr>
            <w:r>
              <w:rPr>
                <w:color w:val="000000"/>
                <w:sz w:val="24"/>
              </w:rPr>
              <w:t>0.03%</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0.82%</w:t>
            </w:r>
          </w:p>
        </w:tc>
        <w:tc>
          <w:tcPr>
            <w:vAlign w:val="center"/>
          </w:tcPr>
          <w:p>
            <w:pPr>
              <w:jc w:val="center"/>
            </w:pPr>
            <w:r>
              <w:rPr>
                <w:color w:val="000000"/>
                <w:sz w:val="24"/>
              </w:rPr>
              <w:t>-0.01%</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注：本基金自2017年1月20日起转为开放式运作，本基金的业绩比较基准由“两年期银行定期存款税后收益率”变更为“中债综合全价指数”，3.2.2同。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交银丰享收益债券C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1.13%</w:t>
            </w:r>
          </w:p>
        </w:tc>
        <w:tc>
          <w:tcPr>
            <w:vAlign w:val="center"/>
          </w:tcPr>
          <w:p>
            <w:pPr>
              <w:jc w:val="center"/>
            </w:pPr>
            <w:r>
              <w:rPr>
                <w:color w:val="000000"/>
                <w:sz w:val="24"/>
              </w:rPr>
              <w:t>0.04%</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0.68%</w:t>
            </w:r>
          </w:p>
        </w:tc>
        <w:tc>
          <w:tcPr>
            <w:vAlign w:val="center"/>
          </w:tcPr>
          <w:p>
            <w:pPr>
              <w:jc w:val="center"/>
            </w:pPr>
            <w:r>
              <w:rPr>
                <w:color w:val="000000"/>
                <w:sz w:val="24"/>
              </w:rPr>
              <w:t>0.00%</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lastRenderedPageBreak/>
        <w:t/>
      </w:r>
      <w:r w:rsidR="004D614E" w:rsidRPr="007F52FA">
        <w:rPr>
          <w:color w:val="000000"/>
          <w:sz w:val="24"/>
        </w:rPr>
        <w:t/>
      </w:r>
      <w:r w:rsidR="00FE7FBD" w:rsidRPr="007F52FA">
        <w:rPr>
          <w:color w:val="000000"/>
          <w:sz w:val="24"/>
        </w:rPr>
        <w:t>注：本基金自2017年1月20日起转为开放式运作，本基金的业绩比较基准由“两年期银行定期存款税后收益率”变更为“中债综合全价指数”，3.2.2同。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交银施罗德丰享收益债券型证券投资基金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2015年1月19日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注：本基金自2017年1月20日起，开始销售A类份额，投资者提交的申购申请于2017年1月25日被确认并将有效份额登记在册。图示日期为2017年1月25日至2019年9月30日。</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交银丰享收益债券C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注：图示日期为2015年1月19日至2019年9月30日。本基金建仓期为自基金合同生效日起的6个月。截至建仓期结束，本基金各项资产配置比例符合基金合同及招募说明书有关投资比例的约定。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2015-07-25</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呈现先涨后跌的走势。个别银行信用风险暴露事件叠加政策对地产融资的限制，使得债市交易逻辑再度回到“宽货币紧信用”环境，此间中美贸易摩擦升级和人民币汇率贬值成为助推器，十年国债最低下行到3%，十年国开最低下行到3.39%。九月之后通胀预期不断升温，专项债提前下发等稳增长政策也陆续出台，在类滞胀格局下货币宽松不及预期，债市也随之小幅调整。截止2019年9月24日，十年国债收益率最高上行至3.12%，十年国开收益率上行至3.51%。</w:t>
      </w:r>
    </w:p>
    <w:p>
      <w:pPr>
        <w:spacing w:before="29" w:line="288" w:lineRule="auto"/>
        <w:ind w:firstLine="480" w:firstLineChars="200"/>
        <w:rPr>
          <w:color w:val="000000"/>
          <w:sz w:val="24"/>
        </w:rPr>
      </w:pPr>
      <w:r>
        <w:rPr>
          <w:color w:val="000000"/>
          <w:sz w:val="24"/>
        </w:rPr>
        <w:t>基金操作方面，从绝对收益率、期限利差和杠杆成本角度看，目前2-3年的中高等级信用债性价比较好，本基金将绝对收益率较低的品种逐渐置换为三年左右的信用债，提高了组合静态收益，同时择机配置了部份中长端利率债，控制整体组合久期，辅以合理杠杆水平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我们认为经济下行的斜率和通胀上行的预期是影响债市的因素。在地产和出口约束下，后续稳增长发力仅可依赖专项债，年内经济企稳概率不高。猪价超预期上涨和地缘政治因素对油价的推动，导致年末通胀上行压力较大，四季度名义增速或有小幅抬升。货币政策在九月降准之后短期内将保持定力，稳定宏观杠杆率的思路下信用难以明显扩张。债券收益率短期或维持震荡格局，票息策略更占优。组合操作方面，我们将维持中性久期，在保持组合流动性的前提下密切关注长端利率债的交易窗口，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1,302,544,000.00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1,302,544,000.00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151,421.17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22,096,025.23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1,324,791,446.40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190,302,000.00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18.12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190,302,000.00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18.12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150,566,000.00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14.34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961,676,000.00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91.59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1,302,544,000.00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124.05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101554021</w:t>
            </w:r>
          </w:p>
        </w:tc>
        <w:tc>
          <w:tcPr>
            <w:vAlign w:val="center"/>
          </w:tcPr>
          <w:p>
            <w:pPr>
              <w:jc w:val="center"/>
            </w:pPr>
            <w:r>
              <w:rPr>
                <w:color w:val="000000"/>
                <w:sz w:val="24"/>
              </w:rPr>
              <w:t>15粤物资MTN001</w:t>
            </w:r>
          </w:p>
        </w:tc>
        <w:tc>
          <w:tcPr>
            <w:vAlign w:val="center"/>
          </w:tcPr>
          <w:p>
            <w:pPr>
              <w:jc w:val="right"/>
            </w:pPr>
            <w:r>
              <w:rPr>
                <w:color w:val="000000"/>
                <w:sz w:val="24"/>
              </w:rPr>
              <w:t>800,000</w:t>
            </w:r>
          </w:p>
        </w:tc>
        <w:tc>
          <w:tcPr>
            <w:vAlign w:val="center"/>
          </w:tcPr>
          <w:p>
            <w:pPr>
              <w:jc w:val="right"/>
            </w:pPr>
            <w:r>
              <w:rPr>
                <w:color w:val="000000"/>
                <w:sz w:val="24"/>
              </w:rPr>
              <w:t>81,344,000.00</w:t>
            </w:r>
          </w:p>
        </w:tc>
        <w:tc>
          <w:tcPr>
            <w:vAlign w:val="center"/>
          </w:tcPr>
          <w:p>
            <w:pPr>
              <w:jc w:val="right"/>
            </w:pPr>
            <w:r>
              <w:rPr>
                <w:color w:val="000000"/>
                <w:sz w:val="24"/>
              </w:rPr>
              <w:t>7.75</w:t>
            </w:r>
          </w:p>
        </w:tc>
      </w:tr>
      <w:tr>
        <w:tc>
          <w:tcPr>
            <w:vAlign w:val="center"/>
          </w:tcPr>
          <w:p>
            <w:pPr>
              <w:jc w:val="center"/>
            </w:pPr>
            <w:r>
              <w:rPr>
                <w:color w:val="000000"/>
                <w:sz w:val="24"/>
              </w:rPr>
              <w:t>2</w:t>
            </w:r>
          </w:p>
        </w:tc>
        <w:tc>
          <w:tcPr>
            <w:vAlign w:val="center"/>
          </w:tcPr>
          <w:p>
            <w:pPr>
              <w:jc w:val="center"/>
            </w:pPr>
            <w:r>
              <w:rPr>
                <w:color w:val="000000"/>
                <w:sz w:val="24"/>
              </w:rPr>
              <w:t>011900688</w:t>
            </w:r>
          </w:p>
        </w:tc>
        <w:tc>
          <w:tcPr>
            <w:vAlign w:val="center"/>
          </w:tcPr>
          <w:p>
            <w:pPr>
              <w:jc w:val="center"/>
            </w:pPr>
            <w:r>
              <w:rPr>
                <w:color w:val="000000"/>
                <w:sz w:val="24"/>
              </w:rPr>
              <w:t>19长发集团SCP002</w:t>
            </w:r>
          </w:p>
        </w:tc>
        <w:tc>
          <w:tcPr>
            <w:vAlign w:val="center"/>
          </w:tcPr>
          <w:p>
            <w:pPr>
              <w:jc w:val="right"/>
            </w:pPr>
            <w:r>
              <w:rPr>
                <w:color w:val="000000"/>
                <w:sz w:val="24"/>
              </w:rPr>
              <w:t>700,000</w:t>
            </w:r>
          </w:p>
        </w:tc>
        <w:tc>
          <w:tcPr>
            <w:vAlign w:val="center"/>
          </w:tcPr>
          <w:p>
            <w:pPr>
              <w:jc w:val="right"/>
            </w:pPr>
            <w:r>
              <w:rPr>
                <w:color w:val="000000"/>
                <w:sz w:val="24"/>
              </w:rPr>
              <w:t>70,266,000.00</w:t>
            </w:r>
          </w:p>
        </w:tc>
        <w:tc>
          <w:tcPr>
            <w:vAlign w:val="center"/>
          </w:tcPr>
          <w:p>
            <w:pPr>
              <w:jc w:val="right"/>
            </w:pPr>
            <w:r>
              <w:rPr>
                <w:color w:val="000000"/>
                <w:sz w:val="24"/>
              </w:rPr>
              <w:t>6.69</w:t>
            </w:r>
          </w:p>
        </w:tc>
      </w:tr>
      <w:tr>
        <w:tc>
          <w:tcPr>
            <w:vAlign w:val="center"/>
          </w:tcPr>
          <w:p>
            <w:pPr>
              <w:jc w:val="center"/>
            </w:pPr>
            <w:r>
              <w:rPr>
                <w:color w:val="000000"/>
                <w:sz w:val="24"/>
              </w:rPr>
              <w:t>3</w:t>
            </w:r>
          </w:p>
        </w:tc>
        <w:tc>
          <w:tcPr>
            <w:vAlign w:val="center"/>
          </w:tcPr>
          <w:p>
            <w:pPr>
              <w:jc w:val="center"/>
            </w:pPr>
            <w:r>
              <w:rPr>
                <w:color w:val="000000"/>
                <w:sz w:val="24"/>
              </w:rPr>
              <w:t>101800261</w:t>
            </w:r>
          </w:p>
        </w:tc>
        <w:tc>
          <w:tcPr>
            <w:vAlign w:val="center"/>
          </w:tcPr>
          <w:p>
            <w:pPr>
              <w:jc w:val="center"/>
            </w:pPr>
            <w:r>
              <w:rPr>
                <w:color w:val="000000"/>
                <w:sz w:val="24"/>
              </w:rPr>
              <w:t>18即墨旅投MTN001</w:t>
            </w:r>
          </w:p>
        </w:tc>
        <w:tc>
          <w:tcPr>
            <w:vAlign w:val="center"/>
          </w:tcPr>
          <w:p>
            <w:pPr>
              <w:jc w:val="right"/>
            </w:pPr>
            <w:r>
              <w:rPr>
                <w:color w:val="000000"/>
                <w:sz w:val="24"/>
              </w:rPr>
              <w:t>600,000</w:t>
            </w:r>
          </w:p>
        </w:tc>
        <w:tc>
          <w:tcPr>
            <w:vAlign w:val="center"/>
          </w:tcPr>
          <w:p>
            <w:pPr>
              <w:jc w:val="right"/>
            </w:pPr>
            <w:r>
              <w:rPr>
                <w:color w:val="000000"/>
                <w:sz w:val="24"/>
              </w:rPr>
              <w:t>62,190,000.00</w:t>
            </w:r>
          </w:p>
        </w:tc>
        <w:tc>
          <w:tcPr>
            <w:vAlign w:val="center"/>
          </w:tcPr>
          <w:p>
            <w:pPr>
              <w:jc w:val="right"/>
            </w:pPr>
            <w:r>
              <w:rPr>
                <w:color w:val="000000"/>
                <w:sz w:val="24"/>
              </w:rPr>
              <w:t>5.92</w:t>
            </w:r>
          </w:p>
        </w:tc>
      </w:tr>
      <w:tr>
        <w:tc>
          <w:tcPr>
            <w:vAlign w:val="center"/>
          </w:tcPr>
          <w:p>
            <w:pPr>
              <w:jc w:val="center"/>
            </w:pPr>
            <w:r>
              <w:rPr>
                <w:color w:val="000000"/>
                <w:sz w:val="24"/>
              </w:rPr>
              <w:t>4</w:t>
            </w:r>
          </w:p>
        </w:tc>
        <w:tc>
          <w:tcPr>
            <w:vAlign w:val="center"/>
          </w:tcPr>
          <w:p>
            <w:pPr>
              <w:jc w:val="center"/>
            </w:pPr>
            <w:r>
              <w:rPr>
                <w:color w:val="000000"/>
                <w:sz w:val="24"/>
              </w:rPr>
              <w:t>101800640</w:t>
            </w:r>
          </w:p>
        </w:tc>
        <w:tc>
          <w:tcPr>
            <w:vAlign w:val="center"/>
          </w:tcPr>
          <w:p>
            <w:pPr>
              <w:jc w:val="center"/>
            </w:pPr>
            <w:r>
              <w:rPr>
                <w:color w:val="000000"/>
                <w:sz w:val="24"/>
              </w:rPr>
              <w:t>18环球租赁MTN001</w:t>
            </w:r>
          </w:p>
        </w:tc>
        <w:tc>
          <w:tcPr>
            <w:vAlign w:val="center"/>
          </w:tcPr>
          <w:p>
            <w:pPr>
              <w:jc w:val="right"/>
            </w:pPr>
            <w:r>
              <w:rPr>
                <w:color w:val="000000"/>
                <w:sz w:val="24"/>
              </w:rPr>
              <w:t>600,000</w:t>
            </w:r>
          </w:p>
        </w:tc>
        <w:tc>
          <w:tcPr>
            <w:vAlign w:val="center"/>
          </w:tcPr>
          <w:p>
            <w:pPr>
              <w:jc w:val="right"/>
            </w:pPr>
            <w:r>
              <w:rPr>
                <w:color w:val="000000"/>
                <w:sz w:val="24"/>
              </w:rPr>
              <w:t>61,962,000.00</w:t>
            </w:r>
          </w:p>
        </w:tc>
        <w:tc>
          <w:tcPr>
            <w:vAlign w:val="center"/>
          </w:tcPr>
          <w:p>
            <w:pPr>
              <w:jc w:val="right"/>
            </w:pPr>
            <w:r>
              <w:rPr>
                <w:color w:val="000000"/>
                <w:sz w:val="24"/>
              </w:rPr>
              <w:t>5.90</w:t>
            </w:r>
          </w:p>
        </w:tc>
      </w:tr>
      <w:tr>
        <w:tc>
          <w:tcPr>
            <w:vAlign w:val="center"/>
          </w:tcPr>
          <w:p>
            <w:pPr>
              <w:jc w:val="center"/>
            </w:pPr>
            <w:r>
              <w:rPr>
                <w:color w:val="000000"/>
                <w:sz w:val="24"/>
              </w:rPr>
              <w:t>5</w:t>
            </w:r>
          </w:p>
        </w:tc>
        <w:tc>
          <w:tcPr>
            <w:vAlign w:val="center"/>
          </w:tcPr>
          <w:p>
            <w:pPr>
              <w:jc w:val="center"/>
            </w:pPr>
            <w:r>
              <w:rPr>
                <w:color w:val="000000"/>
                <w:sz w:val="24"/>
              </w:rPr>
              <w:t>101800160</w:t>
            </w:r>
          </w:p>
        </w:tc>
        <w:tc>
          <w:tcPr>
            <w:vAlign w:val="center"/>
          </w:tcPr>
          <w:p>
            <w:pPr>
              <w:jc w:val="center"/>
            </w:pPr>
            <w:r>
              <w:rPr>
                <w:color w:val="000000"/>
                <w:sz w:val="24"/>
              </w:rPr>
              <w:t>18港兴港投MTN001</w:t>
            </w:r>
          </w:p>
        </w:tc>
        <w:tc>
          <w:tcPr>
            <w:vAlign w:val="center"/>
          </w:tcPr>
          <w:p>
            <w:pPr>
              <w:jc w:val="right"/>
            </w:pPr>
            <w:r>
              <w:rPr>
                <w:color w:val="000000"/>
                <w:sz w:val="24"/>
              </w:rPr>
              <w:t>500,000</w:t>
            </w:r>
          </w:p>
        </w:tc>
        <w:tc>
          <w:tcPr>
            <w:vAlign w:val="center"/>
          </w:tcPr>
          <w:p>
            <w:pPr>
              <w:jc w:val="right"/>
            </w:pPr>
            <w:r>
              <w:rPr>
                <w:color w:val="000000"/>
                <w:sz w:val="24"/>
              </w:rPr>
              <w:t>51,940,000.00</w:t>
            </w:r>
          </w:p>
        </w:tc>
        <w:tc>
          <w:tcPr>
            <w:vAlign w:val="center"/>
          </w:tcPr>
          <w:p>
            <w:pPr>
              <w:jc w:val="right"/>
            </w:pPr>
            <w:r>
              <w:rPr>
                <w:color w:val="000000"/>
                <w:sz w:val="24"/>
              </w:rPr>
              <w:t>4.95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22,088,892.56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6,982.64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150.03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22,096,025.23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交银丰享收益债券A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交银丰享收益债券C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504,571,243.00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10,077,526.91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639,399.26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154,723.18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1,757,680.90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1,012,766.20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503,452,961.36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9,219,483.89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48.16%</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48.16%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1、中国证监会准予交银施罗德丰享收益债券型证券投资基金募集注册的文件；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2、《交银施罗德丰享收益债券型证券投资基金基金合同》；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3、《交银施罗德丰享收益债券型证券投资基金招募说明书》；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4、《交银施罗德丰享收益债券型证券投资基金托管协议》；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7、关于申请募集注册交银施罗德丰享收益债券型证券投资基金的法律意见书；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8、报告期内交银施罗德丰享收益债券型证券投资基金在指定报刊上各项公告的原稿。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交银施罗德丰享收益债券型证券投资基金2019年第3季度报告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