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交银施罗德精选混合型证券投资基金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二〇一九年十月二十二日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5523A" w:rsidRDefault="00BC26E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5523A" w:rsidRDefault="00BC26EA">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5523A" w:rsidRDefault="00BC26E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5523A" w:rsidRDefault="00BC26EA">
      <w:pPr>
        <w:spacing w:before="29" w:line="288" w:lineRule="auto"/>
        <w:ind w:firstLineChars="200" w:firstLine="480"/>
        <w:rPr>
          <w:color w:val="000000"/>
          <w:sz w:val="24"/>
          <w:szCs w:val="24"/>
        </w:rPr>
      </w:pPr>
      <w:r>
        <w:rPr>
          <w:color w:val="000000"/>
          <w:sz w:val="24"/>
          <w:szCs w:val="24"/>
        </w:rPr>
        <w:t>基金的过往业绩并不代表其未来表现。投资有风</w:t>
      </w:r>
      <w:r>
        <w:rPr>
          <w:color w:val="000000"/>
          <w:sz w:val="24"/>
          <w:szCs w:val="24"/>
        </w:rPr>
        <w:t>险，投资者在作出投资决策前应仔细阅读本基金的招募说明书。</w:t>
      </w:r>
      <w:r>
        <w:rPr>
          <w:color w:val="000000"/>
          <w:sz w:val="24"/>
          <w:szCs w:val="24"/>
        </w:rPr>
        <w:t xml:space="preserve"> </w:t>
      </w:r>
    </w:p>
    <w:p w:rsidR="0035523A" w:rsidRDefault="00BC26EA">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2005</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6,840,832,243.69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94148" w:rsidRPr="00414345" w:rsidTr="00B9414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B94148" w:rsidRPr="00414345" w:rsidTr="00B9414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444,515,585.14</w:t>
            </w:r>
          </w:p>
        </w:tc>
      </w:tr>
      <w:tr w:rsidR="00B94148" w:rsidRPr="00414345" w:rsidTr="00B9414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228,592,553.94</w:t>
            </w:r>
          </w:p>
        </w:tc>
      </w:tr>
      <w:tr w:rsidR="00B94148" w:rsidRPr="00414345" w:rsidTr="00B9414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0.0332</w:t>
            </w:r>
          </w:p>
        </w:tc>
      </w:tr>
      <w:tr w:rsidR="00B94148" w:rsidRPr="00414345" w:rsidTr="00B9414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4,945,957,323.12</w:t>
            </w:r>
          </w:p>
        </w:tc>
      </w:tr>
      <w:tr w:rsidR="00B94148" w:rsidRPr="00414345" w:rsidTr="00B9414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0.7230</w:t>
            </w:r>
          </w:p>
        </w:tc>
      </w:tr>
    </w:tbl>
    <w:p w:rsidR="0035523A" w:rsidRDefault="00BC26E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5523A">
        <w:trPr>
          <w:jc w:val="center"/>
        </w:trPr>
        <w:tc>
          <w:tcPr>
            <w:tcW w:w="1701" w:type="dxa"/>
            <w:vAlign w:val="center"/>
          </w:tcPr>
          <w:p w:rsidR="0035523A" w:rsidRDefault="00BC26EA">
            <w:pPr>
              <w:jc w:val="left"/>
            </w:pPr>
            <w:r>
              <w:rPr>
                <w:color w:val="000000"/>
                <w:sz w:val="24"/>
                <w:szCs w:val="24"/>
              </w:rPr>
              <w:t>过去三个月</w:t>
            </w:r>
          </w:p>
        </w:tc>
        <w:tc>
          <w:tcPr>
            <w:tcW w:w="1045" w:type="dxa"/>
            <w:vAlign w:val="center"/>
          </w:tcPr>
          <w:p w:rsidR="0035523A" w:rsidRDefault="00BC26EA">
            <w:pPr>
              <w:jc w:val="center"/>
            </w:pPr>
            <w:r>
              <w:rPr>
                <w:color w:val="000000"/>
                <w:sz w:val="24"/>
                <w:szCs w:val="24"/>
              </w:rPr>
              <w:t>4.93%</w:t>
            </w:r>
          </w:p>
        </w:tc>
        <w:tc>
          <w:tcPr>
            <w:tcW w:w="1344" w:type="dxa"/>
            <w:vAlign w:val="center"/>
          </w:tcPr>
          <w:p w:rsidR="0035523A" w:rsidRDefault="00BC26EA">
            <w:pPr>
              <w:jc w:val="center"/>
            </w:pPr>
            <w:r>
              <w:rPr>
                <w:color w:val="000000"/>
                <w:sz w:val="24"/>
                <w:szCs w:val="24"/>
              </w:rPr>
              <w:t>0.92%</w:t>
            </w:r>
          </w:p>
        </w:tc>
        <w:tc>
          <w:tcPr>
            <w:tcW w:w="1194" w:type="dxa"/>
            <w:vAlign w:val="center"/>
          </w:tcPr>
          <w:p w:rsidR="0035523A" w:rsidRDefault="00BC26EA">
            <w:pPr>
              <w:jc w:val="center"/>
            </w:pPr>
            <w:r>
              <w:rPr>
                <w:color w:val="000000"/>
                <w:sz w:val="24"/>
                <w:szCs w:val="24"/>
              </w:rPr>
              <w:t>0.18%</w:t>
            </w:r>
          </w:p>
        </w:tc>
        <w:tc>
          <w:tcPr>
            <w:tcW w:w="1492" w:type="dxa"/>
            <w:vAlign w:val="center"/>
          </w:tcPr>
          <w:p w:rsidR="0035523A" w:rsidRDefault="00BC26EA">
            <w:pPr>
              <w:jc w:val="center"/>
            </w:pPr>
            <w:r>
              <w:rPr>
                <w:color w:val="000000"/>
                <w:sz w:val="24"/>
                <w:szCs w:val="24"/>
              </w:rPr>
              <w:t>0.72%</w:t>
            </w:r>
          </w:p>
        </w:tc>
        <w:tc>
          <w:tcPr>
            <w:tcW w:w="1194" w:type="dxa"/>
            <w:vAlign w:val="center"/>
          </w:tcPr>
          <w:p w:rsidR="0035523A" w:rsidRDefault="00BC26EA">
            <w:pPr>
              <w:jc w:val="center"/>
            </w:pPr>
            <w:r>
              <w:rPr>
                <w:color w:val="000000"/>
                <w:sz w:val="24"/>
                <w:szCs w:val="24"/>
              </w:rPr>
              <w:t>4.75%</w:t>
            </w:r>
          </w:p>
        </w:tc>
        <w:tc>
          <w:tcPr>
            <w:tcW w:w="898" w:type="dxa"/>
            <w:vAlign w:val="center"/>
          </w:tcPr>
          <w:p w:rsidR="0035523A" w:rsidRDefault="00BC26EA">
            <w:pPr>
              <w:jc w:val="center"/>
            </w:pPr>
            <w:r>
              <w:rPr>
                <w:color w:val="000000"/>
                <w:sz w:val="24"/>
                <w:szCs w:val="24"/>
              </w:rPr>
              <w:t>0.20%</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交银施罗德精选混合型证券投资基金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5523A">
        <w:trPr>
          <w:jc w:val="center"/>
        </w:trPr>
        <w:tc>
          <w:tcPr>
            <w:tcW w:w="846" w:type="dxa"/>
            <w:vAlign w:val="center"/>
          </w:tcPr>
          <w:p w:rsidR="0035523A" w:rsidRDefault="00BC26EA">
            <w:pPr>
              <w:jc w:val="center"/>
            </w:pPr>
            <w:r>
              <w:rPr>
                <w:color w:val="000000"/>
                <w:sz w:val="24"/>
                <w:szCs w:val="24"/>
              </w:rPr>
              <w:t>王崇</w:t>
            </w:r>
          </w:p>
        </w:tc>
        <w:tc>
          <w:tcPr>
            <w:tcW w:w="845" w:type="dxa"/>
            <w:vAlign w:val="center"/>
          </w:tcPr>
          <w:p w:rsidR="0035523A" w:rsidRDefault="00BC26EA">
            <w:pPr>
              <w:jc w:val="center"/>
            </w:pPr>
            <w:r>
              <w:rPr>
                <w:color w:val="000000"/>
                <w:sz w:val="24"/>
                <w:szCs w:val="24"/>
              </w:rPr>
              <w:t>交银精选混合、交银新成长混合</w:t>
            </w:r>
            <w:r w:rsidR="00B94148" w:rsidRPr="00B94148">
              <w:rPr>
                <w:rFonts w:hint="eastAsia"/>
                <w:color w:val="000000"/>
                <w:sz w:val="24"/>
                <w:szCs w:val="24"/>
              </w:rPr>
              <w:t>、</w:t>
            </w:r>
            <w:bookmarkStart w:id="0" w:name="_GoBack"/>
            <w:r w:rsidR="00B94148" w:rsidRPr="00B94148">
              <w:rPr>
                <w:rFonts w:hint="eastAsia"/>
                <w:color w:val="000000"/>
                <w:sz w:val="24"/>
                <w:szCs w:val="24"/>
              </w:rPr>
              <w:t>交银瑞丰混合</w:t>
            </w:r>
            <w:r>
              <w:rPr>
                <w:color w:val="000000"/>
                <w:sz w:val="24"/>
                <w:szCs w:val="24"/>
              </w:rPr>
              <w:t>的基金经理，公司权益投资</w:t>
            </w:r>
            <w:bookmarkEnd w:id="0"/>
            <w:r>
              <w:rPr>
                <w:color w:val="000000"/>
                <w:sz w:val="24"/>
                <w:szCs w:val="24"/>
              </w:rPr>
              <w:lastRenderedPageBreak/>
              <w:t>副总监</w:t>
            </w:r>
          </w:p>
        </w:tc>
        <w:tc>
          <w:tcPr>
            <w:tcW w:w="1549" w:type="dxa"/>
            <w:vAlign w:val="center"/>
          </w:tcPr>
          <w:p w:rsidR="0035523A" w:rsidRDefault="00BC26EA">
            <w:pPr>
              <w:jc w:val="center"/>
            </w:pPr>
            <w:r>
              <w:rPr>
                <w:color w:val="000000"/>
                <w:sz w:val="24"/>
                <w:szCs w:val="24"/>
              </w:rPr>
              <w:lastRenderedPageBreak/>
              <w:t>2017-06-03</w:t>
            </w:r>
          </w:p>
        </w:tc>
        <w:tc>
          <w:tcPr>
            <w:tcW w:w="1548" w:type="dxa"/>
            <w:vAlign w:val="center"/>
          </w:tcPr>
          <w:p w:rsidR="0035523A" w:rsidRDefault="00BC26EA">
            <w:pPr>
              <w:jc w:val="center"/>
            </w:pPr>
            <w:r>
              <w:rPr>
                <w:color w:val="000000"/>
                <w:sz w:val="24"/>
                <w:szCs w:val="24"/>
              </w:rPr>
              <w:t>-</w:t>
            </w:r>
          </w:p>
        </w:tc>
        <w:tc>
          <w:tcPr>
            <w:tcW w:w="1407" w:type="dxa"/>
            <w:vAlign w:val="center"/>
          </w:tcPr>
          <w:p w:rsidR="0035523A" w:rsidRDefault="00BC26EA">
            <w:pPr>
              <w:jc w:val="center"/>
            </w:pPr>
            <w:r>
              <w:rPr>
                <w:color w:val="000000"/>
                <w:sz w:val="24"/>
                <w:szCs w:val="24"/>
              </w:rPr>
              <w:t>11</w:t>
            </w:r>
            <w:r>
              <w:rPr>
                <w:color w:val="000000"/>
                <w:sz w:val="24"/>
                <w:szCs w:val="24"/>
              </w:rPr>
              <w:t>年</w:t>
            </w:r>
          </w:p>
        </w:tc>
        <w:tc>
          <w:tcPr>
            <w:tcW w:w="2673" w:type="dxa"/>
            <w:vAlign w:val="center"/>
          </w:tcPr>
          <w:p w:rsidR="0035523A" w:rsidRDefault="00BC26EA">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5523A" w:rsidRDefault="00BC26E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5523A" w:rsidRDefault="00BC26E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5523A" w:rsidRDefault="00BC26E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5523A" w:rsidRDefault="00BC26EA">
      <w:pPr>
        <w:spacing w:before="29" w:line="288" w:lineRule="auto"/>
        <w:ind w:firstLineChars="200" w:firstLine="480"/>
        <w:rPr>
          <w:color w:val="000000"/>
          <w:sz w:val="24"/>
          <w:szCs w:val="24"/>
        </w:rPr>
      </w:pPr>
      <w:r>
        <w:rPr>
          <w:color w:val="000000"/>
          <w:sz w:val="24"/>
          <w:szCs w:val="24"/>
        </w:rPr>
        <w:t>2019</w:t>
      </w:r>
      <w:r>
        <w:rPr>
          <w:color w:val="000000"/>
          <w:sz w:val="24"/>
          <w:szCs w:val="24"/>
        </w:rPr>
        <w:t>年三季度国内经济延续回落趋势，同时政策定力增强，维持稳健货币政策，房地产调控政策延续从紧，坚持房住不炒。三季度</w:t>
      </w:r>
      <w:r>
        <w:rPr>
          <w:color w:val="000000"/>
          <w:sz w:val="24"/>
          <w:szCs w:val="24"/>
        </w:rPr>
        <w:t>A</w:t>
      </w:r>
      <w:r>
        <w:rPr>
          <w:color w:val="000000"/>
          <w:sz w:val="24"/>
          <w:szCs w:val="24"/>
        </w:rPr>
        <w:t>股市场对中美贸易冲突逐渐脱敏，</w:t>
      </w:r>
      <w:r>
        <w:rPr>
          <w:color w:val="000000"/>
          <w:sz w:val="24"/>
          <w:szCs w:val="24"/>
        </w:rPr>
        <w:lastRenderedPageBreak/>
        <w:t>市场从正面解读中看到</w:t>
      </w:r>
      <w:r>
        <w:rPr>
          <w:color w:val="000000"/>
          <w:sz w:val="24"/>
          <w:szCs w:val="24"/>
        </w:rPr>
        <w:t>5G</w:t>
      </w:r>
      <w:r>
        <w:rPr>
          <w:color w:val="000000"/>
          <w:sz w:val="24"/>
          <w:szCs w:val="24"/>
        </w:rPr>
        <w:t>和国产替代带来的科技板块投资机会，同时三季度初科创板推出后高估值交易，主板</w:t>
      </w:r>
      <w:r>
        <w:rPr>
          <w:color w:val="000000"/>
          <w:sz w:val="24"/>
          <w:szCs w:val="24"/>
        </w:rPr>
        <w:t>TMT</w:t>
      </w:r>
      <w:r>
        <w:rPr>
          <w:color w:val="000000"/>
          <w:sz w:val="24"/>
          <w:szCs w:val="24"/>
        </w:rPr>
        <w:t>估值出现比较优势，以半导体和消费电子为首的</w:t>
      </w:r>
      <w:r>
        <w:rPr>
          <w:color w:val="000000"/>
          <w:sz w:val="24"/>
          <w:szCs w:val="24"/>
        </w:rPr>
        <w:t>TMT</w:t>
      </w:r>
      <w:r>
        <w:rPr>
          <w:color w:val="000000"/>
          <w:sz w:val="24"/>
          <w:szCs w:val="24"/>
        </w:rPr>
        <w:t>科技板块领涨市场，涨幅遥遥领先，而受房地产调控从紧的影响的房地产以及相关产业链个股跌幅靠前。</w:t>
      </w:r>
    </w:p>
    <w:p w:rsidR="0035523A" w:rsidRDefault="00BC26EA">
      <w:pPr>
        <w:spacing w:before="29" w:line="288" w:lineRule="auto"/>
        <w:ind w:firstLineChars="200" w:firstLine="480"/>
        <w:rPr>
          <w:color w:val="000000"/>
          <w:sz w:val="24"/>
          <w:szCs w:val="24"/>
        </w:rPr>
      </w:pPr>
      <w:r>
        <w:rPr>
          <w:color w:val="000000"/>
          <w:sz w:val="24"/>
          <w:szCs w:val="24"/>
        </w:rPr>
        <w:t>本基金三季度大部分时间保持中性偏低仓位，坚持自下而上，同时行业分散配置，规避热门行业板块，个股集中度略有下降。行业层面减持金融、医疗服务以及电子；增持房地产、建材以及医疗器械。从三季度总体表现来看，本基金跑赢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四季度，我们维持中期乐观的同时对四季度市场持谨慎态度。考虑到目前的经济状况、利率水平以及政策取向，我们仍旧认为大类资产配置中权益最优，从估值盈利匹配度来看，有不少传统行业优质公司龙头仍旧值得投资和持有。另一方面，我们注意到，长期逻辑通畅的新兴产业（如医疗服务、创新药以及半导体计算机等）经历了三季度大幅上涨后估值处于历史高位，而以房地产为首相关传统行业估值处于历史低位，两者比值接近历史极值。后面到底是高估值板块下跌，还是低估值补涨，未来如何演绎值得关注。最后，核心资产的概念已深入人心，相关核心资产股票的价格已不再具有优势，那么简单抓龙头买入持有式的投资方法可能已经不再那么有效，至少是未来收益率会下降。本基金后续继续关注一、二线房地产龙头、医疗服务器械、以及计算机为首的新兴成长，努力寻找中期市值空间较大的优质公司股票做中期布局，恪守能力圈和安全边际原则，努力为基金持有人带来稳定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3,695,625,759.14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74.48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3,695,625,759.14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74.48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239,928,000.00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239,928,000.00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616,201,790.78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12.42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409,959,602.23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8.26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4,961,715,152.15</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902,165,315.68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129,037,283.20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429,389,290.51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387,617,015.79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867,750,829.63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25,563,275.00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235,639,605.16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242,523,532.33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458,443,611.84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17,496,000.00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3,695,625,759.14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74.72</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5523A">
        <w:trPr>
          <w:jc w:val="center"/>
        </w:trPr>
        <w:tc>
          <w:tcPr>
            <w:tcW w:w="855" w:type="dxa"/>
            <w:vAlign w:val="center"/>
          </w:tcPr>
          <w:p w:rsidR="0035523A" w:rsidRDefault="00BC26EA">
            <w:pPr>
              <w:jc w:val="center"/>
            </w:pPr>
            <w:r>
              <w:rPr>
                <w:color w:val="000000"/>
                <w:sz w:val="24"/>
                <w:szCs w:val="24"/>
              </w:rPr>
              <w:t>1</w:t>
            </w:r>
          </w:p>
        </w:tc>
        <w:tc>
          <w:tcPr>
            <w:tcW w:w="1334" w:type="dxa"/>
            <w:vAlign w:val="center"/>
          </w:tcPr>
          <w:p w:rsidR="0035523A" w:rsidRDefault="00BC26EA">
            <w:pPr>
              <w:jc w:val="center"/>
            </w:pPr>
            <w:r>
              <w:rPr>
                <w:color w:val="000000"/>
                <w:sz w:val="24"/>
                <w:szCs w:val="24"/>
              </w:rPr>
              <w:t>600048</w:t>
            </w:r>
          </w:p>
        </w:tc>
        <w:tc>
          <w:tcPr>
            <w:tcW w:w="1777" w:type="dxa"/>
            <w:vAlign w:val="center"/>
          </w:tcPr>
          <w:p w:rsidR="0035523A" w:rsidRDefault="00BC26EA">
            <w:pPr>
              <w:jc w:val="center"/>
            </w:pPr>
            <w:r>
              <w:rPr>
                <w:color w:val="000000"/>
                <w:sz w:val="24"/>
                <w:szCs w:val="24"/>
              </w:rPr>
              <w:t>保利地产</w:t>
            </w:r>
          </w:p>
        </w:tc>
        <w:tc>
          <w:tcPr>
            <w:tcW w:w="1334" w:type="dxa"/>
            <w:vAlign w:val="center"/>
          </w:tcPr>
          <w:p w:rsidR="0035523A" w:rsidRDefault="00BC26EA">
            <w:pPr>
              <w:jc w:val="right"/>
            </w:pPr>
            <w:r>
              <w:rPr>
                <w:color w:val="000000"/>
                <w:sz w:val="24"/>
                <w:szCs w:val="24"/>
              </w:rPr>
              <w:t>27,845,096</w:t>
            </w:r>
          </w:p>
        </w:tc>
        <w:tc>
          <w:tcPr>
            <w:tcW w:w="1924" w:type="dxa"/>
            <w:vAlign w:val="center"/>
          </w:tcPr>
          <w:p w:rsidR="0035523A" w:rsidRDefault="00BC26EA">
            <w:pPr>
              <w:jc w:val="right"/>
            </w:pPr>
            <w:r>
              <w:rPr>
                <w:color w:val="000000"/>
                <w:sz w:val="24"/>
                <w:szCs w:val="24"/>
              </w:rPr>
              <w:t>398,184,872.80</w:t>
            </w:r>
          </w:p>
        </w:tc>
        <w:tc>
          <w:tcPr>
            <w:tcW w:w="1644" w:type="dxa"/>
            <w:vAlign w:val="center"/>
          </w:tcPr>
          <w:p w:rsidR="0035523A" w:rsidRDefault="00BC26EA">
            <w:pPr>
              <w:jc w:val="right"/>
            </w:pPr>
            <w:r>
              <w:rPr>
                <w:color w:val="000000"/>
                <w:sz w:val="24"/>
                <w:szCs w:val="24"/>
              </w:rPr>
              <w:t>8.05</w:t>
            </w:r>
          </w:p>
        </w:tc>
      </w:tr>
      <w:tr w:rsidR="0035523A">
        <w:trPr>
          <w:jc w:val="center"/>
        </w:trPr>
        <w:tc>
          <w:tcPr>
            <w:tcW w:w="855" w:type="dxa"/>
            <w:vAlign w:val="center"/>
          </w:tcPr>
          <w:p w:rsidR="0035523A" w:rsidRDefault="00BC26EA">
            <w:pPr>
              <w:jc w:val="center"/>
            </w:pPr>
            <w:r>
              <w:rPr>
                <w:color w:val="000000"/>
                <w:sz w:val="24"/>
                <w:szCs w:val="24"/>
              </w:rPr>
              <w:t>2</w:t>
            </w:r>
          </w:p>
        </w:tc>
        <w:tc>
          <w:tcPr>
            <w:tcW w:w="1334" w:type="dxa"/>
            <w:vAlign w:val="center"/>
          </w:tcPr>
          <w:p w:rsidR="0035523A" w:rsidRDefault="00BC26EA">
            <w:pPr>
              <w:jc w:val="center"/>
            </w:pPr>
            <w:r>
              <w:rPr>
                <w:color w:val="000000"/>
                <w:sz w:val="24"/>
                <w:szCs w:val="24"/>
              </w:rPr>
              <w:t>002044</w:t>
            </w:r>
          </w:p>
        </w:tc>
        <w:tc>
          <w:tcPr>
            <w:tcW w:w="1777" w:type="dxa"/>
            <w:vAlign w:val="center"/>
          </w:tcPr>
          <w:p w:rsidR="0035523A" w:rsidRDefault="00BC26EA">
            <w:pPr>
              <w:jc w:val="center"/>
            </w:pPr>
            <w:r>
              <w:rPr>
                <w:color w:val="000000"/>
                <w:sz w:val="24"/>
                <w:szCs w:val="24"/>
              </w:rPr>
              <w:t>美年健康</w:t>
            </w:r>
          </w:p>
        </w:tc>
        <w:tc>
          <w:tcPr>
            <w:tcW w:w="1334" w:type="dxa"/>
            <w:vAlign w:val="center"/>
          </w:tcPr>
          <w:p w:rsidR="0035523A" w:rsidRDefault="00BC26EA">
            <w:pPr>
              <w:jc w:val="right"/>
            </w:pPr>
            <w:r>
              <w:rPr>
                <w:color w:val="000000"/>
                <w:sz w:val="24"/>
                <w:szCs w:val="24"/>
              </w:rPr>
              <w:t>29,455,774</w:t>
            </w:r>
          </w:p>
        </w:tc>
        <w:tc>
          <w:tcPr>
            <w:tcW w:w="1924" w:type="dxa"/>
            <w:vAlign w:val="center"/>
          </w:tcPr>
          <w:p w:rsidR="0035523A" w:rsidRDefault="00BC26EA">
            <w:pPr>
              <w:jc w:val="right"/>
            </w:pPr>
            <w:r>
              <w:rPr>
                <w:color w:val="000000"/>
                <w:sz w:val="24"/>
                <w:szCs w:val="24"/>
              </w:rPr>
              <w:t>357,386,611.84</w:t>
            </w:r>
          </w:p>
        </w:tc>
        <w:tc>
          <w:tcPr>
            <w:tcW w:w="1644" w:type="dxa"/>
            <w:vAlign w:val="center"/>
          </w:tcPr>
          <w:p w:rsidR="0035523A" w:rsidRDefault="00BC26EA">
            <w:pPr>
              <w:jc w:val="right"/>
            </w:pPr>
            <w:r>
              <w:rPr>
                <w:color w:val="000000"/>
                <w:sz w:val="24"/>
                <w:szCs w:val="24"/>
              </w:rPr>
              <w:t>7.23</w:t>
            </w:r>
          </w:p>
        </w:tc>
      </w:tr>
      <w:tr w:rsidR="0035523A">
        <w:trPr>
          <w:jc w:val="center"/>
        </w:trPr>
        <w:tc>
          <w:tcPr>
            <w:tcW w:w="855" w:type="dxa"/>
            <w:vAlign w:val="center"/>
          </w:tcPr>
          <w:p w:rsidR="0035523A" w:rsidRDefault="00BC26EA">
            <w:pPr>
              <w:jc w:val="center"/>
            </w:pPr>
            <w:r>
              <w:rPr>
                <w:color w:val="000000"/>
                <w:sz w:val="24"/>
                <w:szCs w:val="24"/>
              </w:rPr>
              <w:t>3</w:t>
            </w:r>
          </w:p>
        </w:tc>
        <w:tc>
          <w:tcPr>
            <w:tcW w:w="1334" w:type="dxa"/>
            <w:vAlign w:val="center"/>
          </w:tcPr>
          <w:p w:rsidR="0035523A" w:rsidRDefault="00BC26EA">
            <w:pPr>
              <w:jc w:val="center"/>
            </w:pPr>
            <w:r>
              <w:rPr>
                <w:color w:val="000000"/>
                <w:sz w:val="24"/>
                <w:szCs w:val="24"/>
              </w:rPr>
              <w:t>002271</w:t>
            </w:r>
          </w:p>
        </w:tc>
        <w:tc>
          <w:tcPr>
            <w:tcW w:w="1777" w:type="dxa"/>
            <w:vAlign w:val="center"/>
          </w:tcPr>
          <w:p w:rsidR="0035523A" w:rsidRDefault="00BC26EA">
            <w:pPr>
              <w:jc w:val="center"/>
            </w:pPr>
            <w:r>
              <w:rPr>
                <w:color w:val="000000"/>
                <w:sz w:val="24"/>
                <w:szCs w:val="24"/>
              </w:rPr>
              <w:t>东方雨虹</w:t>
            </w:r>
          </w:p>
        </w:tc>
        <w:tc>
          <w:tcPr>
            <w:tcW w:w="1334" w:type="dxa"/>
            <w:vAlign w:val="center"/>
          </w:tcPr>
          <w:p w:rsidR="0035523A" w:rsidRDefault="00BC26EA">
            <w:pPr>
              <w:jc w:val="right"/>
            </w:pPr>
            <w:r>
              <w:rPr>
                <w:color w:val="000000"/>
                <w:sz w:val="24"/>
                <w:szCs w:val="24"/>
              </w:rPr>
              <w:t>16,748,585</w:t>
            </w:r>
          </w:p>
        </w:tc>
        <w:tc>
          <w:tcPr>
            <w:tcW w:w="1924" w:type="dxa"/>
            <w:vAlign w:val="center"/>
          </w:tcPr>
          <w:p w:rsidR="0035523A" w:rsidRDefault="00BC26EA">
            <w:pPr>
              <w:jc w:val="right"/>
            </w:pPr>
            <w:r>
              <w:rPr>
                <w:color w:val="000000"/>
                <w:sz w:val="24"/>
                <w:szCs w:val="24"/>
              </w:rPr>
              <w:t>352,055,256.70</w:t>
            </w:r>
          </w:p>
        </w:tc>
        <w:tc>
          <w:tcPr>
            <w:tcW w:w="1644" w:type="dxa"/>
            <w:vAlign w:val="center"/>
          </w:tcPr>
          <w:p w:rsidR="0035523A" w:rsidRDefault="00BC26EA">
            <w:pPr>
              <w:jc w:val="right"/>
            </w:pPr>
            <w:r>
              <w:rPr>
                <w:color w:val="000000"/>
                <w:sz w:val="24"/>
                <w:szCs w:val="24"/>
              </w:rPr>
              <w:t>7.12</w:t>
            </w:r>
          </w:p>
        </w:tc>
      </w:tr>
      <w:tr w:rsidR="0035523A">
        <w:trPr>
          <w:jc w:val="center"/>
        </w:trPr>
        <w:tc>
          <w:tcPr>
            <w:tcW w:w="855" w:type="dxa"/>
            <w:vAlign w:val="center"/>
          </w:tcPr>
          <w:p w:rsidR="0035523A" w:rsidRDefault="00BC26EA">
            <w:pPr>
              <w:jc w:val="center"/>
            </w:pPr>
            <w:r>
              <w:rPr>
                <w:color w:val="000000"/>
                <w:sz w:val="24"/>
                <w:szCs w:val="24"/>
              </w:rPr>
              <w:t>4</w:t>
            </w:r>
          </w:p>
        </w:tc>
        <w:tc>
          <w:tcPr>
            <w:tcW w:w="1334" w:type="dxa"/>
            <w:vAlign w:val="center"/>
          </w:tcPr>
          <w:p w:rsidR="0035523A" w:rsidRDefault="00BC26EA">
            <w:pPr>
              <w:jc w:val="center"/>
            </w:pPr>
            <w:r>
              <w:rPr>
                <w:color w:val="000000"/>
                <w:sz w:val="24"/>
                <w:szCs w:val="24"/>
              </w:rPr>
              <w:t>601166</w:t>
            </w:r>
          </w:p>
        </w:tc>
        <w:tc>
          <w:tcPr>
            <w:tcW w:w="1777" w:type="dxa"/>
            <w:vAlign w:val="center"/>
          </w:tcPr>
          <w:p w:rsidR="0035523A" w:rsidRDefault="00BC26EA">
            <w:pPr>
              <w:jc w:val="center"/>
            </w:pPr>
            <w:r>
              <w:rPr>
                <w:color w:val="000000"/>
                <w:sz w:val="24"/>
                <w:szCs w:val="24"/>
              </w:rPr>
              <w:t>兴业银行</w:t>
            </w:r>
          </w:p>
        </w:tc>
        <w:tc>
          <w:tcPr>
            <w:tcW w:w="1334" w:type="dxa"/>
            <w:vAlign w:val="center"/>
          </w:tcPr>
          <w:p w:rsidR="0035523A" w:rsidRDefault="00BC26EA">
            <w:pPr>
              <w:jc w:val="right"/>
            </w:pPr>
            <w:r>
              <w:rPr>
                <w:color w:val="000000"/>
                <w:sz w:val="24"/>
                <w:szCs w:val="24"/>
              </w:rPr>
              <w:t>13,996,071</w:t>
            </w:r>
          </w:p>
        </w:tc>
        <w:tc>
          <w:tcPr>
            <w:tcW w:w="1924" w:type="dxa"/>
            <w:vAlign w:val="center"/>
          </w:tcPr>
          <w:p w:rsidR="0035523A" w:rsidRDefault="00BC26EA">
            <w:pPr>
              <w:jc w:val="right"/>
            </w:pPr>
            <w:r>
              <w:rPr>
                <w:color w:val="000000"/>
                <w:sz w:val="24"/>
                <w:szCs w:val="24"/>
              </w:rPr>
              <w:t>245,351,124.63</w:t>
            </w:r>
          </w:p>
        </w:tc>
        <w:tc>
          <w:tcPr>
            <w:tcW w:w="1644" w:type="dxa"/>
            <w:vAlign w:val="center"/>
          </w:tcPr>
          <w:p w:rsidR="0035523A" w:rsidRDefault="00BC26EA">
            <w:pPr>
              <w:jc w:val="right"/>
            </w:pPr>
            <w:r>
              <w:rPr>
                <w:color w:val="000000"/>
                <w:sz w:val="24"/>
                <w:szCs w:val="24"/>
              </w:rPr>
              <w:t>4.96</w:t>
            </w:r>
          </w:p>
        </w:tc>
      </w:tr>
      <w:tr w:rsidR="0035523A">
        <w:trPr>
          <w:jc w:val="center"/>
        </w:trPr>
        <w:tc>
          <w:tcPr>
            <w:tcW w:w="855" w:type="dxa"/>
            <w:vAlign w:val="center"/>
          </w:tcPr>
          <w:p w:rsidR="0035523A" w:rsidRDefault="00BC26EA">
            <w:pPr>
              <w:jc w:val="center"/>
            </w:pPr>
            <w:r>
              <w:rPr>
                <w:color w:val="000000"/>
                <w:sz w:val="24"/>
                <w:szCs w:val="24"/>
              </w:rPr>
              <w:t>5</w:t>
            </w:r>
          </w:p>
        </w:tc>
        <w:tc>
          <w:tcPr>
            <w:tcW w:w="1334" w:type="dxa"/>
            <w:vAlign w:val="center"/>
          </w:tcPr>
          <w:p w:rsidR="0035523A" w:rsidRDefault="00BC26EA">
            <w:pPr>
              <w:jc w:val="center"/>
            </w:pPr>
            <w:r>
              <w:rPr>
                <w:color w:val="000000"/>
                <w:sz w:val="24"/>
                <w:szCs w:val="24"/>
              </w:rPr>
              <w:t>002607</w:t>
            </w:r>
          </w:p>
        </w:tc>
        <w:tc>
          <w:tcPr>
            <w:tcW w:w="1777" w:type="dxa"/>
            <w:vAlign w:val="center"/>
          </w:tcPr>
          <w:p w:rsidR="0035523A" w:rsidRDefault="00BC26EA">
            <w:pPr>
              <w:jc w:val="center"/>
            </w:pPr>
            <w:r>
              <w:rPr>
                <w:color w:val="000000"/>
                <w:sz w:val="24"/>
                <w:szCs w:val="24"/>
              </w:rPr>
              <w:t>中公教育</w:t>
            </w:r>
          </w:p>
        </w:tc>
        <w:tc>
          <w:tcPr>
            <w:tcW w:w="1334" w:type="dxa"/>
            <w:vAlign w:val="center"/>
          </w:tcPr>
          <w:p w:rsidR="0035523A" w:rsidRDefault="00BC26EA">
            <w:pPr>
              <w:jc w:val="right"/>
            </w:pPr>
            <w:r>
              <w:rPr>
                <w:color w:val="000000"/>
                <w:sz w:val="24"/>
                <w:szCs w:val="24"/>
              </w:rPr>
              <w:t>14,906,179</w:t>
            </w:r>
          </w:p>
        </w:tc>
        <w:tc>
          <w:tcPr>
            <w:tcW w:w="1924" w:type="dxa"/>
            <w:vAlign w:val="center"/>
          </w:tcPr>
          <w:p w:rsidR="0035523A" w:rsidRDefault="00BC26EA">
            <w:pPr>
              <w:jc w:val="right"/>
            </w:pPr>
            <w:r>
              <w:rPr>
                <w:color w:val="000000"/>
                <w:sz w:val="24"/>
                <w:szCs w:val="24"/>
              </w:rPr>
              <w:t>242,523,532.33</w:t>
            </w:r>
          </w:p>
        </w:tc>
        <w:tc>
          <w:tcPr>
            <w:tcW w:w="1644" w:type="dxa"/>
            <w:vAlign w:val="center"/>
          </w:tcPr>
          <w:p w:rsidR="0035523A" w:rsidRDefault="00BC26EA">
            <w:pPr>
              <w:jc w:val="right"/>
            </w:pPr>
            <w:r>
              <w:rPr>
                <w:color w:val="000000"/>
                <w:sz w:val="24"/>
                <w:szCs w:val="24"/>
              </w:rPr>
              <w:t>4.90</w:t>
            </w:r>
          </w:p>
        </w:tc>
      </w:tr>
      <w:tr w:rsidR="0035523A">
        <w:trPr>
          <w:jc w:val="center"/>
        </w:trPr>
        <w:tc>
          <w:tcPr>
            <w:tcW w:w="855" w:type="dxa"/>
            <w:vAlign w:val="center"/>
          </w:tcPr>
          <w:p w:rsidR="0035523A" w:rsidRDefault="00BC26EA">
            <w:pPr>
              <w:jc w:val="center"/>
            </w:pPr>
            <w:r>
              <w:rPr>
                <w:color w:val="000000"/>
                <w:sz w:val="24"/>
                <w:szCs w:val="24"/>
              </w:rPr>
              <w:t>6</w:t>
            </w:r>
          </w:p>
        </w:tc>
        <w:tc>
          <w:tcPr>
            <w:tcW w:w="1334" w:type="dxa"/>
            <w:vAlign w:val="center"/>
          </w:tcPr>
          <w:p w:rsidR="0035523A" w:rsidRDefault="00BC26EA">
            <w:pPr>
              <w:jc w:val="center"/>
            </w:pPr>
            <w:r>
              <w:rPr>
                <w:color w:val="000000"/>
                <w:sz w:val="24"/>
                <w:szCs w:val="24"/>
              </w:rPr>
              <w:t>300012</w:t>
            </w:r>
          </w:p>
        </w:tc>
        <w:tc>
          <w:tcPr>
            <w:tcW w:w="1777" w:type="dxa"/>
            <w:vAlign w:val="center"/>
          </w:tcPr>
          <w:p w:rsidR="0035523A" w:rsidRDefault="00BC26EA">
            <w:pPr>
              <w:jc w:val="center"/>
            </w:pPr>
            <w:r>
              <w:rPr>
                <w:color w:val="000000"/>
                <w:sz w:val="24"/>
                <w:szCs w:val="24"/>
              </w:rPr>
              <w:t>华测检测</w:t>
            </w:r>
          </w:p>
        </w:tc>
        <w:tc>
          <w:tcPr>
            <w:tcW w:w="1334" w:type="dxa"/>
            <w:vAlign w:val="center"/>
          </w:tcPr>
          <w:p w:rsidR="0035523A" w:rsidRDefault="00BC26EA">
            <w:pPr>
              <w:jc w:val="right"/>
            </w:pPr>
            <w:r>
              <w:rPr>
                <w:color w:val="000000"/>
                <w:sz w:val="24"/>
                <w:szCs w:val="24"/>
              </w:rPr>
              <w:t>18,671,918</w:t>
            </w:r>
          </w:p>
        </w:tc>
        <w:tc>
          <w:tcPr>
            <w:tcW w:w="1924" w:type="dxa"/>
            <w:vAlign w:val="center"/>
          </w:tcPr>
          <w:p w:rsidR="0035523A" w:rsidRDefault="00BC26EA">
            <w:pPr>
              <w:jc w:val="right"/>
            </w:pPr>
            <w:r>
              <w:rPr>
                <w:color w:val="000000"/>
                <w:sz w:val="24"/>
                <w:szCs w:val="24"/>
              </w:rPr>
              <w:t>235,639,605.16</w:t>
            </w:r>
          </w:p>
        </w:tc>
        <w:tc>
          <w:tcPr>
            <w:tcW w:w="1644" w:type="dxa"/>
            <w:vAlign w:val="center"/>
          </w:tcPr>
          <w:p w:rsidR="0035523A" w:rsidRDefault="00BC26EA">
            <w:pPr>
              <w:jc w:val="right"/>
            </w:pPr>
            <w:r>
              <w:rPr>
                <w:color w:val="000000"/>
                <w:sz w:val="24"/>
                <w:szCs w:val="24"/>
              </w:rPr>
              <w:t>4.76</w:t>
            </w:r>
          </w:p>
        </w:tc>
      </w:tr>
      <w:tr w:rsidR="0035523A">
        <w:trPr>
          <w:jc w:val="center"/>
        </w:trPr>
        <w:tc>
          <w:tcPr>
            <w:tcW w:w="855" w:type="dxa"/>
            <w:vAlign w:val="center"/>
          </w:tcPr>
          <w:p w:rsidR="0035523A" w:rsidRDefault="00BC26EA">
            <w:pPr>
              <w:jc w:val="center"/>
            </w:pPr>
            <w:r>
              <w:rPr>
                <w:color w:val="000000"/>
                <w:sz w:val="24"/>
                <w:szCs w:val="24"/>
              </w:rPr>
              <w:t>7</w:t>
            </w:r>
          </w:p>
        </w:tc>
        <w:tc>
          <w:tcPr>
            <w:tcW w:w="1334" w:type="dxa"/>
            <w:vAlign w:val="center"/>
          </w:tcPr>
          <w:p w:rsidR="0035523A" w:rsidRDefault="00BC26EA">
            <w:pPr>
              <w:jc w:val="center"/>
            </w:pPr>
            <w:r>
              <w:rPr>
                <w:color w:val="000000"/>
                <w:sz w:val="24"/>
                <w:szCs w:val="24"/>
              </w:rPr>
              <w:t>000002</w:t>
            </w:r>
          </w:p>
        </w:tc>
        <w:tc>
          <w:tcPr>
            <w:tcW w:w="1777" w:type="dxa"/>
            <w:vAlign w:val="center"/>
          </w:tcPr>
          <w:p w:rsidR="0035523A" w:rsidRDefault="00BC26EA">
            <w:pPr>
              <w:jc w:val="center"/>
            </w:pPr>
            <w:r>
              <w:rPr>
                <w:color w:val="000000"/>
                <w:sz w:val="24"/>
                <w:szCs w:val="24"/>
              </w:rPr>
              <w:t>万科</w:t>
            </w:r>
            <w:r>
              <w:rPr>
                <w:color w:val="000000"/>
                <w:sz w:val="24"/>
                <w:szCs w:val="24"/>
              </w:rPr>
              <w:t>A</w:t>
            </w:r>
          </w:p>
        </w:tc>
        <w:tc>
          <w:tcPr>
            <w:tcW w:w="1334" w:type="dxa"/>
            <w:vAlign w:val="center"/>
          </w:tcPr>
          <w:p w:rsidR="0035523A" w:rsidRDefault="00BC26EA">
            <w:pPr>
              <w:jc w:val="right"/>
            </w:pPr>
            <w:r>
              <w:rPr>
                <w:color w:val="000000"/>
                <w:sz w:val="24"/>
                <w:szCs w:val="24"/>
              </w:rPr>
              <w:t>7,635,876</w:t>
            </w:r>
          </w:p>
        </w:tc>
        <w:tc>
          <w:tcPr>
            <w:tcW w:w="1924" w:type="dxa"/>
            <w:vAlign w:val="center"/>
          </w:tcPr>
          <w:p w:rsidR="0035523A" w:rsidRDefault="00BC26EA">
            <w:pPr>
              <w:jc w:val="right"/>
            </w:pPr>
            <w:r>
              <w:rPr>
                <w:color w:val="000000"/>
                <w:sz w:val="24"/>
                <w:szCs w:val="24"/>
              </w:rPr>
              <w:t>197,769,188.40</w:t>
            </w:r>
          </w:p>
        </w:tc>
        <w:tc>
          <w:tcPr>
            <w:tcW w:w="1644" w:type="dxa"/>
            <w:vAlign w:val="center"/>
          </w:tcPr>
          <w:p w:rsidR="0035523A" w:rsidRDefault="00BC26EA">
            <w:pPr>
              <w:jc w:val="right"/>
            </w:pPr>
            <w:r>
              <w:rPr>
                <w:color w:val="000000"/>
                <w:sz w:val="24"/>
                <w:szCs w:val="24"/>
              </w:rPr>
              <w:t>4.00</w:t>
            </w:r>
          </w:p>
        </w:tc>
      </w:tr>
      <w:tr w:rsidR="0035523A">
        <w:trPr>
          <w:jc w:val="center"/>
        </w:trPr>
        <w:tc>
          <w:tcPr>
            <w:tcW w:w="855" w:type="dxa"/>
            <w:vAlign w:val="center"/>
          </w:tcPr>
          <w:p w:rsidR="0035523A" w:rsidRDefault="00BC26EA">
            <w:pPr>
              <w:jc w:val="center"/>
            </w:pPr>
            <w:r>
              <w:rPr>
                <w:color w:val="000000"/>
                <w:sz w:val="24"/>
                <w:szCs w:val="24"/>
              </w:rPr>
              <w:t>8</w:t>
            </w:r>
          </w:p>
        </w:tc>
        <w:tc>
          <w:tcPr>
            <w:tcW w:w="1334" w:type="dxa"/>
            <w:vAlign w:val="center"/>
          </w:tcPr>
          <w:p w:rsidR="0035523A" w:rsidRDefault="00BC26EA">
            <w:pPr>
              <w:jc w:val="center"/>
            </w:pPr>
            <w:r>
              <w:rPr>
                <w:color w:val="000000"/>
                <w:sz w:val="24"/>
                <w:szCs w:val="24"/>
              </w:rPr>
              <w:t>600529</w:t>
            </w:r>
          </w:p>
        </w:tc>
        <w:tc>
          <w:tcPr>
            <w:tcW w:w="1777" w:type="dxa"/>
            <w:vAlign w:val="center"/>
          </w:tcPr>
          <w:p w:rsidR="0035523A" w:rsidRDefault="00BC26EA">
            <w:pPr>
              <w:jc w:val="center"/>
            </w:pPr>
            <w:r>
              <w:rPr>
                <w:color w:val="000000"/>
                <w:sz w:val="24"/>
                <w:szCs w:val="24"/>
              </w:rPr>
              <w:t>山东药玻</w:t>
            </w:r>
          </w:p>
        </w:tc>
        <w:tc>
          <w:tcPr>
            <w:tcW w:w="1334" w:type="dxa"/>
            <w:vAlign w:val="center"/>
          </w:tcPr>
          <w:p w:rsidR="0035523A" w:rsidRDefault="00BC26EA">
            <w:pPr>
              <w:jc w:val="right"/>
            </w:pPr>
            <w:r>
              <w:rPr>
                <w:color w:val="000000"/>
                <w:sz w:val="24"/>
                <w:szCs w:val="24"/>
              </w:rPr>
              <w:t>6,998,333</w:t>
            </w:r>
          </w:p>
        </w:tc>
        <w:tc>
          <w:tcPr>
            <w:tcW w:w="1924" w:type="dxa"/>
            <w:vAlign w:val="center"/>
          </w:tcPr>
          <w:p w:rsidR="0035523A" w:rsidRDefault="00BC26EA">
            <w:pPr>
              <w:jc w:val="right"/>
            </w:pPr>
            <w:r>
              <w:rPr>
                <w:color w:val="000000"/>
                <w:sz w:val="24"/>
                <w:szCs w:val="24"/>
              </w:rPr>
              <w:t>163,201,125.56</w:t>
            </w:r>
          </w:p>
        </w:tc>
        <w:tc>
          <w:tcPr>
            <w:tcW w:w="1644" w:type="dxa"/>
            <w:vAlign w:val="center"/>
          </w:tcPr>
          <w:p w:rsidR="0035523A" w:rsidRDefault="00BC26EA">
            <w:pPr>
              <w:jc w:val="right"/>
            </w:pPr>
            <w:r>
              <w:rPr>
                <w:color w:val="000000"/>
                <w:sz w:val="24"/>
                <w:szCs w:val="24"/>
              </w:rPr>
              <w:t>3.30</w:t>
            </w:r>
          </w:p>
        </w:tc>
      </w:tr>
      <w:tr w:rsidR="0035523A">
        <w:trPr>
          <w:jc w:val="center"/>
        </w:trPr>
        <w:tc>
          <w:tcPr>
            <w:tcW w:w="855" w:type="dxa"/>
            <w:vAlign w:val="center"/>
          </w:tcPr>
          <w:p w:rsidR="0035523A" w:rsidRDefault="00BC26EA">
            <w:pPr>
              <w:jc w:val="center"/>
            </w:pPr>
            <w:r>
              <w:rPr>
                <w:color w:val="000000"/>
                <w:sz w:val="24"/>
                <w:szCs w:val="24"/>
              </w:rPr>
              <w:t>9</w:t>
            </w:r>
          </w:p>
        </w:tc>
        <w:tc>
          <w:tcPr>
            <w:tcW w:w="1334" w:type="dxa"/>
            <w:vAlign w:val="center"/>
          </w:tcPr>
          <w:p w:rsidR="0035523A" w:rsidRDefault="00BC26EA">
            <w:pPr>
              <w:jc w:val="center"/>
            </w:pPr>
            <w:r>
              <w:rPr>
                <w:color w:val="000000"/>
                <w:sz w:val="24"/>
                <w:szCs w:val="24"/>
              </w:rPr>
              <w:t>002475</w:t>
            </w:r>
          </w:p>
        </w:tc>
        <w:tc>
          <w:tcPr>
            <w:tcW w:w="1777" w:type="dxa"/>
            <w:vAlign w:val="center"/>
          </w:tcPr>
          <w:p w:rsidR="0035523A" w:rsidRDefault="00BC26EA">
            <w:pPr>
              <w:jc w:val="center"/>
            </w:pPr>
            <w:r>
              <w:rPr>
                <w:color w:val="000000"/>
                <w:sz w:val="24"/>
                <w:szCs w:val="24"/>
              </w:rPr>
              <w:t>立讯精密</w:t>
            </w:r>
          </w:p>
        </w:tc>
        <w:tc>
          <w:tcPr>
            <w:tcW w:w="1334" w:type="dxa"/>
            <w:vAlign w:val="center"/>
          </w:tcPr>
          <w:p w:rsidR="0035523A" w:rsidRDefault="00BC26EA">
            <w:pPr>
              <w:jc w:val="right"/>
            </w:pPr>
            <w:r>
              <w:rPr>
                <w:color w:val="000000"/>
                <w:sz w:val="24"/>
                <w:szCs w:val="24"/>
              </w:rPr>
              <w:t>5,501,191</w:t>
            </w:r>
          </w:p>
        </w:tc>
        <w:tc>
          <w:tcPr>
            <w:tcW w:w="1924" w:type="dxa"/>
            <w:vAlign w:val="center"/>
          </w:tcPr>
          <w:p w:rsidR="0035523A" w:rsidRDefault="00BC26EA">
            <w:pPr>
              <w:jc w:val="right"/>
            </w:pPr>
            <w:r>
              <w:rPr>
                <w:color w:val="000000"/>
                <w:sz w:val="24"/>
                <w:szCs w:val="24"/>
              </w:rPr>
              <w:t>147,211,871.16</w:t>
            </w:r>
          </w:p>
        </w:tc>
        <w:tc>
          <w:tcPr>
            <w:tcW w:w="1644" w:type="dxa"/>
            <w:vAlign w:val="center"/>
          </w:tcPr>
          <w:p w:rsidR="0035523A" w:rsidRDefault="00BC26EA">
            <w:pPr>
              <w:jc w:val="right"/>
            </w:pPr>
            <w:r>
              <w:rPr>
                <w:color w:val="000000"/>
                <w:sz w:val="24"/>
                <w:szCs w:val="24"/>
              </w:rPr>
              <w:t>2.98</w:t>
            </w:r>
          </w:p>
        </w:tc>
      </w:tr>
      <w:tr w:rsidR="0035523A">
        <w:trPr>
          <w:jc w:val="center"/>
        </w:trPr>
        <w:tc>
          <w:tcPr>
            <w:tcW w:w="855" w:type="dxa"/>
            <w:vAlign w:val="center"/>
          </w:tcPr>
          <w:p w:rsidR="0035523A" w:rsidRDefault="00BC26EA">
            <w:pPr>
              <w:jc w:val="center"/>
            </w:pPr>
            <w:r>
              <w:rPr>
                <w:color w:val="000000"/>
                <w:sz w:val="24"/>
                <w:szCs w:val="24"/>
              </w:rPr>
              <w:t>10</w:t>
            </w:r>
          </w:p>
        </w:tc>
        <w:tc>
          <w:tcPr>
            <w:tcW w:w="1334" w:type="dxa"/>
            <w:vAlign w:val="center"/>
          </w:tcPr>
          <w:p w:rsidR="0035523A" w:rsidRDefault="00BC26EA">
            <w:pPr>
              <w:jc w:val="center"/>
            </w:pPr>
            <w:r>
              <w:rPr>
                <w:color w:val="000000"/>
                <w:sz w:val="24"/>
                <w:szCs w:val="24"/>
              </w:rPr>
              <w:t>601318</w:t>
            </w:r>
          </w:p>
        </w:tc>
        <w:tc>
          <w:tcPr>
            <w:tcW w:w="1777" w:type="dxa"/>
            <w:vAlign w:val="center"/>
          </w:tcPr>
          <w:p w:rsidR="0035523A" w:rsidRDefault="00BC26EA">
            <w:pPr>
              <w:jc w:val="center"/>
            </w:pPr>
            <w:r>
              <w:rPr>
                <w:color w:val="000000"/>
                <w:sz w:val="24"/>
                <w:szCs w:val="24"/>
              </w:rPr>
              <w:t>中国平安</w:t>
            </w:r>
          </w:p>
        </w:tc>
        <w:tc>
          <w:tcPr>
            <w:tcW w:w="1334" w:type="dxa"/>
            <w:vAlign w:val="center"/>
          </w:tcPr>
          <w:p w:rsidR="0035523A" w:rsidRDefault="00BC26EA">
            <w:pPr>
              <w:jc w:val="right"/>
            </w:pPr>
            <w:r>
              <w:rPr>
                <w:color w:val="000000"/>
                <w:sz w:val="24"/>
                <w:szCs w:val="24"/>
              </w:rPr>
              <w:t>1,634,049</w:t>
            </w:r>
          </w:p>
        </w:tc>
        <w:tc>
          <w:tcPr>
            <w:tcW w:w="1924" w:type="dxa"/>
            <w:vAlign w:val="center"/>
          </w:tcPr>
          <w:p w:rsidR="0035523A" w:rsidRDefault="00BC26EA">
            <w:pPr>
              <w:jc w:val="right"/>
            </w:pPr>
            <w:r>
              <w:rPr>
                <w:color w:val="000000"/>
                <w:sz w:val="24"/>
                <w:szCs w:val="24"/>
              </w:rPr>
              <w:t>142,227,624.96</w:t>
            </w:r>
          </w:p>
        </w:tc>
        <w:tc>
          <w:tcPr>
            <w:tcW w:w="1644" w:type="dxa"/>
            <w:vAlign w:val="center"/>
          </w:tcPr>
          <w:p w:rsidR="0035523A" w:rsidRDefault="00BC26EA">
            <w:pPr>
              <w:jc w:val="right"/>
            </w:pPr>
            <w:r>
              <w:rPr>
                <w:color w:val="000000"/>
                <w:sz w:val="24"/>
                <w:szCs w:val="24"/>
              </w:rPr>
              <w:t>2.88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239,928,000.00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239,928,000.00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239,928,000.00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5523A">
        <w:trPr>
          <w:jc w:val="center"/>
        </w:trPr>
        <w:tc>
          <w:tcPr>
            <w:tcW w:w="850" w:type="dxa"/>
            <w:vAlign w:val="center"/>
          </w:tcPr>
          <w:p w:rsidR="0035523A" w:rsidRDefault="00BC26EA">
            <w:pPr>
              <w:jc w:val="center"/>
            </w:pPr>
            <w:r>
              <w:rPr>
                <w:color w:val="000000"/>
                <w:sz w:val="24"/>
                <w:szCs w:val="24"/>
              </w:rPr>
              <w:t>1</w:t>
            </w:r>
          </w:p>
        </w:tc>
        <w:tc>
          <w:tcPr>
            <w:tcW w:w="1475" w:type="dxa"/>
            <w:vAlign w:val="center"/>
          </w:tcPr>
          <w:p w:rsidR="0035523A" w:rsidRDefault="00BC26EA">
            <w:pPr>
              <w:jc w:val="center"/>
            </w:pPr>
            <w:r>
              <w:rPr>
                <w:color w:val="000000"/>
                <w:sz w:val="24"/>
                <w:szCs w:val="24"/>
              </w:rPr>
              <w:t>190206</w:t>
            </w:r>
          </w:p>
        </w:tc>
        <w:tc>
          <w:tcPr>
            <w:tcW w:w="1769" w:type="dxa"/>
            <w:vAlign w:val="center"/>
          </w:tcPr>
          <w:p w:rsidR="0035523A" w:rsidRDefault="00BC26EA">
            <w:pPr>
              <w:jc w:val="center"/>
            </w:pPr>
            <w:r>
              <w:rPr>
                <w:color w:val="000000"/>
                <w:sz w:val="24"/>
                <w:szCs w:val="24"/>
              </w:rPr>
              <w:t>19</w:t>
            </w:r>
            <w:r>
              <w:rPr>
                <w:color w:val="000000"/>
                <w:sz w:val="24"/>
                <w:szCs w:val="24"/>
              </w:rPr>
              <w:t>国开</w:t>
            </w:r>
            <w:r>
              <w:rPr>
                <w:color w:val="000000"/>
                <w:sz w:val="24"/>
                <w:szCs w:val="24"/>
              </w:rPr>
              <w:t>06</w:t>
            </w:r>
          </w:p>
        </w:tc>
        <w:tc>
          <w:tcPr>
            <w:tcW w:w="1387" w:type="dxa"/>
            <w:vAlign w:val="center"/>
          </w:tcPr>
          <w:p w:rsidR="0035523A" w:rsidRDefault="00BC26EA">
            <w:pPr>
              <w:jc w:val="right"/>
            </w:pPr>
            <w:r>
              <w:rPr>
                <w:color w:val="000000"/>
                <w:sz w:val="24"/>
                <w:szCs w:val="24"/>
              </w:rPr>
              <w:t>2,400,000</w:t>
            </w:r>
          </w:p>
        </w:tc>
        <w:tc>
          <w:tcPr>
            <w:tcW w:w="2150" w:type="dxa"/>
            <w:vAlign w:val="center"/>
          </w:tcPr>
          <w:p w:rsidR="0035523A" w:rsidRDefault="00BC26EA">
            <w:pPr>
              <w:jc w:val="right"/>
            </w:pPr>
            <w:r>
              <w:rPr>
                <w:color w:val="000000"/>
                <w:sz w:val="24"/>
                <w:szCs w:val="24"/>
              </w:rPr>
              <w:t>239,928,000.00</w:t>
            </w:r>
          </w:p>
        </w:tc>
        <w:tc>
          <w:tcPr>
            <w:tcW w:w="1237" w:type="dxa"/>
            <w:vAlign w:val="center"/>
          </w:tcPr>
          <w:p w:rsidR="0035523A" w:rsidRDefault="00BC26EA">
            <w:pPr>
              <w:jc w:val="right"/>
            </w:pPr>
            <w:r>
              <w:rPr>
                <w:color w:val="000000"/>
                <w:sz w:val="24"/>
                <w:szCs w:val="24"/>
              </w:rPr>
              <w:t>4.85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r w:rsidRPr="00414345">
        <w:rPr>
          <w:color w:val="000000"/>
          <w:sz w:val="24"/>
          <w:szCs w:val="24"/>
        </w:rPr>
        <w:t xml:space="preserve"> </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1,688,588.46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402,016,931.80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2,907,689.85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3,346,392.12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409,959,602.23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35523A">
        <w:trPr>
          <w:jc w:val="center"/>
        </w:trPr>
        <w:tc>
          <w:tcPr>
            <w:tcW w:w="1129" w:type="dxa"/>
            <w:vAlign w:val="center"/>
          </w:tcPr>
          <w:p w:rsidR="0035523A" w:rsidRDefault="00BC26EA">
            <w:pPr>
              <w:jc w:val="center"/>
            </w:pPr>
            <w:r>
              <w:rPr>
                <w:color w:val="000000"/>
                <w:sz w:val="24"/>
                <w:szCs w:val="24"/>
              </w:rPr>
              <w:t>1</w:t>
            </w:r>
          </w:p>
        </w:tc>
        <w:tc>
          <w:tcPr>
            <w:tcW w:w="1356" w:type="dxa"/>
            <w:vAlign w:val="center"/>
          </w:tcPr>
          <w:p w:rsidR="0035523A" w:rsidRDefault="00BC26EA">
            <w:pPr>
              <w:jc w:val="center"/>
            </w:pPr>
            <w:r>
              <w:rPr>
                <w:color w:val="000000"/>
                <w:sz w:val="24"/>
                <w:szCs w:val="24"/>
              </w:rPr>
              <w:t>002044</w:t>
            </w:r>
          </w:p>
        </w:tc>
        <w:tc>
          <w:tcPr>
            <w:tcW w:w="1355" w:type="dxa"/>
            <w:vAlign w:val="center"/>
          </w:tcPr>
          <w:p w:rsidR="0035523A" w:rsidRDefault="00BC26EA">
            <w:pPr>
              <w:jc w:val="center"/>
            </w:pPr>
            <w:r>
              <w:rPr>
                <w:color w:val="000000"/>
                <w:sz w:val="24"/>
                <w:szCs w:val="24"/>
              </w:rPr>
              <w:t>美年健康</w:t>
            </w:r>
          </w:p>
        </w:tc>
        <w:tc>
          <w:tcPr>
            <w:tcW w:w="1880" w:type="dxa"/>
            <w:vAlign w:val="center"/>
          </w:tcPr>
          <w:p w:rsidR="0035523A" w:rsidRDefault="00BC26EA">
            <w:pPr>
              <w:jc w:val="right"/>
            </w:pPr>
            <w:r>
              <w:rPr>
                <w:color w:val="000000"/>
                <w:sz w:val="24"/>
                <w:szCs w:val="24"/>
              </w:rPr>
              <w:t>24,010,800.00</w:t>
            </w:r>
          </w:p>
        </w:tc>
        <w:tc>
          <w:tcPr>
            <w:tcW w:w="1724" w:type="dxa"/>
            <w:vAlign w:val="center"/>
          </w:tcPr>
          <w:p w:rsidR="0035523A" w:rsidRDefault="00BC26EA">
            <w:pPr>
              <w:jc w:val="right"/>
            </w:pPr>
            <w:r>
              <w:rPr>
                <w:color w:val="000000"/>
                <w:sz w:val="24"/>
                <w:szCs w:val="24"/>
              </w:rPr>
              <w:t>0.49</w:t>
            </w:r>
          </w:p>
        </w:tc>
        <w:tc>
          <w:tcPr>
            <w:tcW w:w="1424" w:type="dxa"/>
            <w:vAlign w:val="center"/>
          </w:tcPr>
          <w:p w:rsidR="0035523A" w:rsidRDefault="00BC26EA">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lastRenderedPageBreak/>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6,815,702,720.00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778,864,897.16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753,735,373.47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6,840,832,243.69</w:t>
            </w:r>
          </w:p>
        </w:tc>
      </w:tr>
    </w:tbl>
    <w:p w:rsidR="0035523A" w:rsidRDefault="00BC26E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r w:rsidRPr="00414345">
        <w:rPr>
          <w:color w:val="000000"/>
          <w:sz w:val="24"/>
          <w:szCs w:val="24"/>
        </w:rPr>
        <w:t xml:space="preserve"> </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35523A" w:rsidRDefault="00BC26E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、中国证监会批准交银施罗德精选股票证券投资基金募集的文件；</w:t>
      </w:r>
      <w:r>
        <w:rPr>
          <w:color w:val="000000"/>
          <w:sz w:val="24"/>
          <w:szCs w:val="24"/>
        </w:rPr>
        <w:t xml:space="preserve"> </w:t>
      </w:r>
    </w:p>
    <w:p w:rsidR="0035523A" w:rsidRDefault="00BC26E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、《交银施罗德精选混合型证券投资基金基金合同》；</w:t>
      </w:r>
      <w:r>
        <w:rPr>
          <w:color w:val="000000"/>
          <w:sz w:val="24"/>
          <w:szCs w:val="24"/>
        </w:rPr>
        <w:t xml:space="preserve"> </w:t>
      </w:r>
    </w:p>
    <w:p w:rsidR="0035523A" w:rsidRDefault="00BC26E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、《交银施罗德精选混合型证券投资基金招募说明书》；</w:t>
      </w:r>
      <w:r>
        <w:rPr>
          <w:color w:val="000000"/>
          <w:sz w:val="24"/>
          <w:szCs w:val="24"/>
        </w:rPr>
        <w:t xml:space="preserve"> </w:t>
      </w:r>
    </w:p>
    <w:p w:rsidR="0035523A" w:rsidRDefault="00BC26E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、《交银施罗德精选混合型证券投资基金托管协议》；</w:t>
      </w:r>
      <w:r>
        <w:rPr>
          <w:color w:val="000000"/>
          <w:sz w:val="24"/>
          <w:szCs w:val="24"/>
        </w:rPr>
        <w:t xml:space="preserve"> </w:t>
      </w:r>
    </w:p>
    <w:p w:rsidR="0035523A" w:rsidRDefault="00BC26EA">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、关于募集交银施罗德精选股票证券投资基金之法律意见书；</w:t>
      </w:r>
      <w:r>
        <w:rPr>
          <w:color w:val="000000"/>
          <w:sz w:val="24"/>
          <w:szCs w:val="24"/>
        </w:rPr>
        <w:t xml:space="preserve"> </w:t>
      </w:r>
    </w:p>
    <w:p w:rsidR="0035523A" w:rsidRDefault="00BC26EA">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5523A" w:rsidRDefault="00BC26EA">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、报告期内交银施罗德精选混合型证券投资基金在指定报刊上各项公告的原稿。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35523A" w:rsidRDefault="00BC26E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6EA" w:rsidRDefault="00BC26EA" w:rsidP="00876D65">
      <w:r>
        <w:separator/>
      </w:r>
    </w:p>
  </w:endnote>
  <w:endnote w:type="continuationSeparator" w:id="0">
    <w:p w:rsidR="00BC26EA" w:rsidRDefault="00BC26E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B94148">
      <w:rPr>
        <w:noProof/>
        <w:kern w:val="0"/>
        <w:szCs w:val="21"/>
      </w:rPr>
      <w:t>4</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B94148">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6EA" w:rsidRDefault="00BC26EA" w:rsidP="00876D65">
      <w:r>
        <w:separator/>
      </w:r>
    </w:p>
  </w:footnote>
  <w:footnote w:type="continuationSeparator" w:id="0">
    <w:p w:rsidR="00BC26EA" w:rsidRDefault="00BC26E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交银施罗德精选混合型证券投资基金</w:t>
    </w:r>
    <w:r w:rsidRPr="003E676C">
      <w:rPr>
        <w:sz w:val="24"/>
        <w:szCs w:val="24"/>
      </w:rPr>
      <w:t>2019</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23A"/>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4148"/>
    <w:rsid w:val="00B959E6"/>
    <w:rsid w:val="00BA604D"/>
    <w:rsid w:val="00BB5DA7"/>
    <w:rsid w:val="00BB5E0E"/>
    <w:rsid w:val="00BC14B3"/>
    <w:rsid w:val="00BC216C"/>
    <w:rsid w:val="00BC26EA"/>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2BE91-930B-4092-BBAA-AC594A8C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1825</TotalTime>
  <Pages>12</Pages>
  <Words>1059</Words>
  <Characters>6041</Characters>
  <Application>Microsoft Office Word</Application>
  <DocSecurity>0</DocSecurity>
  <Lines>50</Lines>
  <Paragraphs>14</Paragraphs>
  <ScaleCrop>false</ScaleCrop>
  <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598</cp:revision>
  <dcterms:created xsi:type="dcterms:W3CDTF">2012-10-16T06:07:00Z</dcterms:created>
  <dcterms:modified xsi:type="dcterms:W3CDTF">2019-10-18T03:22:00Z</dcterms:modified>
</cp:coreProperties>
</file>