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36"/>
          <w:szCs w:val="36"/>
        </w:rPr>
      </w:pPr>
    </w:p>
    <w:p w:rsidP="0099526C" w:rsidR="008D7EF7" w:rsidRDefault="008D7EF7" w:rsidRPr="00BD3DFE">
      <w:pPr>
        <w:spacing w:before="29" w:line="288" w:lineRule="auto"/>
        <w:jc w:val="center"/>
        <w:rPr>
          <w:b/>
          <w:sz w:val="36"/>
          <w:szCs w:val="36"/>
        </w:rPr>
      </w:pPr>
      <w:r w:rsidRPr="00BD3DFE">
        <w:rPr>
          <w:b/>
          <w:sz w:val="36"/>
          <w:szCs w:val="36"/>
        </w:rPr>
        <w:t>深证300价值交易型开放式指数证券投资基金</w:t>
      </w:r>
    </w:p>
    <w:p w:rsidP="0099526C" w:rsidR="008D7EF7" w:rsidRDefault="008D7EF7" w:rsidRPr="00BD3DFE">
      <w:pPr>
        <w:spacing w:before="29" w:line="288" w:lineRule="auto"/>
        <w:jc w:val="center"/>
        <w:rPr>
          <w:b/>
          <w:sz w:val="36"/>
          <w:szCs w:val="36"/>
        </w:rPr>
      </w:pPr>
      <w:r w:rsidRPr="00BD3DFE">
        <w:rPr>
          <w:b/>
          <w:sz w:val="36"/>
          <w:szCs w:val="36"/>
        </w:rPr>
        <w:t>2019年第3季度报告</w:t>
      </w:r>
    </w:p>
    <w:p w:rsidP="0099526C" w:rsidR="00074E9F" w:rsidRDefault="005C0A04" w:rsidRPr="00BD3DFE">
      <w:pPr>
        <w:spacing w:before="29" w:line="288" w:lineRule="auto"/>
        <w:jc w:val="center"/>
        <w:rPr>
          <w:b/>
          <w:sz w:val="36"/>
          <w:szCs w:val="36"/>
        </w:rPr>
      </w:pPr>
      <w:r w:rsidRPr="00BD3DFE">
        <w:rPr>
          <w:b/>
          <w:sz w:val="36"/>
          <w:szCs w:val="36"/>
        </w:rPr>
        <w:t>2019年9月30日</w:t>
      </w: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99526C">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rPr>
          <w:b/>
          <w:color w:val="000000"/>
          <w:sz w:val="24"/>
        </w:rPr>
      </w:pP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基金管理人：</w:t>
      </w:r>
      <w:r w:rsidR="008F4AAB" w:rsidRPr="00BD3DFE">
        <w:rPr>
          <w:b/>
          <w:color w:val="000000"/>
          <w:sz w:val="24"/>
        </w:rPr>
        <w:t>交银施罗德基金管理有限公司</w:t>
      </w: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基金托管人：</w:t>
      </w:r>
      <w:r w:rsidR="008F4AAB" w:rsidRPr="00BD3DFE">
        <w:rPr>
          <w:b/>
          <w:color w:val="000000"/>
          <w:sz w:val="24"/>
        </w:rPr>
        <w:t>中国农业银行股份有限公司</w:t>
      </w:r>
    </w:p>
    <w:p w:rsidP="0099526C" w:rsidR="00074E9F" w:rsidRDefault="00074E9F" w:rsidRPr="00BD3DFE">
      <w:pPr>
        <w:spacing w:before="29" w:line="288" w:lineRule="auto"/>
        <w:ind w:firstLine="2168" w:firstLineChars="900"/>
        <w:rPr>
          <w:b/>
          <w:color w:val="000000"/>
          <w:sz w:val="24"/>
        </w:rPr>
        <w:sectPr w:rsidR="00074E9F" w:rsidRPr="00BD3DFE" w:rsidSect="006C6FBF">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r w:rsidRPr="00BD3DFE">
        <w:rPr>
          <w:b/>
          <w:color w:val="000000"/>
          <w:sz w:val="24"/>
        </w:rPr>
        <w:t>报告送出日期：</w:t>
      </w:r>
      <w:r w:rsidR="00665677" w:rsidRPr="00BD3DFE">
        <w:rPr>
          <w:b/>
          <w:color w:val="000000"/>
          <w:sz w:val="24"/>
        </w:rPr>
        <w:t/>
      </w:r>
      <w:r w:rsidR="005C0A04" w:rsidRPr="00BD3DFE">
        <w:rPr>
          <w:b/>
          <w:color w:val="000000"/>
          <w:sz w:val="24"/>
        </w:rPr>
        <w:t/>
      </w:r>
      <w:r w:rsidR="00665677" w:rsidRPr="00BD3DFE">
        <w:rPr>
          <w:b/>
          <w:color w:val="000000"/>
          <w:sz w:val="24"/>
        </w:rPr>
        <w:t>二〇一九年十月二十二日</w:t>
      </w:r>
    </w:p>
    <w:p w:rsidP="00722EDF" w:rsidR="00220542" w:rsidRDefault="00220542" w:rsidRPr="0036023B">
      <w:pPr>
        <w:pStyle w:val="1"/>
        <w:spacing w:after="312" w:afterLines="100" w:before="312" w:before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99526C" w:rsidR="00220542" w:rsidRDefault="000820A8" w:rsidRPr="0036023B">
      <w:pPr>
        <w:spacing w:before="29" w:line="288" w:lineRule="auto"/>
        <w:ind w:firstLine="480" w:firstLineChars="200"/>
        <w:rPr>
          <w:color w:val="000000"/>
          <w:sz w:val="24"/>
        </w:rPr>
      </w:pPr>
      <w:r w:rsidRPr="0036023B">
        <w:rPr>
          <w:color w:val="000000"/>
          <w:sz w:val="24"/>
        </w:rPr>
        <w:t>本报告期自2019年7月1日起至9月30日止。</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0820A8" w:rsidRPr="0036023B" w:rsidTr="00960253">
        <w:trPr>
          <w:jc w:val="center"/>
        </w:trPr>
        <w:tc>
          <w:tcPr>
            <w:tcW w:type="dxa" w:w="3023"/>
            <w:vAlign w:val="center"/>
          </w:tcPr>
          <w:p w:rsidP="0099526C" w:rsidR="000820A8" w:rsidRDefault="000820A8" w:rsidRPr="0036023B">
            <w:pPr>
              <w:adjustRightInd w:val="0"/>
              <w:spacing w:before="29" w:line="288" w:lineRule="auto"/>
              <w:ind w:left="17"/>
              <w:jc w:val="left"/>
              <w:rPr>
                <w:kern w:val="0"/>
                <w:sz w:val="24"/>
              </w:rPr>
            </w:pPr>
            <w:r w:rsidRPr="0036023B">
              <w:rPr>
                <w:kern w:val="0"/>
                <w:sz w:val="24"/>
              </w:rPr>
              <w:t>基金简称</w:t>
            </w:r>
          </w:p>
        </w:tc>
        <w:tc>
          <w:tcPr>
            <w:tcW w:type="dxa" w:w="5845"/>
            <w:gridSpan w:val="2"/>
            <w:vAlign w:val="center"/>
          </w:tcPr>
          <w:p w:rsidP="0099526C" w:rsidR="000820A8" w:rsidRDefault="000820A8" w:rsidRPr="0036023B">
            <w:pPr>
              <w:adjustRightInd w:val="0"/>
              <w:spacing w:before="29" w:line="288" w:lineRule="auto"/>
              <w:ind w:left="17"/>
              <w:jc w:val="left"/>
              <w:rPr>
                <w:color w:val="000000"/>
                <w:kern w:val="0"/>
                <w:sz w:val="24"/>
              </w:rPr>
            </w:pPr>
            <w:r w:rsidRPr="0036023B">
              <w:rPr>
                <w:color w:val="000000"/>
                <w:kern w:val="0"/>
                <w:sz w:val="24"/>
              </w:rPr>
              <w:t>交银深证300价值ETF</w:t>
            </w:r>
          </w:p>
        </w:tc>
      </w:tr>
      <w:tr w:rsidR="00960253" w:rsidRPr="0036023B" w:rsidTr="00960253">
        <w:trPr>
          <w:jc w:val="center"/>
        </w:trPr>
        <w:tc>
          <w:tcPr>
            <w:tcW w:type="dxa" w:w="3023"/>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type="dxa" w:w="5845"/>
            <w:gridSpan w:val="2"/>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kern w:val="0"/>
                <w:sz w:val="24"/>
              </w:rPr>
            </w:pPr>
            <w:r w:rsidRPr="0036023B">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99526C" w:rsidR="00E57F92" w:rsidRDefault="00E57F92" w:rsidRPr="0036023B">
            <w:pPr>
              <w:adjustRightInd w:val="0"/>
              <w:spacing w:before="29" w:line="288" w:lineRule="auto"/>
              <w:ind w:left="17"/>
              <w:jc w:val="left"/>
              <w:rPr>
                <w:kern w:val="0"/>
                <w:sz w:val="24"/>
              </w:rPr>
            </w:pPr>
            <w:r w:rsidRPr="0036023B">
              <w:rPr>
                <w:kern w:val="0"/>
                <w:sz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99526C" w:rsidR="00E57F92" w:rsidRDefault="00072E4F" w:rsidRPr="0036023B">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基金运作方式</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基金合同生效日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2011年9月22日</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报告期末基金份额总额</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38,329,693</w:t>
            </w:r>
            <w:r w:rsidRPr="0036023B">
              <w:rPr>
                <w:color w:val="000000"/>
                <w:kern w:val="0"/>
                <w:sz w:val="24"/>
              </w:rPr>
              <w:t>份</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投资目标</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投资策略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业绩比较基准</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深证300价值价格指数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风险收益特征</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基金管理人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基金托管人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中国农业银行股份有限公司</w:t>
            </w:r>
          </w:p>
        </w:tc>
      </w:tr>
    </w:tbl>
    <w:p w:rsidP="0099526C" w:rsidR="008F5E2D" w:rsidRDefault="008F5E2D" w:rsidRPr="0036023B">
      <w:pPr>
        <w:autoSpaceDE w:val="0"/>
        <w:autoSpaceDN w:val="0"/>
        <w:adjustRightInd w:val="0"/>
        <w:spacing w:before="29" w:line="288" w:lineRule="auto"/>
        <w:jc w:val="left"/>
        <w:rPr>
          <w:color w:val="000000"/>
          <w:kern w:val="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jc w:val="center"/>
              <w:rPr>
                <w:kern w:val="0"/>
                <w:sz w:val="24"/>
              </w:rPr>
            </w:pPr>
            <w:r w:rsidRPr="0036023B">
              <w:rPr>
                <w:kern w:val="0"/>
                <w:sz w:val="24"/>
              </w:rPr>
              <w:t>主要财务指标</w:t>
            </w:r>
            <w:r w:rsidR="00227748" w:rsidRPr="0036023B">
              <w:rPr>
                <w:kern w:val="0"/>
                <w:sz w:val="24"/>
              </w:rPr>
              <w:t/>
            </w:r>
          </w:p>
        </w:tc>
        <w:tc>
          <w:tcPr>
            <w:tcW w:type="dxa" w:w="4962"/>
            <w:hMerge w:val="restart"/>
            <w:vAlign w:val="center"/>
          </w:tcPr>
          <w:p w:rsidP="0099526C" w:rsidR="00225421" w:rsidRDefault="00225421" w:rsidRPr="0036023B">
            <w:pPr>
              <w:adjustRightInd w:val="0"/>
              <w:spacing w:before="29" w:line="288" w:lineRule="auto"/>
              <w:ind w:left="17"/>
              <w:jc w:val="center"/>
              <w:rPr>
                <w:color w:val="000000"/>
                <w:sz w:val="24"/>
              </w:rPr>
            </w:pPr>
            <w:r w:rsidRPr="0036023B">
              <w:rPr>
                <w:color w:val="000000"/>
                <w:sz w:val="24"/>
              </w:rPr>
              <w:t>报告期</w:t>
            </w:r>
          </w:p>
          <w:p w:rsidP="0099526C" w:rsidR="000820A8" w:rsidRDefault="00225421" w:rsidRPr="0036023B">
            <w:pPr>
              <w:adjustRightInd w:val="0"/>
              <w:spacing w:before="29" w:line="288" w:lineRule="auto"/>
              <w:ind w:left="17"/>
              <w:jc w:val="center"/>
              <w:rPr>
                <w:color w:val="000000"/>
                <w:sz w:val="24"/>
              </w:rPr>
            </w:pPr>
            <w:r w:rsidRPr="0036023B">
              <w:rPr>
                <w:color w:val="000000"/>
                <w:sz w:val="24"/>
              </w:rPr>
              <w:t>(2019年7月1日-2019年9月30日)</w:t>
            </w:r>
          </w:p>
        </w:tc>
        <w:tc>
          <w:tcPr>
            <w:tcW w:type="dxa" w:w="2410"/>
            <w:hMerge/>
            <w:vAlign w:val="center"/>
          </w:tcPr>
          <w:p w:rsidP="0099526C" w:rsidR="000820A8" w:rsidRDefault="000820A8" w:rsidRPr="0036023B">
            <w:pPr>
              <w:adjustRightInd w:val="0"/>
              <w:spacing w:before="29" w:line="288" w:lineRule="auto"/>
              <w:ind w:left="17"/>
              <w:jc w:val="center"/>
              <w:rPr>
                <w:color w:val="000000"/>
                <w:sz w:val="24"/>
              </w:rPr>
            </w:pPr>
            <w:r w:rsidRPr="0036023B">
              <w:rPr>
                <w:color w:val="000000"/>
                <w:sz w:val="24"/>
              </w:rPr>
              <w:t>上期金额</w:t>
            </w:r>
            <w:r w:rsidR="00F20DFE" w:rsidRPr="0036023B">
              <w:rPr>
                <w:color w:val="000000"/>
                <w:sz w:val="24"/>
              </w:rPr>
              <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lastRenderedPageBreak/>
              <w:t>1.</w:t>
            </w:r>
            <w:r w:rsidRPr="0036023B">
              <w:rPr>
                <w:kern w:val="0"/>
                <w:sz w:val="24"/>
              </w:rPr>
              <w:t>本期已实现收益</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1,982,997.58</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2.</w:t>
            </w:r>
            <w:r w:rsidRPr="0036023B">
              <w:rPr>
                <w:kern w:val="0"/>
                <w:sz w:val="24"/>
              </w:rPr>
              <w:t>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913,205.20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0.0223</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71,536,798.87</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trHeight w:val="158"/>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1.866</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cfid-pt_QiMoJiJinFenEJingZhi_t-1</w:t>
            </w:r>
            <w:r w:rsidR="00F20DFE" w:rsidRPr="0036023B">
              <w:rPr>
                <w:color w:val="000000"/>
                <w:sz w:val="24"/>
              </w:rPr>
              <w:t>#merge</w:t>
            </w:r>
            <w:r w:rsidRPr="0036023B">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P="0099526C" w:rsidR="00220542" w:rsidRDefault="00220542" w:rsidRPr="0036023B">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0820A8" w:rsidRPr="0036023B" w:rsidTr="00F343C8">
        <w:trPr>
          <w:jc w:val="center"/>
        </w:trPr>
        <w:tc>
          <w:tcPr>
            <w:tcW w:type="dxa" w:w="1395"/>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阶段</w:t>
            </w:r>
            <w:r w:rsidR="00376C39" w:rsidRPr="0036023B">
              <w:rPr>
                <w:color w:val="000000"/>
                <w:sz w:val="24"/>
              </w:rPr>
              <w:t/>
            </w:r>
          </w:p>
        </w:tc>
        <w:tc>
          <w:tcPr>
            <w:tcW w:type="dxa" w:w="109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type="dxa" w:w="116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type="dxa" w:w="118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type="dxa" w:w="1188"/>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type="dxa" w:w="1199"/>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type="dxa" w:w="1204"/>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0.70%</w:t>
            </w:r>
          </w:p>
        </w:tc>
        <w:tc>
          <w:tcPr>
            <w:vAlign w:val="center"/>
          </w:tcPr>
          <w:p>
            <w:pPr>
              <w:jc w:val="center"/>
            </w:pPr>
            <w:r>
              <w:rPr>
                <w:color w:val="000000"/>
                <w:sz w:val="24"/>
              </w:rPr>
              <w:t>1.08%</w:t>
            </w:r>
          </w:p>
        </w:tc>
        <w:tc>
          <w:tcPr>
            <w:vAlign w:val="center"/>
          </w:tcPr>
          <w:p>
            <w:pPr>
              <w:jc w:val="center"/>
            </w:pPr>
            <w:r>
              <w:rPr>
                <w:color w:val="000000"/>
                <w:sz w:val="24"/>
              </w:rPr>
              <w:t>-0.04%</w:t>
            </w:r>
          </w:p>
        </w:tc>
        <w:tc>
          <w:tcPr>
            <w:vAlign w:val="center"/>
          </w:tcPr>
          <w:p>
            <w:pPr>
              <w:jc w:val="center"/>
            </w:pPr>
            <w:r>
              <w:rPr>
                <w:color w:val="000000"/>
                <w:sz w:val="24"/>
              </w:rPr>
              <w:t>1.10%</w:t>
            </w:r>
          </w:p>
        </w:tc>
        <w:tc>
          <w:tcPr>
            <w:vAlign w:val="center"/>
          </w:tcPr>
          <w:p>
            <w:pPr>
              <w:jc w:val="center"/>
            </w:pPr>
            <w:r>
              <w:rPr>
                <w:color w:val="000000"/>
                <w:sz w:val="24"/>
              </w:rPr>
              <w:t>0.74%</w:t>
            </w:r>
          </w:p>
        </w:tc>
        <w:tc>
          <w:tcPr>
            <w:vAlign w:val="center"/>
          </w:tcPr>
          <w:p>
            <w:pPr>
              <w:jc w:val="center"/>
            </w:pPr>
            <w:r>
              <w:rPr>
                <w:color w:val="000000"/>
                <w:sz w:val="24"/>
              </w:rPr>
              <w:t>-0.02%</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P="0099526C" w:rsidR="00CE3519" w:rsidRDefault="00CE3519" w:rsidRPr="0036023B">
      <w:pPr>
        <w:spacing w:before="29" w:line="288" w:lineRule="auto"/>
        <w:jc w:val="center"/>
        <w:rPr>
          <w:sz w:val="24"/>
        </w:rPr>
      </w:pPr>
      <w:r w:rsidRPr="0036023B">
        <w:rPr>
          <w:sz w:val="24"/>
        </w:rPr>
        <w:t>深证300价值交易型开放式指数证券投资基金</w:t>
      </w:r>
    </w:p>
    <w:p w:rsidP="0099526C" w:rsidR="00CE3519" w:rsidRDefault="006839B5" w:rsidRPr="0036023B">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lastRenderedPageBreak/>
        <w:t>份额累计净值增长率与业绩比较基准收益率历史走势对比图</w:t>
      </w:r>
    </w:p>
    <w:p w:rsidP="0099526C" w:rsidR="00202885" w:rsidRDefault="00202885" w:rsidRPr="0036023B">
      <w:pPr>
        <w:spacing w:before="29" w:line="288" w:lineRule="auto"/>
        <w:jc w:val="center"/>
        <w:rPr>
          <w:sz w:val="24"/>
        </w:rPr>
      </w:pPr>
      <w:r w:rsidRPr="0036023B">
        <w:rPr>
          <w:color w:val="000000"/>
          <w:kern w:val="0"/>
          <w:sz w:val="24"/>
        </w:rPr>
        <w:t>（</w:t>
      </w:r>
      <w:r w:rsidR="005C0A04" w:rsidRPr="0036023B">
        <w:rPr>
          <w:color w:val="000000"/>
          <w:kern w:val="0"/>
          <w:sz w:val="24"/>
        </w:rPr>
        <w:t>2011年9月22日</w:t>
      </w:r>
      <w:r w:rsidRPr="0036023B">
        <w:rPr>
          <w:color w:val="000000"/>
          <w:kern w:val="0"/>
          <w:sz w:val="24"/>
        </w:rPr>
        <w:t>至</w:t>
      </w:r>
      <w:r w:rsidRPr="0036023B">
        <w:rPr>
          <w:color w:val="000000"/>
          <w:kern w:val="0"/>
          <w:sz w:val="24"/>
        </w:rPr>
        <w:t>2019年9月30日</w:t>
      </w:r>
      <w:r w:rsidRPr="0036023B">
        <w:rPr>
          <w:color w:val="000000"/>
          <w:kern w:val="0"/>
          <w:sz w:val="24"/>
        </w:rPr>
        <w:t>）</w:t>
      </w:r>
    </w:p>
    <w:p w:rsidP="0099526C" w:rsidR="00CE3519" w:rsidRDefault="00740469" w:rsidRPr="0036023B">
      <w:pPr>
        <w:tabs>
          <w:tab w:pos="1800" w:val="left"/>
        </w:tabs>
        <w:spacing w:before="29" w:line="288" w:lineRule="auto"/>
        <w:jc w:val="center"/>
        <w:rPr>
          <w:color w:val="000000"/>
          <w:sz w:val="24"/>
        </w:rPr>
      </w:pPr>
      <w:r w:rsidRPr="0036023B">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99526C" w:rsidR="00CE3519" w:rsidRDefault="00CE3519" w:rsidRPr="0036023B">
      <w:pPr>
        <w:autoSpaceDE w:val="0"/>
        <w:autoSpaceDN w:val="0"/>
        <w:adjustRightInd w:val="0"/>
        <w:spacing w:before="29" w:line="288" w:lineRule="auto"/>
        <w:jc w:val="left"/>
        <w:rPr>
          <w:color w:val="000000"/>
          <w:sz w:val="24"/>
        </w:rPr>
      </w:pPr>
      <w:r w:rsidRPr="0036023B">
        <w:rPr>
          <w:color w:val="000000"/>
          <w:sz w:val="24"/>
        </w:rPr>
        <w:t/>
      </w:r>
      <w:r w:rsidR="006F6A94" w:rsidRPr="0036023B">
        <w:rPr>
          <w:color w:val="000000"/>
          <w:sz w:val="24"/>
        </w:rPr>
        <w:t/>
      </w:r>
      <w:r w:rsidRPr="0036023B">
        <w:rPr>
          <w:color w:val="000000"/>
          <w:sz w:val="24"/>
        </w:rPr>
        <w:t>注：本基金建仓期为自基金合同生效日起的3个月。截至建仓期结束，本基金各项资产配置比例符合基金合同及招募说明书有关投资比例的约定。</w:t>
      </w:r>
    </w:p>
    <w:p w:rsidP="0099526C" w:rsidR="00CE3519" w:rsidRDefault="00CE3519" w:rsidRPr="0036023B">
      <w:pPr>
        <w:pStyle w:val="a5"/>
        <w:snapToGrid w:val="0"/>
        <w:spacing w:before="29" w:line="288" w:lineRule="auto"/>
        <w:rPr>
          <w:rFonts w:ascii="Times New Roman" w:hAnsi="Times New Roman"/>
          <w:color w:val="000000"/>
          <w:sz w:val="24"/>
          <w:szCs w:val="24"/>
        </w:rPr>
      </w:pPr>
    </w:p>
    <w:p w:rsidP="0099526C" w:rsidR="006C1D5C" w:rsidRDefault="006C1D5C" w:rsidRPr="0036023B">
      <w:pPr>
        <w:tabs>
          <w:tab w:pos="1800" w:val="left"/>
        </w:tabs>
        <w:spacing w:before="29" w:line="288" w:lineRule="auto"/>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0820A8" w:rsidRPr="0036023B" w:rsidTr="00E73ABA">
        <w:trPr>
          <w:trHeight w:val="292"/>
          <w:jc w:val="center"/>
        </w:trPr>
        <w:tc>
          <w:tcPr>
            <w:tcW w:type="dxa" w:w="851"/>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lastRenderedPageBreak/>
              <w:t>姓名</w:t>
            </w:r>
          </w:p>
        </w:tc>
        <w:tc>
          <w:tcPr>
            <w:tcW w:type="dxa" w:w="850"/>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职务</w:t>
            </w:r>
          </w:p>
        </w:tc>
        <w:tc>
          <w:tcPr>
            <w:tcW w:type="dxa" w:w="3119"/>
            <w:gridSpan w:val="2"/>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type="dxa" w:w="1417"/>
            <w:vMerge w:val="restart"/>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type="dxa" w:w="2694"/>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type="dxa" w:w="851"/>
            <w:vMerge/>
            <w:vAlign w:val="center"/>
          </w:tcPr>
          <w:p w:rsidP="0099526C" w:rsidR="000820A8" w:rsidRDefault="000820A8" w:rsidRPr="0036023B">
            <w:pPr>
              <w:widowControl/>
              <w:spacing w:before="29" w:line="288" w:lineRule="auto"/>
              <w:jc w:val="left"/>
              <w:rPr>
                <w:color w:val="000000"/>
                <w:kern w:val="0"/>
                <w:sz w:val="24"/>
              </w:rPr>
            </w:pPr>
          </w:p>
        </w:tc>
        <w:tc>
          <w:tcPr>
            <w:tcW w:type="dxa" w:w="850"/>
            <w:vMerge/>
            <w:vAlign w:val="center"/>
          </w:tcPr>
          <w:p w:rsidP="0099526C" w:rsidR="000820A8" w:rsidRDefault="000820A8" w:rsidRPr="0036023B">
            <w:pPr>
              <w:widowControl/>
              <w:spacing w:before="29" w:line="288" w:lineRule="auto"/>
              <w:jc w:val="left"/>
              <w:rPr>
                <w:color w:val="000000"/>
                <w:kern w:val="0"/>
                <w:sz w:val="24"/>
              </w:rPr>
            </w:pPr>
          </w:p>
        </w:tc>
        <w:tc>
          <w:tcPr>
            <w:tcW w:type="dxa" w:w="1560"/>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type="dxa" w:w="1559"/>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type="dxa" w:w="1417"/>
            <w:vMerge/>
            <w:vAlign w:val="center"/>
          </w:tcPr>
          <w:p w:rsidP="0099526C" w:rsidR="000820A8" w:rsidRDefault="000820A8" w:rsidRPr="0036023B">
            <w:pPr>
              <w:widowControl/>
              <w:spacing w:before="29" w:line="288" w:lineRule="auto"/>
              <w:jc w:val="left"/>
              <w:rPr>
                <w:color w:val="000000"/>
                <w:kern w:val="0"/>
                <w:sz w:val="24"/>
              </w:rPr>
            </w:pPr>
          </w:p>
        </w:tc>
        <w:tc>
          <w:tcPr>
            <w:tcW w:type="dxa" w:w="2694"/>
            <w:vMerge/>
            <w:vAlign w:val="center"/>
          </w:tcPr>
          <w:p w:rsidP="0099526C" w:rsidR="000820A8" w:rsidRDefault="000820A8" w:rsidRPr="0036023B">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P="0099526C" w:rsidR="00220542" w:rsidRDefault="000820A8" w:rsidRPr="0036023B">
      <w:pPr>
        <w:spacing w:before="29" w:line="288" w:lineRule="auto"/>
        <w:ind w:firstLine="480" w:firstLineChars="20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P="0099526C" w:rsidR="00EB0BF5" w:rsidRDefault="00EB0BF5" w:rsidRPr="0036023B">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9526C" w:rsidR="00EB0BF5" w:rsidRDefault="000820A8" w:rsidRPr="0036023B">
      <w:pPr>
        <w:spacing w:before="29" w:line="288" w:lineRule="auto"/>
        <w:ind w:firstLine="480" w:firstLineChars="200"/>
        <w:rPr>
          <w:color w:val="000000"/>
          <w:sz w:val="24"/>
        </w:rPr>
      </w:pPr>
      <w:r w:rsidRPr="0036023B">
        <w:rPr>
          <w:color w:val="000000"/>
          <w:sz w:val="24"/>
        </w:rPr>
        <w:t>报告期内本公司严格执行公平交易制度，公平对待旗下各投资组合，未发现任何违反公平交易的行为。</w:t>
      </w:r>
    </w:p>
    <w:p w:rsidP="0099526C" w:rsidR="00EB0BF5" w:rsidRDefault="00EB0BF5" w:rsidRPr="0036023B">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P="0099526C" w:rsidR="00EB0BF5" w:rsidRDefault="000820A8" w:rsidRPr="0036023B">
      <w:pPr>
        <w:spacing w:before="29" w:line="288" w:lineRule="auto"/>
        <w:ind w:firstLine="480" w:firstLineChars="20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99526C" w:rsidR="00220542" w:rsidRDefault="00220542"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宏观环境基本稳定，经济走势稳中偏弱，政策面支持力度加大。受需求端拖累和外部不确定性影响，国内制造业投资面临一定压力，但消费和基建的温和回暖为国内经济带来支撑。在此经济背景下，三季度A股市场延续震荡态势，估值水平基本稳定，市场风险偏好有所上升，科技类品种受到较强关注。作为跟踪基准指数的指数基金，三季度基金总体呈现震荡走势。</w:t>
      </w:r>
    </w:p>
    <w:p w:rsidP="0099526C" w:rsidR="00D33924" w:rsidRDefault="000820A8" w:rsidRPr="0036023B">
      <w:pPr>
        <w:spacing w:before="29" w:line="288" w:lineRule="auto"/>
        <w:ind w:firstLine="480" w:firstLineChars="200"/>
        <w:rPr>
          <w:color w:val="000000"/>
          <w:sz w:val="24"/>
        </w:rPr>
      </w:pPr>
      <w:r w:rsidRPr="0036023B">
        <w:rPr>
          <w:color w:val="000000"/>
          <w:sz w:val="24"/>
        </w:rPr>
        <w:t>展望2019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A股市场仍维持谨慎乐观的看法。</w:t>
      </w:r>
    </w:p>
    <w:p w:rsidP="0099526C" w:rsidR="008F5E2D" w:rsidRDefault="008F5E2D"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P="0099526C" w:rsidR="00D33924" w:rsidRDefault="000820A8" w:rsidRPr="0036023B">
      <w:pPr>
        <w:spacing w:before="29" w:line="288" w:lineRule="auto"/>
        <w:ind w:firstLine="480" w:firstLineChars="200"/>
        <w:rPr>
          <w:color w:val="000000"/>
          <w:sz w:val="24"/>
        </w:rPr>
      </w:pPr>
      <w:r w:rsidRPr="0036023B">
        <w:rPr>
          <w:color w:val="000000"/>
          <w:sz w:val="24"/>
        </w:rPr>
        <w:t>本基金（各类）份额净值及业绩表现请见“3.1主要财务指标” 及“3.2.1 本报告期基金份额净值增长率及其与同期业绩比较基准收益率的比较”部分披露。</w:t>
      </w:r>
    </w:p>
    <w:p w:rsidP="0099526C" w:rsidR="00511B6A" w:rsidRDefault="00511B6A" w:rsidRPr="0036023B">
      <w:pPr>
        <w:spacing w:before="29" w:line="288" w:lineRule="auto"/>
        <w:ind w:firstLine="480" w:firstLineChars="200"/>
        <w:rPr>
          <w:color w:val="000000"/>
          <w:sz w:val="24"/>
        </w:rPr>
      </w:pPr>
    </w:p>
    <w:p w:rsidP="00842C93" w:rsidR="00842C93" w:rsidRDefault="00842C93"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842C93" w:rsidR="00842C93" w:rsidRDefault="00842C93">
      <w:pPr>
        <w:spacing w:before="29" w:line="288" w:lineRule="auto"/>
        <w:ind w:firstLine="480" w:firstLineChars="200"/>
        <w:rPr>
          <w:color w:val="000000"/>
          <w:sz w:val="24"/>
        </w:rPr>
      </w:pPr>
      <w:r w:rsidRPr="002070B4">
        <w:rPr>
          <w:color w:val="000000"/>
          <w:sz w:val="24"/>
        </w:rPr>
        <w:t>本基金本报告期内无需预警说明。</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P="00AF2C17" w:rsidR="00AF2C17" w:rsidRDefault="00AF2C17">
      <w:pPr>
        <w:autoSpaceDE w:val="0"/>
        <w:autoSpaceDN w:val="0"/>
        <w:adjustRightInd w:val="0"/>
        <w:spacing w:line="360" w:lineRule="auto"/>
        <w:jc w:val="left"/>
        <w:rPr>
          <w:rFonts w:eastAsiaTheme="minorEastAsia"/>
          <w:b/>
          <w:color w:themeColor="text1" w:val="000000"/>
          <w:kern w:val="0"/>
          <w:sz w:val="24"/>
        </w:rPr>
      </w:pPr>
      <w:r w:rsidRPr="006D2F4A">
        <w:rPr>
          <w:rFonts w:eastAsiaTheme="minorEastAsia"/>
          <w:b/>
          <w:color w:themeColor="text1" w:val="000000"/>
          <w:kern w:val="0"/>
          <w:sz w:val="24"/>
        </w:rPr>
        <w:t xml:space="preserve">5.1 </w:t>
      </w:r>
      <w:r w:rsidRPr="006D2F4A">
        <w:rPr>
          <w:rFonts w:eastAsiaTheme="minorEastAsia"/>
          <w:b/>
          <w:color w:themeColor="text1" w:val="000000"/>
          <w:kern w:val="0"/>
          <w:sz w:val="24"/>
        </w:rPr>
        <w:t>报告期末基金资产组合情况</w:t>
      </w:r>
    </w:p>
    <w:p w:rsidP="00CC1C8D" w:rsidR="00DE2AB9" w:rsidRDefault="00CC1C8D" w:rsidRPr="00DE2AB9">
      <w:pPr>
        <w:autoSpaceDE w:val="0"/>
        <w:autoSpaceDN w:val="0"/>
        <w:adjustRightInd w:val="0"/>
        <w:spacing w:line="360" w:lineRule="auto"/>
        <w:jc w:val="right"/>
        <w:rPr>
          <w:rFonts w:eastAsiaTheme="minorEastAsia"/>
          <w:b/>
          <w:color w:themeColor="text1" w:val="000000"/>
          <w:kern w:val="0"/>
          <w:sz w:val="24"/>
        </w:rPr>
      </w:pPr>
      <w:r w:rsidRPr="00CC1C8D">
        <w:rPr>
          <w:rFonts w:hint="eastAsia"/>
          <w:color w:val="000000"/>
          <w:kern w:val="0"/>
        </w:rPr>
        <w:t/>
      </w:r>
      <w:r w:rsidRPr="00CC1C8D">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序号</w:t>
            </w:r>
          </w:p>
        </w:tc>
        <w:tc>
          <w:tcPr>
            <w:tcW w:type="dxa" w:w="2824"/>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项目</w:t>
            </w:r>
          </w:p>
        </w:tc>
        <w:tc>
          <w:tcPr>
            <w:tcW w:type="dxa" w:w="2552"/>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金额</w:t>
            </w:r>
          </w:p>
        </w:tc>
        <w:tc>
          <w:tcPr>
            <w:tcW w:type="dxa" w:w="2801"/>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占基金总资产的比例</w:t>
            </w: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1</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权益投资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70,245,944.51</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97.75</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其中：股票</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70,245,944.51</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97.75</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2</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ascii="宋体" w:hAnsi="宋体" w:hint="eastAsia"/>
                <w:sz w:val="24"/>
              </w:rPr>
              <w:t>基金投资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3</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固定收益投资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其中：债券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6D2F4A" w:rsidR="00AF2C17" w:rsidRDefault="00AF2C17" w:rsidRPr="006D2F4A">
            <w:pPr>
              <w:autoSpaceDE w:val="0"/>
              <w:autoSpaceDN w:val="0"/>
              <w:adjustRightInd w:val="0"/>
              <w:spacing w:before="29" w:line="360" w:lineRule="auto"/>
              <w:ind w:firstLine="720" w:firstLineChars="300" w:left="17"/>
              <w:jc w:val="left"/>
              <w:rPr>
                <w:rFonts w:eastAsiaTheme="minorEastAsia"/>
                <w:color w:themeColor="text1" w:val="000000"/>
                <w:sz w:val="24"/>
              </w:rPr>
            </w:pPr>
            <w:r w:rsidRPr="006D2F4A">
              <w:rPr>
                <w:rFonts w:eastAsiaTheme="minorEastAsia"/>
                <w:color w:themeColor="text1" w:val="000000"/>
                <w:sz w:val="24"/>
              </w:rPr>
              <w:t>资产支持证券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4</w:t>
            </w:r>
          </w:p>
        </w:tc>
        <w:tc>
          <w:tcPr>
            <w:tcW w:type="dxa" w:w="2824"/>
            <w:vAlign w:val="center"/>
          </w:tcPr>
          <w:p w:rsidP="002D2971" w:rsidR="00AF2C17" w:rsidRDefault="00AF2C17" w:rsidRPr="006D2F4A">
            <w:pPr>
              <w:spacing w:before="29" w:line="360" w:lineRule="auto"/>
              <w:ind w:left="105" w:leftChars="50"/>
              <w:rPr>
                <w:rFonts w:eastAsiaTheme="minorEastAsia"/>
                <w:color w:themeColor="text1" w:val="000000"/>
                <w:sz w:val="24"/>
              </w:rPr>
            </w:pPr>
            <w:r w:rsidRPr="006D2F4A">
              <w:rPr>
                <w:rFonts w:eastAsiaTheme="minorEastAsia"/>
                <w:color w:themeColor="text1" w:val="000000"/>
                <w:sz w:val="24"/>
              </w:rPr>
              <w:t>贵金属投资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
            </w:r>
            <w:r w:rsidRPr="006D2F4A">
              <w:rPr>
                <w:rFonts w:eastAsiaTheme="minorEastAsia"/>
                <w:color w:themeColor="text1" w:val="000000"/>
                <w:sz w:val="24"/>
              </w:rPr>
              <w:lastRenderedPageBreak/>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lastRenderedPageBreak/>
              <w:t>5</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金融衍生品投资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6</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其中：买断式回购的买入返售金融资产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7</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银行存款和结算备付金合计</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1,612,684.01</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2.24</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8</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其他各项资产</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585.80</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0.00</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9</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合计</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71,859,214.32</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100.00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P="00732048" w:rsidR="00732048" w:rsidRDefault="00732048"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45"/>
        <w:gridCol w:w="3452"/>
        <w:gridCol w:w="2897"/>
        <w:gridCol w:w="1674"/>
      </w:tblGrid>
      <w:tr w:rsidR="00091560" w:rsidRPr="0036023B" w:rsidTr="00A93D16">
        <w:trPr>
          <w:trHeight w:val="390"/>
          <w:jc w:val="center"/>
        </w:trPr>
        <w:tc>
          <w:tcPr>
            <w:tcW w:type="dxa" w:w="845"/>
            <w:tcBorders>
              <w:top w:color="000000" w:space="0" w:sz="4" w:val="single"/>
              <w:left w:color="000000"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F0255A"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320,580.00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0.45</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E75942" w:rsidR="00091560" w:rsidRDefault="00091560" w:rsidRPr="0036023B">
            <w:pPr>
              <w:spacing w:before="29" w:line="288" w:lineRule="auto"/>
              <w:jc w:val="right"/>
              <w:rPr>
                <w:sz w:val="24"/>
              </w:rPr>
            </w:pPr>
            <w:r w:rsidRPr="0036023B">
              <w:rPr>
                <w:sz w:val="24"/>
              </w:rPr>
              <w:t>424,406.56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E75942" w:rsidR="00091560" w:rsidRDefault="00091560" w:rsidRPr="0036023B">
            <w:pPr>
              <w:spacing w:before="29" w:line="288" w:lineRule="auto"/>
              <w:jc w:val="right"/>
              <w:rPr>
                <w:sz w:val="24"/>
              </w:rPr>
            </w:pPr>
            <w:r w:rsidRPr="0036023B">
              <w:rPr>
                <w:sz w:val="24"/>
              </w:rPr>
              <w:t>0.59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50,892,198.26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71.14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1,102,343.97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1.54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E</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521,069.60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0.73</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1,501,587.00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2.10</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G</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465,330.00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0.65</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D0685A">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D0685A"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7,323,736.46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10.24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K</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7,493,625.54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10.48</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201,067.12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0.28</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M</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Q</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70,245,944.51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98.20</w:t>
            </w:r>
          </w:p>
        </w:tc>
      </w:tr>
    </w:tbl>
    <w:p w:rsidP="00BC47D5" w:rsidR="00BC47D5" w:rsidRDefault="00BC47D5" w:rsidRPr="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P="00BC47D5" w:rsidR="00BC47D5" w:rsidRDefault="00BC47D5" w:rsidRPr="00497448">
      <w:pPr>
        <w:autoSpaceDE w:val="0"/>
        <w:autoSpaceDN w:val="0"/>
        <w:adjustRightInd w:val="0"/>
        <w:spacing w:line="360" w:lineRule="auto"/>
        <w:jc w:val="left"/>
        <w:rPr>
          <w:color w:val="000000"/>
          <w:sz w:val="24"/>
        </w:rPr>
      </w:pPr>
      <w:r>
        <w:rPr>
          <w:color w:val="000000"/>
          <w:sz w:val="24"/>
        </w:rPr>
        <w:lastRenderedPageBreak/>
        <w:t>本基金本报告期末未持有通过港股通投资的股票。</w:t>
      </w:r>
    </w:p>
    <w:p w:rsidP="0099526C" w:rsidR="004318F0" w:rsidRDefault="004318F0" w:rsidRPr="00BC47D5">
      <w:pPr>
        <w:autoSpaceDE w:val="0"/>
        <w:autoSpaceDN w:val="0"/>
        <w:adjustRightInd w:val="0"/>
        <w:spacing w:before="29" w:line="288" w:lineRule="auto"/>
        <w:jc w:val="left"/>
        <w:rPr>
          <w:color w:val="00000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P="0099526C" w:rsidR="00C22C7D" w:rsidRDefault="000625A6" w:rsidRPr="0036023B">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140,374</w:t>
            </w:r>
          </w:p>
        </w:tc>
        <w:tc>
          <w:tcPr>
            <w:vAlign w:val="center"/>
          </w:tcPr>
          <w:p>
            <w:pPr>
              <w:jc w:val="right"/>
            </w:pPr>
            <w:r>
              <w:rPr>
                <w:color w:val="000000"/>
                <w:sz w:val="24"/>
              </w:rPr>
              <w:t>8,043,430.20</w:t>
            </w:r>
          </w:p>
        </w:tc>
        <w:tc>
          <w:tcPr>
            <w:vAlign w:val="center"/>
          </w:tcPr>
          <w:p>
            <w:pPr>
              <w:jc w:val="right"/>
            </w:pPr>
            <w:r>
              <w:rPr>
                <w:color w:val="000000"/>
                <w:sz w:val="24"/>
              </w:rPr>
              <w:t>11.24</w:t>
            </w:r>
          </w:p>
        </w:tc>
      </w:tr>
      <w:tr>
        <w:tc>
          <w:tcPr>
            <w:vAlign w:val="center"/>
          </w:tcPr>
          <w:p>
            <w:pPr>
              <w:jc w:val="center"/>
            </w:pPr>
            <w:r>
              <w:rPr>
                <w:color w:val="000000"/>
                <w:sz w:val="24"/>
              </w:rPr>
              <w:t>2</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144,098</w:t>
            </w:r>
          </w:p>
        </w:tc>
        <w:tc>
          <w:tcPr>
            <w:vAlign w:val="center"/>
          </w:tcPr>
          <w:p>
            <w:pPr>
              <w:jc w:val="right"/>
            </w:pPr>
            <w:r>
              <w:rPr>
                <w:color w:val="000000"/>
                <w:sz w:val="24"/>
              </w:rPr>
              <w:t>7,363,407.80</w:t>
            </w:r>
          </w:p>
        </w:tc>
        <w:tc>
          <w:tcPr>
            <w:vAlign w:val="center"/>
          </w:tcPr>
          <w:p>
            <w:pPr>
              <w:jc w:val="right"/>
            </w:pPr>
            <w:r>
              <w:rPr>
                <w:color w:val="000000"/>
                <w:sz w:val="24"/>
              </w:rPr>
              <w:t>10.29</w:t>
            </w:r>
          </w:p>
        </w:tc>
      </w:tr>
      <w:tr>
        <w:tc>
          <w:tcPr>
            <w:vAlign w:val="center"/>
          </w:tcPr>
          <w:p>
            <w:pPr>
              <w:jc w:val="center"/>
            </w:pPr>
            <w:r>
              <w:rPr>
                <w:color w:val="000000"/>
                <w:sz w:val="24"/>
              </w:rPr>
              <w:t>3</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54,026</w:t>
            </w:r>
          </w:p>
        </w:tc>
        <w:tc>
          <w:tcPr>
            <w:vAlign w:val="center"/>
          </w:tcPr>
          <w:p>
            <w:pPr>
              <w:jc w:val="right"/>
            </w:pPr>
            <w:r>
              <w:rPr>
                <w:color w:val="000000"/>
                <w:sz w:val="24"/>
              </w:rPr>
              <w:t>7,012,574.80</w:t>
            </w:r>
          </w:p>
        </w:tc>
        <w:tc>
          <w:tcPr>
            <w:vAlign w:val="center"/>
          </w:tcPr>
          <w:p>
            <w:pPr>
              <w:jc w:val="right"/>
            </w:pPr>
            <w:r>
              <w:rPr>
                <w:color w:val="000000"/>
                <w:sz w:val="24"/>
              </w:rPr>
              <w:t>9.80</w:t>
            </w:r>
          </w:p>
        </w:tc>
      </w:tr>
      <w:tr>
        <w:tc>
          <w:tcPr>
            <w:vAlign w:val="center"/>
          </w:tcPr>
          <w:p>
            <w:pPr>
              <w:jc w:val="center"/>
            </w:pPr>
            <w:r>
              <w:rPr>
                <w:color w:val="000000"/>
                <w:sz w:val="24"/>
              </w:rPr>
              <w:t>4</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246,194</w:t>
            </w:r>
          </w:p>
        </w:tc>
        <w:tc>
          <w:tcPr>
            <w:vAlign w:val="center"/>
          </w:tcPr>
          <w:p>
            <w:pPr>
              <w:jc w:val="right"/>
            </w:pPr>
            <w:r>
              <w:rPr>
                <w:color w:val="000000"/>
                <w:sz w:val="24"/>
              </w:rPr>
              <w:t>3,838,164.46</w:t>
            </w:r>
          </w:p>
        </w:tc>
        <w:tc>
          <w:tcPr>
            <w:vAlign w:val="center"/>
          </w:tcPr>
          <w:p>
            <w:pPr>
              <w:jc w:val="right"/>
            </w:pPr>
            <w:r>
              <w:rPr>
                <w:color w:val="000000"/>
                <w:sz w:val="24"/>
              </w:rPr>
              <w:t>5.37</w:t>
            </w:r>
          </w:p>
        </w:tc>
      </w:tr>
      <w:tr>
        <w:tc>
          <w:tcPr>
            <w:vAlign w:val="center"/>
          </w:tcPr>
          <w:p>
            <w:pPr>
              <w:jc w:val="center"/>
            </w:pPr>
            <w:r>
              <w:rPr>
                <w:color w:val="000000"/>
                <w:sz w:val="24"/>
              </w:rPr>
              <w:t>5</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139,700</w:t>
            </w:r>
          </w:p>
        </w:tc>
        <w:tc>
          <w:tcPr>
            <w:vAlign w:val="center"/>
          </w:tcPr>
          <w:p>
            <w:pPr>
              <w:jc w:val="right"/>
            </w:pPr>
            <w:r>
              <w:rPr>
                <w:color w:val="000000"/>
                <w:sz w:val="24"/>
              </w:rPr>
              <w:t>3,618,230.00</w:t>
            </w:r>
          </w:p>
        </w:tc>
        <w:tc>
          <w:tcPr>
            <w:vAlign w:val="center"/>
          </w:tcPr>
          <w:p>
            <w:pPr>
              <w:jc w:val="right"/>
            </w:pPr>
            <w:r>
              <w:rPr>
                <w:color w:val="000000"/>
                <w:sz w:val="24"/>
              </w:rPr>
              <w:t>5.06</w:t>
            </w:r>
          </w:p>
        </w:tc>
      </w:tr>
      <w:tr>
        <w:tc>
          <w:tcPr>
            <w:vAlign w:val="center"/>
          </w:tcPr>
          <w:p>
            <w:pPr>
              <w:jc w:val="center"/>
            </w:pPr>
            <w:r>
              <w:rPr>
                <w:color w:val="000000"/>
                <w:sz w:val="24"/>
              </w:rPr>
              <w:t>6</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761,985</w:t>
            </w:r>
          </w:p>
        </w:tc>
        <w:tc>
          <w:tcPr>
            <w:vAlign w:val="center"/>
          </w:tcPr>
          <w:p>
            <w:pPr>
              <w:jc w:val="right"/>
            </w:pPr>
            <w:r>
              <w:rPr>
                <w:color w:val="000000"/>
                <w:sz w:val="24"/>
              </w:rPr>
              <w:t>2,857,443.75</w:t>
            </w:r>
          </w:p>
        </w:tc>
        <w:tc>
          <w:tcPr>
            <w:vAlign w:val="center"/>
          </w:tcPr>
          <w:p>
            <w:pPr>
              <w:jc w:val="right"/>
            </w:pPr>
            <w:r>
              <w:rPr>
                <w:color w:val="000000"/>
                <w:sz w:val="24"/>
              </w:rPr>
              <w:t>3.99</w:t>
            </w:r>
          </w:p>
        </w:tc>
      </w:tr>
      <w:tr>
        <w:tc>
          <w:tcPr>
            <w:vAlign w:val="center"/>
          </w:tcPr>
          <w:p>
            <w:pPr>
              <w:jc w:val="center"/>
            </w:pPr>
            <w:r>
              <w:rPr>
                <w:color w:val="000000"/>
                <w:sz w:val="24"/>
              </w:rPr>
              <w:t>7</w:t>
            </w:r>
          </w:p>
        </w:tc>
        <w:tc>
          <w:tcPr>
            <w:vAlign w:val="center"/>
          </w:tcPr>
          <w:p>
            <w:pPr>
              <w:jc w:val="center"/>
            </w:pPr>
            <w:r>
              <w:rPr>
                <w:color w:val="000000"/>
                <w:sz w:val="24"/>
              </w:rPr>
              <w:t>000568</w:t>
            </w:r>
          </w:p>
        </w:tc>
        <w:tc>
          <w:tcPr>
            <w:vAlign w:val="center"/>
          </w:tcPr>
          <w:p>
            <w:pPr>
              <w:jc w:val="center"/>
            </w:pPr>
            <w:r>
              <w:rPr>
                <w:color w:val="000000"/>
                <w:sz w:val="24"/>
              </w:rPr>
              <w:t>泸州老窖</w:t>
            </w:r>
          </w:p>
        </w:tc>
        <w:tc>
          <w:tcPr>
            <w:vAlign w:val="center"/>
          </w:tcPr>
          <w:p>
            <w:pPr>
              <w:jc w:val="right"/>
            </w:pPr>
            <w:r>
              <w:rPr>
                <w:color w:val="000000"/>
                <w:sz w:val="24"/>
              </w:rPr>
              <w:t>23,023</w:t>
            </w:r>
          </w:p>
        </w:tc>
        <w:tc>
          <w:tcPr>
            <w:vAlign w:val="center"/>
          </w:tcPr>
          <w:p>
            <w:pPr>
              <w:jc w:val="right"/>
            </w:pPr>
            <w:r>
              <w:rPr>
                <w:color w:val="000000"/>
                <w:sz w:val="24"/>
              </w:rPr>
              <w:t>1,962,020.06</w:t>
            </w:r>
          </w:p>
        </w:tc>
        <w:tc>
          <w:tcPr>
            <w:vAlign w:val="center"/>
          </w:tcPr>
          <w:p>
            <w:pPr>
              <w:jc w:val="right"/>
            </w:pPr>
            <w:r>
              <w:rPr>
                <w:color w:val="000000"/>
                <w:sz w:val="24"/>
              </w:rPr>
              <w:t>2.74</w:t>
            </w:r>
          </w:p>
        </w:tc>
      </w:tr>
      <w:tr>
        <w:tc>
          <w:tcPr>
            <w:vAlign w:val="center"/>
          </w:tcPr>
          <w:p>
            <w:pPr>
              <w:jc w:val="center"/>
            </w:pPr>
            <w:r>
              <w:rPr>
                <w:color w:val="000000"/>
                <w:sz w:val="24"/>
              </w:rPr>
              <w:t>8</w:t>
            </w:r>
          </w:p>
        </w:tc>
        <w:tc>
          <w:tcPr>
            <w:vAlign w:val="center"/>
          </w:tcPr>
          <w:p>
            <w:pPr>
              <w:jc w:val="center"/>
            </w:pPr>
            <w:r>
              <w:rPr>
                <w:color w:val="000000"/>
                <w:sz w:val="24"/>
              </w:rPr>
              <w:t>002304</w:t>
            </w:r>
          </w:p>
        </w:tc>
        <w:tc>
          <w:tcPr>
            <w:vAlign w:val="center"/>
          </w:tcPr>
          <w:p>
            <w:pPr>
              <w:jc w:val="center"/>
            </w:pPr>
            <w:r>
              <w:rPr>
                <w:color w:val="000000"/>
                <w:sz w:val="24"/>
              </w:rPr>
              <w:t>洋河股份</w:t>
            </w:r>
          </w:p>
        </w:tc>
        <w:tc>
          <w:tcPr>
            <w:vAlign w:val="center"/>
          </w:tcPr>
          <w:p>
            <w:pPr>
              <w:jc w:val="right"/>
            </w:pPr>
            <w:r>
              <w:rPr>
                <w:color w:val="000000"/>
                <w:sz w:val="24"/>
              </w:rPr>
              <w:t>16,798</w:t>
            </w:r>
          </w:p>
        </w:tc>
        <w:tc>
          <w:tcPr>
            <w:vAlign w:val="center"/>
          </w:tcPr>
          <w:p>
            <w:pPr>
              <w:jc w:val="right"/>
            </w:pPr>
            <w:r>
              <w:rPr>
                <w:color w:val="000000"/>
                <w:sz w:val="24"/>
              </w:rPr>
              <w:t>1,746,992.00</w:t>
            </w:r>
          </w:p>
        </w:tc>
        <w:tc>
          <w:tcPr>
            <w:vAlign w:val="center"/>
          </w:tcPr>
          <w:p>
            <w:pPr>
              <w:jc w:val="right"/>
            </w:pPr>
            <w:r>
              <w:rPr>
                <w:color w:val="000000"/>
                <w:sz w:val="24"/>
              </w:rPr>
              <w:t>2.44</w:t>
            </w:r>
          </w:p>
        </w:tc>
      </w:tr>
      <w:tr>
        <w:tc>
          <w:tcPr>
            <w:vAlign w:val="center"/>
          </w:tcPr>
          <w:p>
            <w:pPr>
              <w:jc w:val="center"/>
            </w:pPr>
            <w:r>
              <w:rPr>
                <w:color w:val="000000"/>
                <w:sz w:val="24"/>
              </w:rPr>
              <w:t>9</w:t>
            </w:r>
          </w:p>
        </w:tc>
        <w:tc>
          <w:tcPr>
            <w:vAlign w:val="center"/>
          </w:tcPr>
          <w:p>
            <w:pPr>
              <w:jc w:val="center"/>
            </w:pPr>
            <w:r>
              <w:rPr>
                <w:color w:val="000000"/>
                <w:sz w:val="24"/>
              </w:rPr>
              <w:t>000338</w:t>
            </w:r>
          </w:p>
        </w:tc>
        <w:tc>
          <w:tcPr>
            <w:vAlign w:val="center"/>
          </w:tcPr>
          <w:p>
            <w:pPr>
              <w:jc w:val="center"/>
            </w:pPr>
            <w:r>
              <w:rPr>
                <w:color w:val="000000"/>
                <w:sz w:val="24"/>
              </w:rPr>
              <w:t>潍柴动力</w:t>
            </w:r>
          </w:p>
        </w:tc>
        <w:tc>
          <w:tcPr>
            <w:vAlign w:val="center"/>
          </w:tcPr>
          <w:p>
            <w:pPr>
              <w:jc w:val="right"/>
            </w:pPr>
            <w:r>
              <w:rPr>
                <w:color w:val="000000"/>
                <w:sz w:val="24"/>
              </w:rPr>
              <w:t>134,856</w:t>
            </w:r>
          </w:p>
        </w:tc>
        <w:tc>
          <w:tcPr>
            <w:vAlign w:val="center"/>
          </w:tcPr>
          <w:p>
            <w:pPr>
              <w:jc w:val="right"/>
            </w:pPr>
            <w:r>
              <w:rPr>
                <w:color w:val="000000"/>
                <w:sz w:val="24"/>
              </w:rPr>
              <w:t>1,513,084.32</w:t>
            </w:r>
          </w:p>
        </w:tc>
        <w:tc>
          <w:tcPr>
            <w:vAlign w:val="center"/>
          </w:tcPr>
          <w:p>
            <w:pPr>
              <w:jc w:val="right"/>
            </w:pPr>
            <w:r>
              <w:rPr>
                <w:color w:val="000000"/>
                <w:sz w:val="24"/>
              </w:rPr>
              <w:t>2.12</w:t>
            </w:r>
          </w:p>
        </w:tc>
      </w:tr>
      <w:tr>
        <w:tc>
          <w:tcPr>
            <w:vAlign w:val="center"/>
          </w:tcPr>
          <w:p>
            <w:pPr>
              <w:jc w:val="center"/>
            </w:pPr>
            <w:r>
              <w:rPr>
                <w:color w:val="000000"/>
                <w:sz w:val="24"/>
              </w:rPr>
              <w:t>10</w:t>
            </w:r>
          </w:p>
        </w:tc>
        <w:tc>
          <w:tcPr>
            <w:vAlign w:val="center"/>
          </w:tcPr>
          <w:p>
            <w:pPr>
              <w:jc w:val="center"/>
            </w:pPr>
            <w:r>
              <w:rPr>
                <w:color w:val="000000"/>
                <w:sz w:val="24"/>
              </w:rPr>
              <w:t>001979</w:t>
            </w:r>
          </w:p>
        </w:tc>
        <w:tc>
          <w:tcPr>
            <w:vAlign w:val="center"/>
          </w:tcPr>
          <w:p>
            <w:pPr>
              <w:jc w:val="center"/>
            </w:pPr>
            <w:r>
              <w:rPr>
                <w:color w:val="000000"/>
                <w:sz w:val="24"/>
              </w:rPr>
              <w:t>招商蛇口</w:t>
            </w:r>
          </w:p>
        </w:tc>
        <w:tc>
          <w:tcPr>
            <w:vAlign w:val="center"/>
          </w:tcPr>
          <w:p>
            <w:pPr>
              <w:jc w:val="right"/>
            </w:pPr>
            <w:r>
              <w:rPr>
                <w:color w:val="000000"/>
                <w:sz w:val="24"/>
              </w:rPr>
              <w:t>70,486</w:t>
            </w:r>
          </w:p>
        </w:tc>
        <w:tc>
          <w:tcPr>
            <w:vAlign w:val="center"/>
          </w:tcPr>
          <w:p>
            <w:pPr>
              <w:jc w:val="right"/>
            </w:pPr>
            <w:r>
              <w:rPr>
                <w:color w:val="000000"/>
                <w:sz w:val="24"/>
              </w:rPr>
              <w:t>1,338,529.14</w:t>
            </w:r>
          </w:p>
        </w:tc>
        <w:tc>
          <w:tcPr>
            <w:vAlign w:val="center"/>
          </w:tcPr>
          <w:p>
            <w:pPr>
              <w:jc w:val="right"/>
            </w:pPr>
            <w:r>
              <w:rPr>
                <w:color w:val="000000"/>
                <w:sz w:val="24"/>
              </w:rPr>
              <w:t>1.87</w:t>
            </w:r>
          </w:p>
        </w:tc>
      </w:tr>
    </w:tbl>
    <w:p w:rsidP="0099526C" w:rsidR="003C606C" w:rsidRDefault="003C606C" w:rsidRPr="0036023B">
      <w:pPr>
        <w:autoSpaceDE w:val="0"/>
        <w:autoSpaceDN w:val="0"/>
        <w:adjustRightInd w:val="0"/>
        <w:spacing w:before="29" w:line="288" w:lineRule="auto"/>
        <w:jc w:val="left"/>
        <w:rPr>
          <w:color w:val="000000"/>
          <w:sz w:val="24"/>
        </w:rPr>
      </w:pPr>
    </w:p>
    <w:p w:rsidP="0099526C" w:rsidR="000625A6" w:rsidRDefault="000625A6" w:rsidRPr="0036023B">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P="0099526C" w:rsidR="0066704D"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0625A6" w:rsidRDefault="000625A6" w:rsidRPr="0036023B">
      <w:pPr>
        <w:autoSpaceDE w:val="0"/>
        <w:autoSpaceDN w:val="0"/>
        <w:adjustRightInd w:val="0"/>
        <w:spacing w:before="29" w:line="288" w:lineRule="auto"/>
        <w:jc w:val="left"/>
        <w:rPr>
          <w:color w:val="00000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P="0099526C" w:rsidR="00144D45" w:rsidRDefault="00144D45" w:rsidRPr="0036023B">
      <w:pPr>
        <w:autoSpaceDE w:val="0"/>
        <w:autoSpaceDN w:val="0"/>
        <w:adjustRightInd w:val="0"/>
        <w:spacing w:before="29" w:line="288" w:lineRule="auto"/>
        <w:jc w:val="left"/>
        <w:rPr>
          <w:color w:val="000000"/>
          <w:kern w:val="0"/>
          <w:sz w:val="24"/>
        </w:rPr>
      </w:pPr>
      <w:r w:rsidRPr="0036023B">
        <w:rPr>
          <w:b/>
          <w:bCs/>
          <w:color w:val="000000"/>
          <w:kern w:val="0"/>
          <w:sz w:val="24"/>
        </w:rPr>
        <w:lastRenderedPageBreak/>
        <w:t xml:space="preserve">5.7 </w:t>
      </w:r>
      <w:r w:rsidRPr="0036023B">
        <w:rPr>
          <w:rFonts w:hAnsi="宋体"/>
          <w:b/>
          <w:bCs/>
          <w:color w:val="000000"/>
          <w:kern w:val="0"/>
          <w:sz w:val="24"/>
        </w:rPr>
        <w:t>报告期末按公允价值占基金资产净值比例大小排序的前五名贵金属投资明细</w:t>
      </w:r>
    </w:p>
    <w:p w:rsidP="0099526C" w:rsidR="00144D45" w:rsidRDefault="004525C2" w:rsidRPr="0036023B">
      <w:pPr>
        <w:autoSpaceDE w:val="0"/>
        <w:autoSpaceDN w:val="0"/>
        <w:adjustRightInd w:val="0"/>
        <w:spacing w:before="29" w:line="288" w:lineRule="auto"/>
        <w:jc w:val="left"/>
        <w:rPr>
          <w:sz w:val="24"/>
        </w:rPr>
      </w:pPr>
      <w:r w:rsidRPr="0036023B">
        <w:rPr>
          <w:sz w:val="24"/>
        </w:rPr>
        <w:t>本基金本报告期末未持有贵金属。</w:t>
      </w:r>
    </w:p>
    <w:p w:rsidP="0099526C" w:rsidR="00000F0F" w:rsidRDefault="00000F0F" w:rsidRPr="0036023B">
      <w:pPr>
        <w:autoSpaceDE w:val="0"/>
        <w:autoSpaceDN w:val="0"/>
        <w:adjustRightInd w:val="0"/>
        <w:spacing w:before="29" w:line="288" w:lineRule="auto"/>
        <w:jc w:val="left"/>
        <w:rPr>
          <w:color w:val="000000"/>
          <w:kern w:val="0"/>
          <w:sz w:val="24"/>
        </w:rPr>
      </w:pPr>
    </w:p>
    <w:p w:rsidP="0099526C" w:rsidR="00220542" w:rsidRDefault="009D3C04" w:rsidRPr="0036023B">
      <w:pPr>
        <w:autoSpaceDE w:val="0"/>
        <w:autoSpaceDN w:val="0"/>
        <w:adjustRightInd w:val="0"/>
        <w:spacing w:before="29" w:line="288" w:lineRule="auto"/>
        <w:jc w:val="left"/>
        <w:rPr>
          <w:b/>
          <w:color w:val="000000"/>
          <w:kern w:val="0"/>
          <w:sz w:val="24"/>
        </w:rPr>
      </w:pPr>
      <w:r w:rsidRPr="0036023B">
        <w:rPr>
          <w:b/>
          <w:color w:val="000000"/>
          <w:kern w:val="0"/>
          <w:sz w:val="24"/>
        </w:rPr>
        <w:t/>
      </w:r>
      <w:r w:rsidR="00BE1A80" w:rsidRPr="0036023B">
        <w:rPr>
          <w:b/>
          <w:color w:val="000000"/>
          <w:kern w:val="0"/>
          <w:sz w:val="24"/>
        </w:rPr>
        <w:t>5</w:t>
      </w:r>
      <w:r w:rsidR="00220542" w:rsidRPr="0036023B">
        <w:rPr>
          <w:b/>
          <w:color w:val="000000"/>
          <w:kern w:val="0"/>
          <w:sz w:val="24"/>
        </w:rPr>
        <w:t>.</w:t>
      </w:r>
      <w:r w:rsidR="008F60C5" w:rsidRPr="0036023B">
        <w:rPr>
          <w:b/>
          <w:color w:val="000000"/>
          <w:kern w:val="0"/>
          <w:sz w:val="24"/>
        </w:rPr>
        <w:t/>
      </w:r>
      <w:r w:rsidRPr="0036023B">
        <w:rPr>
          <w:b/>
          <w:color w:val="000000"/>
          <w:kern w:val="0"/>
          <w:sz w:val="24"/>
        </w:rPr>
        <w:t/>
      </w:r>
      <w:r w:rsidR="008F60C5" w:rsidRPr="0036023B">
        <w:rPr>
          <w:b/>
          <w:color w:val="000000"/>
          <w:kern w:val="0"/>
          <w:sz w:val="24"/>
        </w:rPr>
        <w:t>8</w:t>
      </w:r>
      <w:r w:rsidR="00220542" w:rsidRPr="0036023B">
        <w:rPr>
          <w:b/>
          <w:bCs/>
          <w:color w:val="000000"/>
          <w:sz w:val="24"/>
        </w:rPr>
        <w:t>报告期末按公允价值占基金资产净值比例大小排</w:t>
      </w:r>
      <w:r w:rsidRPr="0036023B">
        <w:rPr>
          <w:b/>
          <w:color w:val="000000"/>
          <w:kern w:val="0"/>
          <w:sz w:val="24"/>
        </w:rPr>
        <w:t>序</w:t>
      </w:r>
      <w:r w:rsidR="00220542" w:rsidRPr="0036023B">
        <w:rPr>
          <w:b/>
          <w:bCs/>
          <w:color w:val="000000"/>
          <w:sz w:val="24"/>
        </w:rPr>
        <w:t>的前五名权证投资明细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847BEF" w:rsidRPr="0036023B">
        <w:rPr>
          <w:color w:val="000000"/>
          <w:sz w:val="24"/>
        </w:rPr>
        <w:t/>
      </w:r>
      <w:r w:rsidRPr="0036023B">
        <w:rPr>
          <w:color w:val="000000"/>
          <w:sz w:val="24"/>
        </w:rPr>
        <w:t>本基金本报告期末未持有权证。</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95C5D" w:rsidRDefault="00691AFA" w:rsidRPr="0036023B">
      <w:pPr>
        <w:adjustRightInd w:val="0"/>
        <w:snapToGrid w:val="0"/>
        <w:spacing w:before="29" w:line="288" w:lineRule="auto"/>
        <w:rPr>
          <w:b/>
          <w:sz w:val="24"/>
        </w:rPr>
      </w:pPr>
      <w:r w:rsidRPr="0036023B">
        <w:rPr>
          <w:b/>
          <w:sz w:val="24"/>
        </w:rPr>
        <w:t/>
      </w:r>
      <w:r w:rsidR="004C5189" w:rsidRPr="0036023B">
        <w:rPr>
          <w:b/>
          <w:sz w:val="24"/>
        </w:rPr>
        <w:t/>
      </w:r>
      <w:r w:rsidR="008F60C5" w:rsidRPr="0036023B">
        <w:rPr>
          <w:b/>
          <w:sz w:val="24"/>
        </w:rPr>
        <w:t>5.</w:t>
      </w:r>
      <w:r w:rsidR="004C5189" w:rsidRPr="0036023B">
        <w:rPr>
          <w:b/>
          <w:sz w:val="24"/>
        </w:rPr>
        <w:t>9</w:t>
      </w:r>
      <w:r w:rsidR="00295C5D" w:rsidRPr="0036023B">
        <w:rPr>
          <w:b/>
          <w:sz w:val="24"/>
        </w:rPr>
        <w:t>报告期末本基金投资的股指期货交易情况说明</w:t>
      </w:r>
    </w:p>
    <w:p w:rsidP="0099526C" w:rsidR="00295C5D" w:rsidRDefault="00BD7DB4" w:rsidRPr="0036023B">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P="0099526C" w:rsidR="00BD7DB4" w:rsidRDefault="00BD7DB4" w:rsidRPr="0036023B">
      <w:pPr>
        <w:adjustRightInd w:val="0"/>
        <w:snapToGrid w:val="0"/>
        <w:spacing w:before="29" w:line="288" w:lineRule="auto"/>
        <w:rPr>
          <w:sz w:val="24"/>
        </w:rPr>
      </w:pPr>
    </w:p>
    <w:p w:rsidP="0099526C" w:rsidR="00076B5E" w:rsidRDefault="00B60D38" w:rsidRPr="0036023B">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P="0099526C" w:rsidR="00B60D38" w:rsidRDefault="00B60D38" w:rsidRPr="0036023B">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P="0099526C" w:rsidR="005E5D80" w:rsidRDefault="005E5D80" w:rsidRPr="0036023B">
      <w:pPr>
        <w:autoSpaceDE w:val="0"/>
        <w:autoSpaceDN w:val="0"/>
        <w:adjustRightInd w:val="0"/>
        <w:spacing w:before="29" w:line="288" w:lineRule="auto"/>
        <w:jc w:val="left"/>
        <w:rPr>
          <w:color w:val="000000"/>
          <w:sz w:val="24"/>
        </w:rPr>
      </w:pPr>
    </w:p>
    <w:p w:rsidP="0099526C" w:rsidR="00220542" w:rsidRDefault="004C5189" w:rsidRPr="0036023B">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5.11.1报告期内本基金投资的前十名证券的发行主体未被监管部门立案调查，在本报告编制日前一年内本基金投资的前十名证券的发行主体未受到公开谴责和处罚。</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5.11.2本基金投资的前十名股票中，没有超出基金合同规定的备选股票库之外的股票。</w:t>
      </w:r>
    </w:p>
    <w:p w:rsidP="0099526C" w:rsidR="00220542" w:rsidRDefault="004C5189">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P="00144652" w:rsidR="00144652" w:rsidRDefault="00144652" w:rsidRPr="0036023B">
      <w:pPr>
        <w:autoSpaceDE w:val="0"/>
        <w:autoSpaceDN w:val="0"/>
        <w:adjustRightInd w:val="0"/>
        <w:spacing w:before="29" w:line="288" w:lineRule="auto"/>
        <w:jc w:val="right"/>
        <w:rPr>
          <w:color w:val="000000"/>
          <w:kern w:val="0"/>
          <w:sz w:val="24"/>
        </w:rPr>
      </w:pPr>
      <w:r w:rsidRPr="00144652">
        <w:rPr>
          <w:rFonts w:hint="eastAsia"/>
          <w:color w:val="000000"/>
          <w:kern w:val="0"/>
          <w:sz w:val="24"/>
        </w:rPr>
        <w:t/>
      </w:r>
      <w:r w:rsidRPr="00144652">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984"/>
        <w:gridCol w:w="2876"/>
        <w:gridCol w:w="5008"/>
      </w:tblGrid>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lastRenderedPageBreak/>
              <w:t>序号</w:t>
            </w:r>
          </w:p>
        </w:tc>
        <w:tc>
          <w:tcPr>
            <w:tcW w:type="dxa" w:w="2761"/>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type="dxa" w:w="4808"/>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262.85</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2</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3</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4</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322.95</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5</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6</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7</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8</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9</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585.80</w:t>
            </w:r>
          </w:p>
        </w:tc>
      </w:tr>
    </w:tbl>
    <w:p w:rsidP="0099526C" w:rsidR="00EC32B2" w:rsidRDefault="00EC32B2" w:rsidRPr="0036023B">
      <w:pPr>
        <w:autoSpaceDE w:val="0"/>
        <w:autoSpaceDN w:val="0"/>
        <w:adjustRightInd w:val="0"/>
        <w:spacing w:before="29" w:line="288" w:lineRule="auto"/>
        <w:jc w:val="left"/>
        <w:rPr>
          <w:color w:val="000000"/>
          <w:sz w:val="24"/>
        </w:rPr>
      </w:pPr>
    </w:p>
    <w:p w:rsidP="0099526C" w:rsidR="00220542" w:rsidRDefault="004C5189" w:rsidRPr="00F379E1">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P="0099526C" w:rsidR="00CF3CDE" w:rsidRDefault="00CF3CDE" w:rsidRPr="00F379E1">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P="0099526C" w:rsidR="005D44E4" w:rsidRDefault="00CF3CDE" w:rsidRPr="00F379E1">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E427F2" w:rsidRPr="0036023B">
        <w:rPr>
          <w:color w:val="000000"/>
          <w:sz w:val="24"/>
        </w:rPr>
        <w:t/>
      </w:r>
      <w:r w:rsidRPr="0036023B">
        <w:rPr>
          <w:color w:val="000000"/>
          <w:sz w:val="24"/>
        </w:rPr>
        <w:t>本基金本报告期末指数投资前十名股票中不存在流通受限情况。</w:t>
      </w:r>
    </w:p>
    <w:p w:rsidP="0099526C" w:rsidR="00EC32B2" w:rsidRDefault="00EC32B2" w:rsidRPr="0036023B">
      <w:pPr>
        <w:autoSpaceDE w:val="0"/>
        <w:autoSpaceDN w:val="0"/>
        <w:adjustRightInd w:val="0"/>
        <w:spacing w:before="29" w:line="288" w:lineRule="auto"/>
        <w:jc w:val="left"/>
        <w:rPr>
          <w:color w:val="000000"/>
          <w:sz w:val="24"/>
        </w:rPr>
      </w:pPr>
    </w:p>
    <w:p w:rsidP="0099526C" w:rsidR="005D44E4" w:rsidRDefault="00CF3CDE" w:rsidRPr="00F379E1">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CF6570" w:rsidRPr="0036023B">
        <w:rPr>
          <w:color w:val="000000"/>
          <w:sz w:val="24"/>
        </w:rPr>
        <w:t/>
      </w:r>
      <w:r w:rsidRPr="0036023B">
        <w:rPr>
          <w:color w:val="000000"/>
          <w:sz w:val="24"/>
        </w:rPr>
        <w:t>本基金本报告期末未持有积极投资的股票。</w:t>
      </w:r>
    </w:p>
    <w:p w:rsidP="0099526C" w:rsidR="004D1A45" w:rsidRDefault="004D1A45" w:rsidRPr="0036023B">
      <w:pPr>
        <w:spacing w:before="29" w:line="288" w:lineRule="auto"/>
        <w:rPr>
          <w:bCs/>
          <w:color w:val="000000"/>
          <w:sz w:val="24"/>
        </w:rPr>
      </w:pPr>
    </w:p>
    <w:p w:rsidP="0099526C" w:rsidR="00220542" w:rsidRDefault="00122A26" w:rsidRPr="00F379E1">
      <w:pPr>
        <w:spacing w:before="29" w:line="288" w:lineRule="auto"/>
        <w:rPr>
          <w:b/>
          <w:color w:val="000000"/>
          <w:sz w:val="24"/>
        </w:rPr>
      </w:pPr>
      <w:bookmarkStart w:id="2" w:name="_GoBack"/>
      <w:r w:rsidRPr="00F379E1">
        <w:rPr>
          <w:b/>
          <w:color w:val="000000"/>
          <w:kern w:val="0"/>
          <w:sz w:val="24"/>
        </w:rPr>
        <w:t/>
      </w:r>
      <w:r w:rsidR="004C5189" w:rsidRPr="00F379E1">
        <w:rPr>
          <w:b/>
          <w:color w:val="000000"/>
          <w:sz w:val="24"/>
        </w:rPr>
        <w:t>5.11</w:t>
      </w:r>
      <w:r w:rsidR="00220542" w:rsidRPr="00F379E1">
        <w:rPr>
          <w:b/>
          <w:color w:val="000000"/>
          <w:sz w:val="24"/>
        </w:rPr>
        <w:t>.</w:t>
      </w:r>
      <w:r w:rsidR="004C5189" w:rsidRPr="00F379E1">
        <w:rPr>
          <w:b/>
          <w:bCs/>
          <w:color w:val="000000"/>
          <w:sz w:val="24"/>
        </w:rPr>
        <w:t>6</w:t>
      </w:r>
      <w:r w:rsidR="00504285" w:rsidRPr="00F379E1">
        <w:rPr>
          <w:b/>
          <w:bCs/>
          <w:color w:val="000000"/>
          <w:kern w:val="0"/>
          <w:sz w:val="24"/>
        </w:rPr>
        <w:t>投资组合报告附注的其他文字描述部分</w:t>
      </w:r>
    </w:p>
    <w:bookmarkEnd w:id="2"/>
    <w:p w:rsidP="00806B3B" w:rsidR="00220542" w:rsidRDefault="007C1A93" w:rsidRPr="0036023B">
      <w:pPr>
        <w:spacing w:before="29" w:line="288" w:lineRule="auto"/>
        <w:rPr>
          <w:color w:val="000000"/>
          <w:sz w:val="24"/>
        </w:rPr>
      </w:pPr>
      <w:r w:rsidRPr="0036023B">
        <w:rPr>
          <w:color w:val="000000"/>
          <w:sz w:val="24"/>
        </w:rPr>
        <w:t>由于四舍五入的原因，分项之和与合计项之间可能存在尾差。</w:t>
      </w:r>
    </w:p>
    <w:p w:rsidP="0099526C" w:rsidR="003A0A94" w:rsidRDefault="003A0A94" w:rsidRPr="0036023B">
      <w:pPr>
        <w:spacing w:before="29" w:line="288" w:lineRule="auto"/>
        <w:ind w:firstLine="480" w:firstLineChars="200"/>
        <w:rPr>
          <w:color w:val="000000"/>
          <w:sz w:val="24"/>
        </w:rPr>
      </w:pPr>
    </w:p>
    <w:p w:rsidP="00722EDF" w:rsidR="00220542" w:rsidRDefault="0055680B" w:rsidRPr="0036023B">
      <w:pPr>
        <w:pStyle w:val="1"/>
        <w:spacing w:after="312" w:afterLines="100" w:before="312" w:beforeLines="100" w:line="288" w:lineRule="auto"/>
        <w:jc w:val="center"/>
        <w:rPr>
          <w:color w:val="000000"/>
          <w:kern w:val="0"/>
          <w:sz w:val="24"/>
          <w:szCs w:val="24"/>
        </w:rPr>
      </w:pPr>
      <w:r w:rsidRPr="00C51B4E">
        <w:rPr>
          <w:rFonts w:eastAsiaTheme="minorEastAsia"/>
          <w:color w:themeColor="text1" w:val="000000"/>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type="dxa" w:w="8868"/>
        <w:jc w:val="center"/>
        <w:tblLayout w:type="fixed"/>
        <w:tblLook w:firstColumn="0" w:firstRow="0" w:lastColumn="0" w:lastRow="0" w:noHBand="0" w:noVBand="0" w:val="0000"/>
      </w:tblPr>
      <w:tblGrid>
        <w:gridCol w:w="4734"/>
        <w:gridCol w:w="4134"/>
      </w:tblGrid>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FA1EC5" w:rsidRPr="0036023B">
            <w:pPr>
              <w:autoSpaceDE w:val="0"/>
              <w:autoSpaceDN w:val="0"/>
              <w:adjustRightInd w:val="0"/>
              <w:spacing w:before="29" w:line="288" w:lineRule="auto"/>
              <w:ind w:left="17"/>
              <w:jc w:val="right"/>
              <w:rPr>
                <w:color w:val="000000"/>
                <w:sz w:val="24"/>
              </w:rPr>
            </w:pPr>
            <w:r w:rsidRPr="0036023B">
              <w:rPr>
                <w:color w:val="000000"/>
                <w:sz w:val="24"/>
              </w:rPr>
              <w:t/>
            </w:r>
            <w:r w:rsidR="007C1A93" w:rsidRPr="0036023B">
              <w:rPr>
                <w:color w:val="000000"/>
                <w:sz w:val="24"/>
              </w:rPr>
              <w:t>43,329,693</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6,000,000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D475F"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38,329,693</w:t>
            </w:r>
          </w:p>
        </w:tc>
      </w:tr>
    </w:tbl>
    <w:p w:rsidP="0099526C" w:rsidR="00AA1D9A" w:rsidRDefault="00AA1D9A">
      <w:pPr>
        <w:autoSpaceDE w:val="0"/>
        <w:autoSpaceDN w:val="0"/>
        <w:adjustRightInd w:val="0"/>
        <w:spacing w:before="29" w:line="288" w:lineRule="auto"/>
        <w:jc w:val="left"/>
        <w:rPr>
          <w:color w:val="000000"/>
          <w:sz w:val="24"/>
        </w:rPr>
      </w:pPr>
    </w:p>
    <w:p w:rsidP="00722EDF" w:rsidR="00FC2DA1" w:rsidRDefault="0055680B" w:rsidRPr="00306E46">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P="0099526C" w:rsidR="00FC2DA1" w:rsidRDefault="00FC2DA1" w:rsidRPr="00306E46">
      <w:pPr>
        <w:spacing w:line="288" w:lineRule="auto"/>
        <w:jc w:val="left"/>
        <w:rPr>
          <w:sz w:val="24"/>
        </w:rPr>
      </w:pPr>
      <w:r w:rsidRPr="00306E46">
        <w:rPr>
          <w:b/>
          <w:sz w:val="24"/>
        </w:rPr>
        <w:t xml:space="preserve">7.1 </w:t>
      </w:r>
      <w:r w:rsidRPr="00306E46">
        <w:rPr>
          <w:b/>
          <w:sz w:val="24"/>
        </w:rPr>
        <w:t>基金管理人持有本基金份额变动情况</w:t>
      </w:r>
    </w:p>
    <w:p w:rsidP="0099526C" w:rsidR="00CE2DC0" w:rsidRDefault="00FC2DA1">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
      </w:r>
      <w:r w:rsidR="00AD29F0">
        <w:rPr>
          <w:rFonts w:eastAsiaTheme="minorEastAsia" w:hint="eastAsia"/>
          <w:color w:val="000000"/>
          <w:sz w:val="24"/>
        </w:rPr>
        <w:t/>
      </w:r>
      <w:r w:rsidRPr="00306E46">
        <w:rPr>
          <w:rFonts w:eastAsiaTheme="minorEastAsia"/>
          <w:color w:val="000000"/>
          <w:sz w:val="24"/>
        </w:rPr>
        <w:t>本报告期内未发生基金管理人运用固有资金投资本基金的情况。</w:t>
      </w:r>
    </w:p>
    <w:p w:rsidP="0099526C" w:rsidR="00CE2DC0" w:rsidRDefault="00CE2DC0">
      <w:pPr>
        <w:autoSpaceDE w:val="0"/>
        <w:autoSpaceDN w:val="0"/>
        <w:adjustRightInd w:val="0"/>
        <w:spacing w:before="29" w:line="288" w:lineRule="auto"/>
        <w:jc w:val="left"/>
        <w:rPr>
          <w:rFonts w:eastAsiaTheme="minorEastAsia"/>
          <w:color w:val="000000"/>
          <w:sz w:val="24"/>
        </w:rPr>
      </w:pPr>
    </w:p>
    <w:p w:rsidP="004D4E22" w:rsidR="00CE2DC0" w:rsidRDefault="00FC2DA1" w:rsidRPr="00CE2DC0">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P="0099526C" w:rsidR="00764DC3" w:rsidRDefault="00764DC3" w:rsidRPr="0036023B">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P="0099526C" w:rsidR="000E1CB6" w:rsidRDefault="000E1CB6" w:rsidRPr="0036023B">
      <w:pPr>
        <w:autoSpaceDE w:val="0"/>
        <w:autoSpaceDN w:val="0"/>
        <w:adjustRightInd w:val="0"/>
        <w:spacing w:before="29" w:line="288" w:lineRule="auto"/>
        <w:jc w:val="left"/>
        <w:rPr>
          <w:color w:val="000000"/>
          <w:sz w:val="24"/>
        </w:rPr>
      </w:pPr>
    </w:p>
    <w:p w:rsidP="00722EDF" w:rsidR="00BF00F0" w:rsidRDefault="00BF00F0">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BF00F0" w:rsidTr="00BF00F0">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type="dxa" w:w="993"/>
            <w:vMerge/>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kern w:val="0"/>
                <w:szCs w:val="21"/>
              </w:rPr>
              <w:t>交银施罗德深证300价值交易型开放式指数证券投资基金联接基金</w:t>
            </w:r>
          </w:p>
        </w:tc>
        <w:tc>
          <w:tcPr>
            <w:vAlign w:val="center"/>
          </w:tcPr>
          <w:p>
            <w:pPr>
              <w:jc w:val="center"/>
            </w:pPr>
            <w:r>
              <w:rPr>
                <w:rFonts w:ascii="宋体" w:hAnsi="宋体" w:hint="eastAsia"/>
                <w:bCs/>
                <w:color w:val="000000"/>
                <w:kern w:val="0"/>
                <w:szCs w:val="21"/>
              </w:rPr>
              <w:t>1</w:t>
            </w:r>
          </w:p>
        </w:tc>
        <w:tc>
          <w:tcPr>
            <w:vAlign w:val="center"/>
          </w:tcPr>
          <w:p>
            <w:pPr>
              <w:jc w:val="center"/>
            </w:pPr>
            <w:r>
              <w:rPr>
                <w:rFonts w:ascii="宋体" w:hAnsi="宋体" w:hint="eastAsia"/>
                <w:bCs/>
                <w:color w:val="000000"/>
                <w:kern w:val="0"/>
                <w:szCs w:val="21"/>
              </w:rPr>
              <w:t>2019/7/1-2019/9/30</w:t>
            </w:r>
          </w:p>
        </w:tc>
        <w:tc>
          <w:tcPr>
            <w:vAlign w:val="center"/>
          </w:tcPr>
          <w:p>
            <w:pPr>
              <w:jc w:val="center"/>
            </w:pPr>
            <w:r>
              <w:rPr>
                <w:rFonts w:ascii="宋体" w:hAnsi="宋体" w:hint="eastAsia"/>
                <w:bCs/>
                <w:color w:val="000000"/>
                <w:kern w:val="0"/>
                <w:szCs w:val="21"/>
              </w:rPr>
              <w:t>40,802,500.00</w:t>
            </w:r>
          </w:p>
        </w:tc>
        <w:tc>
          <w:tcPr>
            <w:vAlign w:val="center"/>
          </w:tcPr>
          <w:p>
            <w:pPr>
              <w:jc w:val="center"/>
            </w:pPr>
            <w:r>
              <w:rPr>
                <w:rFonts w:ascii="宋体" w:hAnsi="宋体" w:hint="eastAsia"/>
                <w:bCs/>
                <w:color w:val="000000"/>
                <w:kern w:val="0"/>
                <w:szCs w:val="21"/>
              </w:rPr>
              <w:t>1,000,000.00</w:t>
            </w:r>
          </w:p>
        </w:tc>
        <w:tc>
          <w:tcPr>
            <w:vAlign w:val="center"/>
          </w:tcPr>
          <w:p>
            <w:pPr>
              <w:jc w:val="center"/>
            </w:pPr>
            <w:r>
              <w:rPr>
                <w:rFonts w:ascii="宋体" w:hAnsi="宋体" w:hint="eastAsia"/>
                <w:bCs/>
                <w:color w:val="000000"/>
                <w:kern w:val="0"/>
                <w:szCs w:val="21"/>
              </w:rPr>
              <w:t>6,000,000.00</w:t>
            </w:r>
          </w:p>
        </w:tc>
        <w:tc>
          <w:tcPr>
            <w:vAlign w:val="center"/>
          </w:tcPr>
          <w:p>
            <w:pPr>
              <w:jc w:val="center"/>
            </w:pPr>
            <w:r>
              <w:rPr>
                <w:rFonts w:ascii="宋体" w:hAnsi="宋体" w:hint="eastAsia"/>
                <w:bCs/>
                <w:color w:val="000000"/>
                <w:kern w:val="0"/>
                <w:szCs w:val="21"/>
              </w:rPr>
              <w:t>35,802,500.00</w:t>
            </w:r>
          </w:p>
        </w:tc>
        <w:tc>
          <w:tcPr>
            <w:vAlign w:val="center"/>
          </w:tcPr>
          <w:p>
            <w:pPr>
              <w:jc w:val="center"/>
            </w:pPr>
            <w:r>
              <w:rPr>
                <w:rFonts w:ascii="宋体" w:hAnsi="宋体" w:hint="eastAsia"/>
                <w:bCs/>
                <w:color w:val="000000"/>
                <w:kern w:val="0"/>
                <w:szCs w:val="21"/>
              </w:rPr>
              <w:t>93.41%</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P="00722EDF" w:rsidR="00981CE6" w:rsidRDefault="00220542" w:rsidRPr="00405A85">
      <w:pPr>
        <w:pStyle w:val="1"/>
        <w:spacing w:after="312" w:afterLines="100" w:before="312" w:before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
      </w:r>
      <w:r w:rsidR="00504432" w:rsidRPr="0036023B">
        <w:rPr>
          <w:color w:val="000000"/>
          <w:kern w:val="0"/>
          <w:sz w:val="24"/>
          <w:szCs w:val="24"/>
        </w:rPr>
        <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pPr>
        <w:spacing w:before="29" w:line="288" w:lineRule="auto"/>
        <w:ind w:firstLine="480" w:firstLineChars="200"/>
        <w:rPr>
          <w:color w:val="000000"/>
          <w:sz w:val="24"/>
        </w:rPr>
      </w:pPr>
      <w:r>
        <w:rPr>
          <w:color w:val="000000"/>
          <w:sz w:val="24"/>
        </w:rPr>
        <w:t>1、中国证监会核准深证300价值交易型开放式指数证券投资基金募集的文件；</w:t>
      </w:r>
    </w:p>
    <w:p>
      <w:pPr>
        <w:spacing w:before="29" w:line="288" w:lineRule="auto"/>
        <w:ind w:firstLine="480" w:firstLineChars="200"/>
        <w:rPr>
          <w:color w:val="000000"/>
          <w:sz w:val="24"/>
        </w:rPr>
      </w:pPr>
      <w:r>
        <w:rPr>
          <w:color w:val="000000"/>
          <w:sz w:val="24"/>
        </w:rPr>
        <w:t xml:space="preserve">2、《深证300价值交易型开放式指数证券投资基金基金合同》； </w:t>
      </w:r>
    </w:p>
    <w:p>
      <w:pPr>
        <w:spacing w:before="29" w:line="288" w:lineRule="auto"/>
        <w:ind w:firstLine="480" w:firstLineChars="200"/>
        <w:rPr>
          <w:color w:val="000000"/>
          <w:sz w:val="24"/>
        </w:rPr>
      </w:pPr>
      <w:r>
        <w:rPr>
          <w:color w:val="000000"/>
          <w:sz w:val="24"/>
        </w:rPr>
        <w:t>3、《深证300价值交易型开放式指数证券投资基金招募说明书》；</w:t>
      </w:r>
    </w:p>
    <w:p>
      <w:pPr>
        <w:spacing w:before="29" w:line="288" w:lineRule="auto"/>
        <w:ind w:firstLine="480" w:firstLineChars="200"/>
        <w:rPr>
          <w:color w:val="000000"/>
          <w:sz w:val="24"/>
        </w:rPr>
      </w:pPr>
      <w:r>
        <w:rPr>
          <w:color w:val="000000"/>
          <w:sz w:val="24"/>
        </w:rPr>
        <w:t>4、《深证300价值交易型开放式指数证券投资基金托管协议》；</w:t>
      </w:r>
    </w:p>
    <w:p>
      <w:pPr>
        <w:spacing w:before="29" w:line="288" w:lineRule="auto"/>
        <w:ind w:firstLine="480" w:firstLineChars="200"/>
        <w:rPr>
          <w:color w:val="000000"/>
          <w:sz w:val="24"/>
        </w:rPr>
      </w:pPr>
      <w:r>
        <w:rPr>
          <w:color w:val="000000"/>
          <w:sz w:val="24"/>
        </w:rPr>
        <w:t>5、关于申请募集深证300价值交易型开放式指数证券投资基金之法律意见书；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99526C" w:rsidR="00220542" w:rsidRDefault="007C1A93" w:rsidRPr="0036023B">
      <w:pPr>
        <w:spacing w:before="29" w:line="288" w:lineRule="auto"/>
        <w:ind w:firstLine="480" w:firstLineChars="200"/>
        <w:rPr>
          <w:color w:val="000000"/>
          <w:sz w:val="24"/>
        </w:rPr>
      </w:pPr>
      <w:r w:rsidRPr="0036023B">
        <w:rPr>
          <w:color w:val="000000"/>
          <w:sz w:val="24"/>
        </w:rPr>
        <w:t>8、报告期内深证300价值交易型开放式指数证券投资基金在指定报刊上各项公告的原稿。</w:t>
      </w:r>
    </w:p>
    <w:p w:rsidP="0099526C" w:rsidR="00220542" w:rsidRDefault="00220542" w:rsidRPr="0036023B">
      <w:pPr>
        <w:spacing w:before="29" w:line="288" w:lineRule="auto"/>
        <w:ind w:firstLine="480" w:firstLineChars="200"/>
        <w:rPr>
          <w:color w:val="000000"/>
          <w:sz w:val="24"/>
        </w:rPr>
      </w:pPr>
    </w:p>
    <w:p w:rsidP="0099526C" w:rsidR="00220542" w:rsidRDefault="00504432" w:rsidRPr="0036023B">
      <w:pPr>
        <w:spacing w:before="29" w:line="288" w:lineRule="auto"/>
        <w:rPr>
          <w:b/>
          <w:color w:val="000000"/>
          <w:sz w:val="24"/>
        </w:rPr>
      </w:pPr>
      <w:r w:rsidRPr="0036023B">
        <w:rPr>
          <w:b/>
          <w:color w:val="000000"/>
          <w:sz w:val="24"/>
        </w:rPr>
        <w:t/>
      </w:r>
      <w:r w:rsidR="00122A26" w:rsidRPr="0036023B">
        <w:rPr>
          <w:b/>
          <w:color w:val="000000"/>
          <w:sz w:val="24"/>
        </w:rPr>
        <w:t>9</w:t>
      </w:r>
      <w:r w:rsidR="00220542" w:rsidRPr="0036023B">
        <w:rPr>
          <w:b/>
          <w:color w:val="000000"/>
          <w:sz w:val="24"/>
        </w:rPr>
        <w:t>.</w:t>
      </w:r>
      <w:r w:rsidRPr="0036023B">
        <w:rPr>
          <w:b/>
          <w:color w:val="000000"/>
          <w:sz w:val="24"/>
        </w:rPr>
        <w:t>2</w:t>
      </w:r>
      <w:r w:rsidR="00220542" w:rsidRPr="0036023B">
        <w:rPr>
          <w:b/>
          <w:color w:val="000000"/>
          <w:sz w:val="24"/>
        </w:rPr>
        <w:t>存放地点</w:t>
      </w:r>
    </w:p>
    <w:p w:rsidP="0099526C" w:rsidR="00220542" w:rsidRDefault="007C1A93" w:rsidRPr="0036023B">
      <w:pPr>
        <w:spacing w:before="29" w:line="288" w:lineRule="auto"/>
        <w:ind w:firstLine="480" w:firstLineChars="200"/>
        <w:rPr>
          <w:color w:val="000000"/>
          <w:sz w:val="24"/>
        </w:rPr>
      </w:pPr>
      <w:r w:rsidRPr="0036023B">
        <w:rPr>
          <w:color w:val="000000"/>
          <w:sz w:val="24"/>
        </w:rPr>
        <w:t>备查文件存放于基金管理人的办公场所。</w:t>
      </w:r>
    </w:p>
    <w:p w:rsidP="0099526C" w:rsidR="00220542" w:rsidRDefault="00220542" w:rsidRPr="0036023B">
      <w:pPr>
        <w:spacing w:before="29" w:line="288" w:lineRule="auto"/>
        <w:ind w:firstLine="480" w:firstLineChars="200"/>
        <w:rPr>
          <w:color w:val="000000"/>
          <w:sz w:val="24"/>
        </w:rPr>
      </w:pP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99526C" w:rsidR="009B1B32" w:rsidRDefault="007C1A93" w:rsidRPr="0036023B">
      <w:pPr>
        <w:spacing w:before="29" w:line="288" w:lineRule="auto"/>
        <w:ind w:firstLine="480" w:firstLineChars="200"/>
        <w:rPr>
          <w:color w:val="000000"/>
          <w:sz w:val="24"/>
        </w:rPr>
      </w:pPr>
      <w:r w:rsidRPr="0036023B">
        <w:rPr>
          <w:color w:val="000000"/>
          <w:sz w:val="24"/>
        </w:rPr>
        <w:t>投资者对本报告书如有疑问，可咨询本基金管理人交银施罗德基金管理有限公司。本公司客户服务中心电话：400-700-5000（免长途话费），021-61055000，电子邮件：services@jysld.com。</w:t>
      </w:r>
    </w:p>
    <w:p w:rsidP="0099526C" w:rsidR="001E29D5" w:rsidRDefault="001E29D5" w:rsidRPr="0036023B">
      <w:pPr>
        <w:spacing w:before="29" w:line="288" w:lineRule="auto"/>
        <w:ind w:firstLine="480" w:firstLineChars="200"/>
        <w:rPr>
          <w:color w:val="000000"/>
          <w:sz w:val="24"/>
        </w:rPr>
      </w:pPr>
    </w:p>
    <w:sectPr w:rsidR="001E29D5" w:rsidRPr="0036023B" w:rsidSect="00385786">
      <w:footerReference r:id="rId14"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30A66" w:rsidR="00E57F92" w:rsidRDefault="00E57F92" w:rsidRPr="001D0DB0">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F379E1">
      <w:rPr>
        <w:noProof/>
        <w:kern w:val="0"/>
        <w:szCs w:val="21"/>
      </w:rPr>
      <w:t>23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F379E1">
      <w:rPr>
        <w:noProof/>
        <w:kern w:val="0"/>
        <w:szCs w:val="21"/>
      </w:rPr>
      <w:t>28</w:t>
    </w:r>
    <w:r w:rsidR="00F9387F">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57F92" w:rsidRDefault="00F9387F">
    <w:pPr>
      <w:pStyle w:val="a6"/>
      <w:framePr w:hAnchor="margin" w:vAnchor="text" w:wrap="around"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7C45FA" w:rsidRDefault="007C45FA">
      <w:r>
        <w:separator/>
      </w:r>
    </w:p>
  </w:footnote>
  <w:footnote w:id="0" w:type="continuationSeparator">
    <w:p w:rsidR="007C45FA" w:rsidRDefault="007C45F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6C6FBF" w:rsidR="00E57F92" w:rsidRDefault="006C6FBF" w:rsidRPr="006C6FBF">
    <w:pPr>
      <w:pStyle w:val="a9"/>
      <w:pBdr>
        <w:bottom w:color="auto" w:space="0" w:sz="6" w:val="single"/>
      </w:pBdr>
      <w:ind w:firstLine="480"/>
      <w:jc w:val="right"/>
      <w:rPr>
        <w:sz w:val="24"/>
        <w:szCs w:val="24"/>
      </w:rPr>
    </w:pPr>
    <w:r w:rsidRPr="003E676C">
      <w:rPr>
        <w:sz w:val="24"/>
        <w:szCs w:val="24"/>
      </w:rPr>
      <w:t>深证300价值交易型开放式指数证券投资基金2019年第3季度报告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qFormat/>
    <w:rsid w:val="00337293"/>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337293"/>
    <w:pPr>
      <w:ind w:firstLine="420" w:firstLineChars="200"/>
    </w:pPr>
  </w:style>
  <w:style w:styleId="a4" w:type="paragraph">
    <w:name w:val="Body Text Indent"/>
    <w:basedOn w:val="a"/>
    <w:rsid w:val="00337293"/>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337293"/>
    <w:rPr>
      <w:rFonts w:ascii="宋体" w:hAnsi="Courier New"/>
      <w:szCs w:val="21"/>
    </w:rPr>
  </w:style>
  <w:style w:styleId="20" w:type="paragraph">
    <w:name w:val="Body Text Indent 2"/>
    <w:basedOn w:val="a"/>
    <w:rsid w:val="00337293"/>
    <w:pPr>
      <w:spacing w:line="560" w:lineRule="exact"/>
      <w:ind w:firstLine="480" w:firstLineChars="200"/>
    </w:pPr>
    <w:rPr>
      <w:rFonts w:ascii="宋体" w:hAnsi="宋体"/>
      <w:color w:val="FF0000"/>
      <w:sz w:val="24"/>
    </w:rPr>
  </w:style>
  <w:style w:styleId="a6" w:type="paragraph">
    <w:name w:val="footer"/>
    <w:basedOn w:val="a"/>
    <w:rsid w:val="00337293"/>
    <w:pPr>
      <w:tabs>
        <w:tab w:pos="4153" w:val="center"/>
        <w:tab w:pos="8306" w:val="right"/>
      </w:tabs>
      <w:snapToGrid w:val="0"/>
      <w:jc w:val="left"/>
    </w:pPr>
    <w:rPr>
      <w:sz w:val="18"/>
      <w:szCs w:val="18"/>
    </w:rPr>
  </w:style>
  <w:style w:styleId="a7" w:type="character">
    <w:name w:val="page number"/>
    <w:basedOn w:val="a1"/>
    <w:rsid w:val="00337293"/>
  </w:style>
  <w:style w:styleId="a8" w:type="character">
    <w:name w:val="Hyperlink"/>
    <w:basedOn w:val="a1"/>
    <w:rsid w:val="00337293"/>
    <w:rPr>
      <w:color w:val="0000FF"/>
      <w:u w:val="single"/>
    </w:rPr>
  </w:style>
  <w:style w:styleId="3" w:type="paragraph">
    <w:name w:val="Body Text Indent 3"/>
    <w:basedOn w:val="a"/>
    <w:rsid w:val="00337293"/>
    <w:pPr>
      <w:spacing w:line="560" w:lineRule="exact"/>
      <w:ind w:firstLine="420" w:firstLineChars="200"/>
    </w:pPr>
    <w:rPr>
      <w:rFonts w:ascii="Arial" w:cs="Arial" w:hAnsi="Arial"/>
      <w:color w:val="FF0000"/>
    </w:rPr>
  </w:style>
  <w:style w:styleId="a9" w:type="paragraph">
    <w:name w:val="header"/>
    <w:basedOn w:val="a"/>
    <w:link w:val="Char0"/>
    <w:uiPriority w:val="99"/>
    <w:rsid w:val="00337293"/>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337293"/>
    <w:rPr>
      <w:color w:val="800080"/>
      <w:u w:val="single"/>
    </w:rPr>
  </w:style>
  <w:style w:styleId="ab" w:type="paragraph">
    <w:name w:val="List"/>
    <w:basedOn w:val="ac"/>
    <w:rsid w:val="00337293"/>
    <w:pPr>
      <w:spacing w:after="220" w:line="220" w:lineRule="atLeast"/>
      <w:ind w:hanging="360" w:left="1440"/>
    </w:pPr>
    <w:rPr>
      <w:szCs w:val="20"/>
    </w:rPr>
  </w:style>
  <w:style w:styleId="ac" w:type="paragraph">
    <w:name w:val="Body Text"/>
    <w:basedOn w:val="a"/>
    <w:rsid w:val="00337293"/>
    <w:pPr>
      <w:spacing w:after="120"/>
    </w:pPr>
  </w:style>
  <w:style w:styleId="ad" w:type="paragraph">
    <w:name w:val="Date"/>
    <w:basedOn w:val="a"/>
    <w:next w:val="a"/>
    <w:link w:val="Char1"/>
    <w:rsid w:val="00337293"/>
    <w:rPr>
      <w:sz w:val="24"/>
      <w:szCs w:val="20"/>
    </w:rPr>
  </w:style>
  <w:style w:customStyle="1" w:styleId="c1" w:type="character">
    <w:name w:val="c1"/>
    <w:basedOn w:val="a1"/>
    <w:rsid w:val="00337293"/>
    <w:rPr>
      <w:color w:val="000000"/>
      <w:sz w:val="18"/>
      <w:szCs w:val="18"/>
    </w:rPr>
  </w:style>
  <w:style w:styleId="10" w:type="paragraph">
    <w:name w:val="index 1"/>
    <w:basedOn w:val="a"/>
    <w:next w:val="a"/>
    <w:autoRedefine/>
    <w:semiHidden/>
    <w:rsid w:val="00337293"/>
    <w:pPr>
      <w:jc w:val="right"/>
    </w:pPr>
    <w:rPr>
      <w:color w:val="008000"/>
    </w:rPr>
  </w:style>
  <w:style w:customStyle="1" w:styleId="font5" w:type="paragraph">
    <w:name w:val="font5"/>
    <w:basedOn w:val="a"/>
    <w:rsid w:val="00337293"/>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337293"/>
    <w:rPr>
      <w:sz w:val="18"/>
      <w:szCs w:val="18"/>
    </w:rPr>
  </w:style>
  <w:style w:styleId="af" w:type="character">
    <w:name w:val="annotation reference"/>
    <w:basedOn w:val="a1"/>
    <w:semiHidden/>
    <w:rsid w:val="00337293"/>
    <w:rPr>
      <w:sz w:val="21"/>
      <w:szCs w:val="21"/>
    </w:rPr>
  </w:style>
  <w:style w:styleId="af0" w:type="paragraph">
    <w:name w:val="annotation text"/>
    <w:basedOn w:val="a"/>
    <w:semiHidden/>
    <w:rsid w:val="00337293"/>
    <w:pPr>
      <w:jc w:val="left"/>
    </w:pPr>
  </w:style>
  <w:style w:styleId="af1" w:type="paragraph">
    <w:name w:val="annotation subject"/>
    <w:basedOn w:val="af0"/>
    <w:next w:val="af0"/>
    <w:semiHidden/>
    <w:rsid w:val="00337293"/>
    <w:rPr>
      <w:b/>
      <w:bCs/>
    </w:rPr>
  </w:style>
  <w:style w:customStyle="1" w:styleId="Char2" w:type="paragraph">
    <w:name w:val="Char"/>
    <w:basedOn w:val="a"/>
    <w:rsid w:val="00337293"/>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CE3519"/>
    <w:rPr>
      <w:rFonts w:ascii="宋体" w:hAnsi="Courier New"/>
      <w:kern w:val="2"/>
      <w:sz w:val="21"/>
      <w:szCs w:val="21"/>
    </w:rPr>
  </w:style>
  <w:style w:customStyle="1" w:styleId="Default" w:type="paragraph">
    <w:name w:val="Default"/>
    <w:rsid w:val="00295C5D"/>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5E491F"/>
    <w:rPr>
      <w:kern w:val="2"/>
      <w:sz w:val="18"/>
      <w:szCs w:val="18"/>
    </w:rPr>
  </w:style>
  <w:style w:customStyle="1" w:styleId="1Char" w:type="character">
    <w:name w:val="标题 1 Char"/>
    <w:basedOn w:val="a1"/>
    <w:link w:val="1"/>
    <w:uiPriority w:val="99"/>
    <w:rsid w:val="004F4EA9"/>
    <w:rPr>
      <w:b/>
      <w:bCs/>
      <w:kern w:val="44"/>
      <w:sz w:val="44"/>
      <w:szCs w:val="44"/>
    </w:rPr>
  </w:style>
  <w:style w:customStyle="1" w:styleId="Char1" w:type="character">
    <w:name w:val="日期 Char"/>
    <w:basedOn w:val="a1"/>
    <w:link w:val="ad"/>
    <w:rsid w:val="005B1DEC"/>
    <w:rPr>
      <w:kern w:val="2"/>
      <w:sz w:val="24"/>
    </w:rPr>
  </w:style>
  <w:style w:styleId="af8" w:type="character">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28</Pages>
  <Words>4422</Words>
  <Characters>25206</Characters>
  <Application>Microsoft Office Word</Application>
  <DocSecurity>0</DocSecurity>
  <Lines>210</Lines>
  <Paragraphs>59</Paragraphs>
  <ScaleCrop>false</ScaleCrop>
  <Company>TRT. Ltd. Co.</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业务系统</cp:lastModifiedBy>
  <cp:lastPrinted>2007-07-19T00:46:00Z</cp:lastPrinted>
  <dcterms:modified xsi:type="dcterms:W3CDTF">2019-08-22T08:32:00Z</dcterms:modified>
  <cp:revision>410</cp:revision>
</cp:coreProperties>
</file>