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交银施罗德阿尔法核心混合型证券投资基金</w:t>
      </w:r>
    </w:p>
    <w:p w:rsidP="00C15CAC" w:rsidR="002279D3" w:rsidRDefault="002279D3" w:rsidRPr="0081286B">
      <w:pPr>
        <w:spacing w:before="29" w:line="288" w:lineRule="auto"/>
        <w:jc w:val="center"/>
        <w:rPr>
          <w:b/>
          <w:sz w:val="36"/>
          <w:szCs w:val="36"/>
        </w:rPr>
      </w:pPr>
      <w:r w:rsidRPr="0081286B">
        <w:rPr>
          <w:b/>
          <w:sz w:val="36"/>
          <w:szCs w:val="36"/>
        </w:rPr>
        <w:t>2019年第3季度报告</w:t>
      </w:r>
    </w:p>
    <w:p w:rsidP="00C15CAC" w:rsidR="004061AC" w:rsidRDefault="00655CD8" w:rsidRPr="0081286B">
      <w:pPr>
        <w:spacing w:before="29" w:line="288" w:lineRule="auto"/>
        <w:jc w:val="center"/>
        <w:rPr>
          <w:b/>
          <w:sz w:val="36"/>
          <w:szCs w:val="36"/>
        </w:rPr>
      </w:pPr>
      <w:r w:rsidRPr="0081286B">
        <w:rPr>
          <w:b/>
          <w:sz w:val="36"/>
          <w:szCs w:val="36"/>
        </w:rPr>
        <w:t>2019年9月30日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中国建设银行股份有限公司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二〇一九年十月二十二日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基金托管人中国建设银行股份有限公司根据本基金合同规定，于2019年10月21日复核了本报告中的财务指标、净值表现和投资组合报告等内容，保证复核内容不存在虚假记载、误导性陈述或者重大遗漏。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本报告期自2019年7月1日起至9月30日止。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交银阿尔法核心混合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519712</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2922"/>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519712</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type="dxa" w:w="29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519713</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2012年8月3日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1,686,538,273.91</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本基金通过积极发挥团队选股优势，结合基本面多因子指标等组合管理手段选择具有显著阿尔法特征的个股，在控制风险并保持基金资产良好的流动性的前提下，追求长期持续稳定高于业绩比较基准的投资回报。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本基金充分发挥基金管理人的专业研究能力，以数量化工具辅助自上而下的资产配置，积极发挥研究团队的选股优势，结合基本面多因子指标自下而上精选个股，以谋求风险调整后的良好收益。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75%×沪深300指数收益率+25%×中证综合债券指数收益率</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(2019年7月1日-2019年9月30日)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248,255,727.05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366,260,169.89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0.2129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3,998,419,244.39</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2.371</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注：1、上述基金业绩指标不包括持有人认购或交易基金的各项费用，计入费用后的实际收益水平要低于所列数字；</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10.18%</w:t>
            </w:r>
          </w:p>
        </w:tc>
        <w:tc>
          <w:tcPr>
            <w:vAlign w:val="center"/>
          </w:tcPr>
          <w:p>
            <w:pPr>
              <w:jc w:val="center"/>
            </w:pPr>
            <w:r>
              <w:rPr>
                <w:color w:val="000000"/>
                <w:sz w:val="24"/>
                <w:szCs w:val="24"/>
              </w:rPr>
              <w:t>1.25%</w:t>
            </w:r>
          </w:p>
        </w:tc>
        <w:tc>
          <w:tcPr>
            <w:vAlign w:val="center"/>
          </w:tcPr>
          <w:p>
            <w:pPr>
              <w:jc w:val="center"/>
            </w:pPr>
            <w:r>
              <w:rPr>
                <w:color w:val="000000"/>
                <w:sz w:val="24"/>
                <w:szCs w:val="24"/>
              </w:rPr>
              <w:t>0.18%</w:t>
            </w:r>
          </w:p>
        </w:tc>
        <w:tc>
          <w:tcPr>
            <w:vAlign w:val="center"/>
          </w:tcPr>
          <w:p>
            <w:pPr>
              <w:jc w:val="center"/>
            </w:pPr>
            <w:r>
              <w:rPr>
                <w:color w:val="000000"/>
                <w:sz w:val="24"/>
                <w:szCs w:val="24"/>
              </w:rPr>
              <w:t>0.72%</w:t>
            </w:r>
          </w:p>
        </w:tc>
        <w:tc>
          <w:tcPr>
            <w:vAlign w:val="center"/>
          </w:tcPr>
          <w:p>
            <w:pPr>
              <w:jc w:val="center"/>
            </w:pPr>
            <w:r>
              <w:rPr>
                <w:color w:val="000000"/>
                <w:sz w:val="24"/>
                <w:szCs w:val="24"/>
              </w:rPr>
              <w:t>10.00%</w:t>
            </w:r>
          </w:p>
        </w:tc>
        <w:tc>
          <w:tcPr>
            <w:vAlign w:val="center"/>
          </w:tcPr>
          <w:p>
            <w:pPr>
              <w:jc w:val="center"/>
            </w:pPr>
            <w:r>
              <w:rPr>
                <w:color w:val="000000"/>
                <w:sz w:val="24"/>
                <w:szCs w:val="24"/>
              </w:rPr>
              <w:t>0.53%</w:t>
            </w:r>
          </w:p>
        </w:tc>
      </w:tr>
    </w:tbl>
    <w:p w:rsidP="00C15CAC" w:rsidR="004061AC" w:rsidRDefault="003F39DF"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本基金业绩比较基准自2015年10月1日起，由“75%×沪深300指数收益率+25%×中信标普全债指数收益率”变更为“75%×沪深300指数收益率+25%×中证综合债券指数收益率”，3.2.2同。详情见本基金管理人于2015年9月28日发布的《交银施罗德基金管理有限公司关于旗下部分基金业绩比较基准变更并修改基金合同相关内容的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交银施罗德阿尔法核心混合型证券投资基金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2012年8月3日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2019年9月30日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何帅</w:t>
            </w:r>
          </w:p>
        </w:tc>
        <w:tc>
          <w:tcPr>
            <w:vAlign w:val="center"/>
          </w:tcPr>
          <w:p>
            <w:pPr>
              <w:jc w:val="center"/>
            </w:pPr>
            <w:r>
              <w:rPr>
                <w:color w:val="000000"/>
                <w:sz w:val="24"/>
                <w:szCs w:val="24"/>
              </w:rPr>
              <w:t>交银优势行业混合、交银阿尔法核心混合、交银持续成长主题混合的基金经理</w:t>
            </w:r>
          </w:p>
        </w:tc>
        <w:tc>
          <w:tcPr>
            <w:vAlign w:val="center"/>
          </w:tcPr>
          <w:p>
            <w:pPr>
              <w:jc w:val="center"/>
            </w:pPr>
            <w:r>
              <w:rPr>
                <w:color w:val="000000"/>
                <w:sz w:val="24"/>
                <w:szCs w:val="24"/>
              </w:rPr>
              <w:t>2015-09-16</w:t>
            </w:r>
          </w:p>
        </w:tc>
        <w:tc>
          <w:tcPr>
            <w:vAlign w:val="center"/>
          </w:tcPr>
          <w:p>
            <w:pPr>
              <w:jc w:val="center"/>
            </w:pPr>
            <w:r>
              <w:rPr>
                <w:color w:val="000000"/>
                <w:sz w:val="24"/>
                <w:szCs w:val="24"/>
              </w:rPr>
              <w:t>-</w:t>
            </w:r>
          </w:p>
        </w:tc>
        <w:tc>
          <w:tcPr>
            <w:vAlign w:val="center"/>
          </w:tcPr>
          <w:p>
            <w:pPr>
              <w:jc w:val="center"/>
            </w:pPr>
            <w:r>
              <w:rPr>
                <w:color w:val="000000"/>
                <w:sz w:val="24"/>
                <w:szCs w:val="24"/>
              </w:rPr>
              <w:t>9年</w:t>
            </w:r>
          </w:p>
        </w:tc>
        <w:tc>
          <w:tcPr>
            <w:vAlign w:val="center"/>
          </w:tcPr>
          <w:p>
            <w:pPr>
              <w:jc w:val="both"/>
            </w:pPr>
            <w:r>
              <w:rPr>
                <w:color w:val="000000"/>
                <w:sz w:val="24"/>
                <w:szCs w:val="24"/>
              </w:rPr>
              <w:t>何帅先生，上海财经大学硕士。历任国联安基金管理有限公司研究员。2012年加入交银施罗德基金管理有限公司，历任行业分析师。</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2019年三季度A股市场风险偏好明显回升。特别是市场对5G、进口芯片替代及自主可控关注较高，相关个股及行业获得了可观涨幅。</w:t>
      </w:r>
    </w:p>
    <w:p>
      <w:pPr>
        <w:spacing w:before="29" w:line="288" w:lineRule="auto"/>
        <w:ind w:firstLine="480" w:firstLineChars="200"/>
        <w:rPr>
          <w:color w:val="000000"/>
          <w:sz w:val="24"/>
          <w:szCs w:val="24"/>
        </w:rPr>
      </w:pPr>
      <w:r>
        <w:rPr>
          <w:color w:val="000000"/>
          <w:sz w:val="24"/>
          <w:szCs w:val="24"/>
        </w:rPr>
        <w:t>本基金在三季度跑赢业绩比较基准，主要原因是持仓结构偏向成长类，相关个股估值回升。</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流动性相对宽松，其他大类资产预期回报较低的环境下，资本市场吸引力可能会缓慢显现。从三季度的情况，具体表现为两个方向，首先是未来具备明确成长机会的行业其估值可能大幅提升。其次是优质“核心资产”估值可能会稳定提升。我们希望通过前瞻性研究发现一些新的变化和未来成长性不错的行业，并通过深度研究发现更多优质资产，相关投资我们都会基于较好的安全边际，不参与估值可能泡沫化的公司或者行业，我们希望通过深度研究，能够持续为持有人获得超额收益。</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3,409,934,322.84</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84.62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3,409,934,322.84</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84.62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189,882,165.60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4.71</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189,882,165.60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4.71</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387,527,518.69</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9.62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42,467,680.13</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1.05</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4,029,811,687.26</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422,840.00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0.01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507,300.00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1,057,334,036.47</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26.44</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1,634,500.00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0.04</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240,000.00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235,140,507.09</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5.88</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626,250.00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1,449,583,289.22</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36.25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164,584,411.60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4.12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142,663,326.36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3.57</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370,087.20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63,176,085.98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1.58</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459,205.84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85,832,799.36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2.15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207,359,683.72</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5.19</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3,409,934,322.84</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85.28</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300188</w:t>
            </w:r>
          </w:p>
        </w:tc>
        <w:tc>
          <w:tcPr>
            <w:vAlign w:val="center"/>
          </w:tcPr>
          <w:p>
            <w:pPr>
              <w:jc w:val="center"/>
            </w:pPr>
            <w:r>
              <w:rPr>
                <w:color w:val="000000"/>
                <w:sz w:val="24"/>
                <w:szCs w:val="24"/>
              </w:rPr>
              <w:t>美亚柏科</w:t>
            </w:r>
          </w:p>
        </w:tc>
        <w:tc>
          <w:tcPr>
            <w:vAlign w:val="center"/>
          </w:tcPr>
          <w:p>
            <w:pPr>
              <w:jc w:val="right"/>
            </w:pPr>
            <w:r>
              <w:rPr>
                <w:color w:val="000000"/>
                <w:sz w:val="24"/>
                <w:szCs w:val="24"/>
              </w:rPr>
              <w:t>17,035,959</w:t>
            </w:r>
          </w:p>
        </w:tc>
        <w:tc>
          <w:tcPr>
            <w:vAlign w:val="center"/>
          </w:tcPr>
          <w:p>
            <w:pPr>
              <w:jc w:val="right"/>
            </w:pPr>
            <w:r>
              <w:rPr>
                <w:color w:val="000000"/>
                <w:sz w:val="24"/>
                <w:szCs w:val="24"/>
              </w:rPr>
              <w:t>291,996,337.26</w:t>
            </w:r>
          </w:p>
        </w:tc>
        <w:tc>
          <w:tcPr>
            <w:vAlign w:val="center"/>
          </w:tcPr>
          <w:p>
            <w:pPr>
              <w:jc w:val="right"/>
            </w:pPr>
            <w:r>
              <w:rPr>
                <w:color w:val="000000"/>
                <w:sz w:val="24"/>
                <w:szCs w:val="24"/>
              </w:rPr>
              <w:t>7.30</w:t>
            </w:r>
          </w:p>
        </w:tc>
      </w:tr>
      <w:tr>
        <w:tc>
          <w:tcPr>
            <w:vAlign w:val="center"/>
          </w:tcPr>
          <w:p>
            <w:pPr>
              <w:jc w:val="center"/>
            </w:pPr>
            <w:r>
              <w:rPr>
                <w:color w:val="000000"/>
                <w:sz w:val="24"/>
                <w:szCs w:val="24"/>
              </w:rPr>
              <w:t>2</w:t>
            </w:r>
          </w:p>
        </w:tc>
        <w:tc>
          <w:tcPr>
            <w:vAlign w:val="center"/>
          </w:tcPr>
          <w:p>
            <w:pPr>
              <w:jc w:val="center"/>
            </w:pPr>
            <w:r>
              <w:rPr>
                <w:color w:val="000000"/>
                <w:sz w:val="24"/>
                <w:szCs w:val="24"/>
              </w:rPr>
              <w:t>300078</w:t>
            </w:r>
          </w:p>
        </w:tc>
        <w:tc>
          <w:tcPr>
            <w:vAlign w:val="center"/>
          </w:tcPr>
          <w:p>
            <w:pPr>
              <w:jc w:val="center"/>
            </w:pPr>
            <w:r>
              <w:rPr>
                <w:color w:val="000000"/>
                <w:sz w:val="24"/>
                <w:szCs w:val="24"/>
              </w:rPr>
              <w:t>思创医惠</w:t>
            </w:r>
          </w:p>
        </w:tc>
        <w:tc>
          <w:tcPr>
            <w:vAlign w:val="center"/>
          </w:tcPr>
          <w:p>
            <w:pPr>
              <w:jc w:val="right"/>
            </w:pPr>
            <w:r>
              <w:rPr>
                <w:color w:val="000000"/>
                <w:sz w:val="24"/>
                <w:szCs w:val="24"/>
              </w:rPr>
              <w:t>20,847,657</w:t>
            </w:r>
          </w:p>
        </w:tc>
        <w:tc>
          <w:tcPr>
            <w:vAlign w:val="center"/>
          </w:tcPr>
          <w:p>
            <w:pPr>
              <w:jc w:val="right"/>
            </w:pPr>
            <w:r>
              <w:rPr>
                <w:color w:val="000000"/>
                <w:sz w:val="24"/>
                <w:szCs w:val="24"/>
              </w:rPr>
              <w:t>245,585,399.46</w:t>
            </w:r>
          </w:p>
        </w:tc>
        <w:tc>
          <w:tcPr>
            <w:vAlign w:val="center"/>
          </w:tcPr>
          <w:p>
            <w:pPr>
              <w:jc w:val="right"/>
            </w:pPr>
            <w:r>
              <w:rPr>
                <w:color w:val="000000"/>
                <w:sz w:val="24"/>
                <w:szCs w:val="24"/>
              </w:rPr>
              <w:t>6.14</w:t>
            </w:r>
          </w:p>
        </w:tc>
      </w:tr>
      <w:tr>
        <w:tc>
          <w:tcPr>
            <w:vAlign w:val="center"/>
          </w:tcPr>
          <w:p>
            <w:pPr>
              <w:jc w:val="center"/>
            </w:pPr>
            <w:r>
              <w:rPr>
                <w:color w:val="000000"/>
                <w:sz w:val="24"/>
                <w:szCs w:val="24"/>
              </w:rPr>
              <w:t>3</w:t>
            </w:r>
          </w:p>
        </w:tc>
        <w:tc>
          <w:tcPr>
            <w:vAlign w:val="center"/>
          </w:tcPr>
          <w:p>
            <w:pPr>
              <w:jc w:val="center"/>
            </w:pPr>
            <w:r>
              <w:rPr>
                <w:color w:val="000000"/>
                <w:sz w:val="24"/>
                <w:szCs w:val="24"/>
              </w:rPr>
              <w:t>300365</w:t>
            </w:r>
          </w:p>
        </w:tc>
        <w:tc>
          <w:tcPr>
            <w:vAlign w:val="center"/>
          </w:tcPr>
          <w:p>
            <w:pPr>
              <w:jc w:val="center"/>
            </w:pPr>
            <w:r>
              <w:rPr>
                <w:color w:val="000000"/>
                <w:sz w:val="24"/>
                <w:szCs w:val="24"/>
              </w:rPr>
              <w:t>恒华科技</w:t>
            </w:r>
          </w:p>
        </w:tc>
        <w:tc>
          <w:tcPr>
            <w:vAlign w:val="center"/>
          </w:tcPr>
          <w:p>
            <w:pPr>
              <w:jc w:val="right"/>
            </w:pPr>
            <w:r>
              <w:rPr>
                <w:color w:val="000000"/>
                <w:sz w:val="24"/>
                <w:szCs w:val="24"/>
              </w:rPr>
              <w:t>16,155,903</w:t>
            </w:r>
          </w:p>
        </w:tc>
        <w:tc>
          <w:tcPr>
            <w:vAlign w:val="center"/>
          </w:tcPr>
          <w:p>
            <w:pPr>
              <w:jc w:val="right"/>
            </w:pPr>
            <w:r>
              <w:rPr>
                <w:color w:val="000000"/>
                <w:sz w:val="24"/>
                <w:szCs w:val="24"/>
              </w:rPr>
              <w:t>242,984,781.12</w:t>
            </w:r>
          </w:p>
        </w:tc>
        <w:tc>
          <w:tcPr>
            <w:vAlign w:val="center"/>
          </w:tcPr>
          <w:p>
            <w:pPr>
              <w:jc w:val="right"/>
            </w:pPr>
            <w:r>
              <w:rPr>
                <w:color w:val="000000"/>
                <w:sz w:val="24"/>
                <w:szCs w:val="24"/>
              </w:rPr>
              <w:t>6.08</w:t>
            </w:r>
          </w:p>
        </w:tc>
      </w:tr>
      <w:tr>
        <w:tc>
          <w:tcPr>
            <w:vAlign w:val="center"/>
          </w:tcPr>
          <w:p>
            <w:pPr>
              <w:jc w:val="center"/>
            </w:pPr>
            <w:r>
              <w:rPr>
                <w:color w:val="000000"/>
                <w:sz w:val="24"/>
                <w:szCs w:val="24"/>
              </w:rPr>
              <w:t>4</w:t>
            </w:r>
          </w:p>
        </w:tc>
        <w:tc>
          <w:tcPr>
            <w:vAlign w:val="center"/>
          </w:tcPr>
          <w:p>
            <w:pPr>
              <w:jc w:val="center"/>
            </w:pPr>
            <w:r>
              <w:rPr>
                <w:color w:val="000000"/>
                <w:sz w:val="24"/>
                <w:szCs w:val="24"/>
              </w:rPr>
              <w:t>600529</w:t>
            </w:r>
          </w:p>
        </w:tc>
        <w:tc>
          <w:tcPr>
            <w:vAlign w:val="center"/>
          </w:tcPr>
          <w:p>
            <w:pPr>
              <w:jc w:val="center"/>
            </w:pPr>
            <w:r>
              <w:rPr>
                <w:color w:val="000000"/>
                <w:sz w:val="24"/>
                <w:szCs w:val="24"/>
              </w:rPr>
              <w:t>山东药玻</w:t>
            </w:r>
          </w:p>
        </w:tc>
        <w:tc>
          <w:tcPr>
            <w:vAlign w:val="center"/>
          </w:tcPr>
          <w:p>
            <w:pPr>
              <w:jc w:val="right"/>
            </w:pPr>
            <w:r>
              <w:rPr>
                <w:color w:val="000000"/>
                <w:sz w:val="24"/>
                <w:szCs w:val="24"/>
              </w:rPr>
              <w:t>8,070,429</w:t>
            </w:r>
          </w:p>
        </w:tc>
        <w:tc>
          <w:tcPr>
            <w:vAlign w:val="center"/>
          </w:tcPr>
          <w:p>
            <w:pPr>
              <w:jc w:val="right"/>
            </w:pPr>
            <w:r>
              <w:rPr>
                <w:color w:val="000000"/>
                <w:sz w:val="24"/>
                <w:szCs w:val="24"/>
              </w:rPr>
              <w:t>188,202,404.28</w:t>
            </w:r>
          </w:p>
        </w:tc>
        <w:tc>
          <w:tcPr>
            <w:vAlign w:val="center"/>
          </w:tcPr>
          <w:p>
            <w:pPr>
              <w:jc w:val="right"/>
            </w:pPr>
            <w:r>
              <w:rPr>
                <w:color w:val="000000"/>
                <w:sz w:val="24"/>
                <w:szCs w:val="24"/>
              </w:rPr>
              <w:t>4.71</w:t>
            </w:r>
          </w:p>
        </w:tc>
      </w:tr>
      <w:tr>
        <w:tc>
          <w:tcPr>
            <w:vAlign w:val="center"/>
          </w:tcPr>
          <w:p>
            <w:pPr>
              <w:jc w:val="center"/>
            </w:pPr>
            <w:r>
              <w:rPr>
                <w:color w:val="000000"/>
                <w:sz w:val="24"/>
                <w:szCs w:val="24"/>
              </w:rPr>
              <w:t>5</w:t>
            </w:r>
          </w:p>
        </w:tc>
        <w:tc>
          <w:tcPr>
            <w:vAlign w:val="center"/>
          </w:tcPr>
          <w:p>
            <w:pPr>
              <w:jc w:val="center"/>
            </w:pPr>
            <w:r>
              <w:rPr>
                <w:color w:val="000000"/>
                <w:sz w:val="24"/>
                <w:szCs w:val="24"/>
              </w:rPr>
              <w:t>300271</w:t>
            </w:r>
          </w:p>
        </w:tc>
        <w:tc>
          <w:tcPr>
            <w:vAlign w:val="center"/>
          </w:tcPr>
          <w:p>
            <w:pPr>
              <w:jc w:val="center"/>
            </w:pPr>
            <w:r>
              <w:rPr>
                <w:color w:val="000000"/>
                <w:sz w:val="24"/>
                <w:szCs w:val="24"/>
              </w:rPr>
              <w:t>华宇软件</w:t>
            </w:r>
          </w:p>
        </w:tc>
        <w:tc>
          <w:tcPr>
            <w:vAlign w:val="center"/>
          </w:tcPr>
          <w:p>
            <w:pPr>
              <w:jc w:val="right"/>
            </w:pPr>
            <w:r>
              <w:rPr>
                <w:color w:val="000000"/>
                <w:sz w:val="24"/>
                <w:szCs w:val="24"/>
              </w:rPr>
              <w:t>7,952,898</w:t>
            </w:r>
          </w:p>
        </w:tc>
        <w:tc>
          <w:tcPr>
            <w:vAlign w:val="center"/>
          </w:tcPr>
          <w:p>
            <w:pPr>
              <w:jc w:val="right"/>
            </w:pPr>
            <w:r>
              <w:rPr>
                <w:color w:val="000000"/>
                <w:sz w:val="24"/>
                <w:szCs w:val="24"/>
              </w:rPr>
              <w:t>172,975,531.50</w:t>
            </w:r>
          </w:p>
        </w:tc>
        <w:tc>
          <w:tcPr>
            <w:vAlign w:val="center"/>
          </w:tcPr>
          <w:p>
            <w:pPr>
              <w:jc w:val="right"/>
            </w:pPr>
            <w:r>
              <w:rPr>
                <w:color w:val="000000"/>
                <w:sz w:val="24"/>
                <w:szCs w:val="24"/>
              </w:rPr>
              <w:t>4.33</w:t>
            </w:r>
          </w:p>
        </w:tc>
      </w:tr>
      <w:tr>
        <w:tc>
          <w:tcPr>
            <w:vAlign w:val="center"/>
          </w:tcPr>
          <w:p>
            <w:pPr>
              <w:jc w:val="center"/>
            </w:pPr>
            <w:r>
              <w:rPr>
                <w:color w:val="000000"/>
                <w:sz w:val="24"/>
                <w:szCs w:val="24"/>
              </w:rPr>
              <w:t>6</w:t>
            </w:r>
          </w:p>
        </w:tc>
        <w:tc>
          <w:tcPr>
            <w:vAlign w:val="center"/>
          </w:tcPr>
          <w:p>
            <w:pPr>
              <w:jc w:val="center"/>
            </w:pPr>
            <w:r>
              <w:rPr>
                <w:color w:val="000000"/>
                <w:sz w:val="24"/>
                <w:szCs w:val="24"/>
              </w:rPr>
              <w:t>000501</w:t>
            </w:r>
          </w:p>
        </w:tc>
        <w:tc>
          <w:tcPr>
            <w:vAlign w:val="center"/>
          </w:tcPr>
          <w:p>
            <w:pPr>
              <w:jc w:val="center"/>
            </w:pPr>
            <w:r>
              <w:rPr>
                <w:color w:val="000000"/>
                <w:sz w:val="24"/>
                <w:szCs w:val="24"/>
              </w:rPr>
              <w:t>鄂武商A</w:t>
            </w:r>
          </w:p>
        </w:tc>
        <w:tc>
          <w:tcPr>
            <w:vAlign w:val="center"/>
          </w:tcPr>
          <w:p>
            <w:pPr>
              <w:jc w:val="right"/>
            </w:pPr>
            <w:r>
              <w:rPr>
                <w:color w:val="000000"/>
                <w:sz w:val="24"/>
                <w:szCs w:val="24"/>
              </w:rPr>
              <w:t>13,335,301</w:t>
            </w:r>
          </w:p>
        </w:tc>
        <w:tc>
          <w:tcPr>
            <w:vAlign w:val="center"/>
          </w:tcPr>
          <w:p>
            <w:pPr>
              <w:jc w:val="right"/>
            </w:pPr>
            <w:r>
              <w:rPr>
                <w:color w:val="000000"/>
                <w:sz w:val="24"/>
                <w:szCs w:val="24"/>
              </w:rPr>
              <w:t>134,819,893.11</w:t>
            </w:r>
          </w:p>
        </w:tc>
        <w:tc>
          <w:tcPr>
            <w:vAlign w:val="center"/>
          </w:tcPr>
          <w:p>
            <w:pPr>
              <w:jc w:val="right"/>
            </w:pPr>
            <w:r>
              <w:rPr>
                <w:color w:val="000000"/>
                <w:sz w:val="24"/>
                <w:szCs w:val="24"/>
              </w:rPr>
              <w:t>3.37</w:t>
            </w:r>
          </w:p>
        </w:tc>
      </w:tr>
      <w:tr>
        <w:tc>
          <w:tcPr>
            <w:vAlign w:val="center"/>
          </w:tcPr>
          <w:p>
            <w:pPr>
              <w:jc w:val="center"/>
            </w:pPr>
            <w:r>
              <w:rPr>
                <w:color w:val="000000"/>
                <w:sz w:val="24"/>
                <w:szCs w:val="24"/>
              </w:rPr>
              <w:t>7</w:t>
            </w:r>
          </w:p>
        </w:tc>
        <w:tc>
          <w:tcPr>
            <w:vAlign w:val="center"/>
          </w:tcPr>
          <w:p>
            <w:pPr>
              <w:jc w:val="center"/>
            </w:pPr>
            <w:r>
              <w:rPr>
                <w:color w:val="000000"/>
                <w:sz w:val="24"/>
                <w:szCs w:val="24"/>
              </w:rPr>
              <w:t>002555</w:t>
            </w:r>
          </w:p>
        </w:tc>
        <w:tc>
          <w:tcPr>
            <w:vAlign w:val="center"/>
          </w:tcPr>
          <w:p>
            <w:pPr>
              <w:jc w:val="center"/>
            </w:pPr>
            <w:r>
              <w:rPr>
                <w:color w:val="000000"/>
                <w:sz w:val="24"/>
                <w:szCs w:val="24"/>
              </w:rPr>
              <w:t>三七互娱</w:t>
            </w:r>
          </w:p>
        </w:tc>
        <w:tc>
          <w:tcPr>
            <w:vAlign w:val="center"/>
          </w:tcPr>
          <w:p>
            <w:pPr>
              <w:jc w:val="right"/>
            </w:pPr>
            <w:r>
              <w:rPr>
                <w:color w:val="000000"/>
                <w:sz w:val="24"/>
                <w:szCs w:val="24"/>
              </w:rPr>
              <w:t>7,260,973</w:t>
            </w:r>
          </w:p>
        </w:tc>
        <w:tc>
          <w:tcPr>
            <w:vAlign w:val="center"/>
          </w:tcPr>
          <w:p>
            <w:pPr>
              <w:jc w:val="right"/>
            </w:pPr>
            <w:r>
              <w:rPr>
                <w:color w:val="000000"/>
                <w:sz w:val="24"/>
                <w:szCs w:val="24"/>
              </w:rPr>
              <w:t>129,740,843.19</w:t>
            </w:r>
          </w:p>
        </w:tc>
        <w:tc>
          <w:tcPr>
            <w:vAlign w:val="center"/>
          </w:tcPr>
          <w:p>
            <w:pPr>
              <w:jc w:val="right"/>
            </w:pPr>
            <w:r>
              <w:rPr>
                <w:color w:val="000000"/>
                <w:sz w:val="24"/>
                <w:szCs w:val="24"/>
              </w:rPr>
              <w:t>3.24</w:t>
            </w:r>
          </w:p>
        </w:tc>
      </w:tr>
      <w:tr>
        <w:tc>
          <w:tcPr>
            <w:vAlign w:val="center"/>
          </w:tcPr>
          <w:p>
            <w:pPr>
              <w:jc w:val="center"/>
            </w:pPr>
            <w:r>
              <w:rPr>
                <w:color w:val="000000"/>
                <w:sz w:val="24"/>
                <w:szCs w:val="24"/>
              </w:rPr>
              <w:t>8</w:t>
            </w:r>
          </w:p>
        </w:tc>
        <w:tc>
          <w:tcPr>
            <w:vAlign w:val="center"/>
          </w:tcPr>
          <w:p>
            <w:pPr>
              <w:jc w:val="center"/>
            </w:pPr>
            <w:r>
              <w:rPr>
                <w:color w:val="000000"/>
                <w:sz w:val="24"/>
                <w:szCs w:val="24"/>
              </w:rPr>
              <w:t>600030</w:t>
            </w:r>
          </w:p>
        </w:tc>
        <w:tc>
          <w:tcPr>
            <w:vAlign w:val="center"/>
          </w:tcPr>
          <w:p>
            <w:pPr>
              <w:jc w:val="center"/>
            </w:pPr>
            <w:r>
              <w:rPr>
                <w:color w:val="000000"/>
                <w:sz w:val="24"/>
                <w:szCs w:val="24"/>
              </w:rPr>
              <w:t>中信证券</w:t>
            </w:r>
          </w:p>
        </w:tc>
        <w:tc>
          <w:tcPr>
            <w:vAlign w:val="center"/>
          </w:tcPr>
          <w:p>
            <w:pPr>
              <w:jc w:val="right"/>
            </w:pPr>
            <w:r>
              <w:rPr>
                <w:color w:val="000000"/>
                <w:sz w:val="24"/>
                <w:szCs w:val="24"/>
              </w:rPr>
              <w:t>5,567,895</w:t>
            </w:r>
          </w:p>
        </w:tc>
        <w:tc>
          <w:tcPr>
            <w:vAlign w:val="center"/>
          </w:tcPr>
          <w:p>
            <w:pPr>
              <w:jc w:val="right"/>
            </w:pPr>
            <w:r>
              <w:rPr>
                <w:color w:val="000000"/>
                <w:sz w:val="24"/>
                <w:szCs w:val="24"/>
              </w:rPr>
              <w:t>125,166,279.60</w:t>
            </w:r>
          </w:p>
        </w:tc>
        <w:tc>
          <w:tcPr>
            <w:vAlign w:val="center"/>
          </w:tcPr>
          <w:p>
            <w:pPr>
              <w:jc w:val="right"/>
            </w:pPr>
            <w:r>
              <w:rPr>
                <w:color w:val="000000"/>
                <w:sz w:val="24"/>
                <w:szCs w:val="24"/>
              </w:rPr>
              <w:t>3.13</w:t>
            </w:r>
          </w:p>
        </w:tc>
      </w:tr>
      <w:tr>
        <w:tc>
          <w:tcPr>
            <w:vAlign w:val="center"/>
          </w:tcPr>
          <w:p>
            <w:pPr>
              <w:jc w:val="center"/>
            </w:pPr>
            <w:r>
              <w:rPr>
                <w:color w:val="000000"/>
                <w:sz w:val="24"/>
                <w:szCs w:val="24"/>
              </w:rPr>
              <w:t>9</w:t>
            </w:r>
          </w:p>
        </w:tc>
        <w:tc>
          <w:tcPr>
            <w:vAlign w:val="center"/>
          </w:tcPr>
          <w:p>
            <w:pPr>
              <w:jc w:val="center"/>
            </w:pPr>
            <w:r>
              <w:rPr>
                <w:color w:val="000000"/>
                <w:sz w:val="24"/>
                <w:szCs w:val="24"/>
              </w:rPr>
              <w:t>002439</w:t>
            </w:r>
          </w:p>
        </w:tc>
        <w:tc>
          <w:tcPr>
            <w:vAlign w:val="center"/>
          </w:tcPr>
          <w:p>
            <w:pPr>
              <w:jc w:val="center"/>
            </w:pPr>
            <w:r>
              <w:rPr>
                <w:color w:val="000000"/>
                <w:sz w:val="24"/>
                <w:szCs w:val="24"/>
              </w:rPr>
              <w:t>启明星辰</w:t>
            </w:r>
          </w:p>
        </w:tc>
        <w:tc>
          <w:tcPr>
            <w:vAlign w:val="center"/>
          </w:tcPr>
          <w:p>
            <w:pPr>
              <w:jc w:val="right"/>
            </w:pPr>
            <w:r>
              <w:rPr>
                <w:color w:val="000000"/>
                <w:sz w:val="24"/>
                <w:szCs w:val="24"/>
              </w:rPr>
              <w:t>3,539,386</w:t>
            </w:r>
          </w:p>
        </w:tc>
        <w:tc>
          <w:tcPr>
            <w:vAlign w:val="center"/>
          </w:tcPr>
          <w:p>
            <w:pPr>
              <w:jc w:val="right"/>
            </w:pPr>
            <w:r>
              <w:rPr>
                <w:color w:val="000000"/>
                <w:sz w:val="24"/>
                <w:szCs w:val="24"/>
              </w:rPr>
              <w:t>113,189,564.28</w:t>
            </w:r>
          </w:p>
        </w:tc>
        <w:tc>
          <w:tcPr>
            <w:vAlign w:val="center"/>
          </w:tcPr>
          <w:p>
            <w:pPr>
              <w:jc w:val="right"/>
            </w:pPr>
            <w:r>
              <w:rPr>
                <w:color w:val="000000"/>
                <w:sz w:val="24"/>
                <w:szCs w:val="24"/>
              </w:rPr>
              <w:t>2.83</w:t>
            </w:r>
          </w:p>
        </w:tc>
      </w:tr>
      <w:tr>
        <w:tc>
          <w:tcPr>
            <w:vAlign w:val="center"/>
          </w:tcPr>
          <w:p>
            <w:pPr>
              <w:jc w:val="center"/>
            </w:pPr>
            <w:r>
              <w:rPr>
                <w:color w:val="000000"/>
                <w:sz w:val="24"/>
                <w:szCs w:val="24"/>
              </w:rPr>
              <w:t>10</w:t>
            </w:r>
          </w:p>
        </w:tc>
        <w:tc>
          <w:tcPr>
            <w:vAlign w:val="center"/>
          </w:tcPr>
          <w:p>
            <w:pPr>
              <w:jc w:val="center"/>
            </w:pPr>
            <w:r>
              <w:rPr>
                <w:color w:val="000000"/>
                <w:sz w:val="24"/>
                <w:szCs w:val="24"/>
              </w:rPr>
              <w:t>000961</w:t>
            </w:r>
          </w:p>
        </w:tc>
        <w:tc>
          <w:tcPr>
            <w:vAlign w:val="center"/>
          </w:tcPr>
          <w:p>
            <w:pPr>
              <w:jc w:val="center"/>
            </w:pPr>
            <w:r>
              <w:rPr>
                <w:color w:val="000000"/>
                <w:sz w:val="24"/>
                <w:szCs w:val="24"/>
              </w:rPr>
              <w:t>中南建设</w:t>
            </w:r>
          </w:p>
        </w:tc>
        <w:tc>
          <w:tcPr>
            <w:vAlign w:val="center"/>
          </w:tcPr>
          <w:p>
            <w:pPr>
              <w:jc w:val="right"/>
            </w:pPr>
            <w:r>
              <w:rPr>
                <w:color w:val="000000"/>
                <w:sz w:val="24"/>
                <w:szCs w:val="24"/>
              </w:rPr>
              <w:t>14,299,911</w:t>
            </w:r>
          </w:p>
        </w:tc>
        <w:tc>
          <w:tcPr>
            <w:vAlign w:val="center"/>
          </w:tcPr>
          <w:p>
            <w:pPr>
              <w:jc w:val="right"/>
            </w:pPr>
            <w:r>
              <w:rPr>
                <w:color w:val="000000"/>
                <w:sz w:val="24"/>
                <w:szCs w:val="24"/>
              </w:rPr>
              <w:t>110,967,309.36</w:t>
            </w:r>
          </w:p>
        </w:tc>
        <w:tc>
          <w:tcPr>
            <w:vAlign w:val="center"/>
          </w:tcPr>
          <w:p>
            <w:pPr>
              <w:jc w:val="right"/>
            </w:pPr>
            <w:r>
              <w:rPr>
                <w:color w:val="000000"/>
                <w:sz w:val="24"/>
                <w:szCs w:val="24"/>
              </w:rPr>
              <w:t>2.78</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189,822,000.00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4.75</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189,822,000.00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4.75</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60,165.60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0.00</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189,882,165.60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4.75</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190405</w:t>
            </w:r>
          </w:p>
        </w:tc>
        <w:tc>
          <w:tcPr>
            <w:vAlign w:val="center"/>
          </w:tcPr>
          <w:p>
            <w:pPr>
              <w:jc w:val="center"/>
            </w:pPr>
            <w:r>
              <w:rPr>
                <w:color w:val="000000"/>
                <w:sz w:val="24"/>
                <w:szCs w:val="24"/>
              </w:rPr>
              <w:t>19农发05</w:t>
            </w:r>
          </w:p>
        </w:tc>
        <w:tc>
          <w:tcPr>
            <w:vAlign w:val="center"/>
          </w:tcPr>
          <w:p>
            <w:pPr>
              <w:jc w:val="right"/>
            </w:pPr>
            <w:r>
              <w:rPr>
                <w:color w:val="000000"/>
                <w:sz w:val="24"/>
                <w:szCs w:val="24"/>
              </w:rPr>
              <w:t>1,100,000</w:t>
            </w:r>
          </w:p>
        </w:tc>
        <w:tc>
          <w:tcPr>
            <w:vAlign w:val="center"/>
          </w:tcPr>
          <w:p>
            <w:pPr>
              <w:jc w:val="right"/>
            </w:pPr>
            <w:r>
              <w:rPr>
                <w:color w:val="000000"/>
                <w:sz w:val="24"/>
                <w:szCs w:val="24"/>
              </w:rPr>
              <w:t>109,846,000.00</w:t>
            </w:r>
          </w:p>
        </w:tc>
        <w:tc>
          <w:tcPr>
            <w:vAlign w:val="center"/>
          </w:tcPr>
          <w:p>
            <w:pPr>
              <w:jc w:val="right"/>
            </w:pPr>
            <w:r>
              <w:rPr>
                <w:color w:val="000000"/>
                <w:sz w:val="24"/>
                <w:szCs w:val="24"/>
              </w:rPr>
              <w:t>2.75</w:t>
            </w:r>
          </w:p>
        </w:tc>
      </w:tr>
      <w:tr>
        <w:tc>
          <w:tcPr>
            <w:vAlign w:val="center"/>
          </w:tcPr>
          <w:p>
            <w:pPr>
              <w:jc w:val="center"/>
            </w:pPr>
            <w:r>
              <w:rPr>
                <w:color w:val="000000"/>
                <w:sz w:val="24"/>
                <w:szCs w:val="24"/>
              </w:rPr>
              <w:t>2</w:t>
            </w:r>
          </w:p>
        </w:tc>
        <w:tc>
          <w:tcPr>
            <w:vAlign w:val="center"/>
          </w:tcPr>
          <w:p>
            <w:pPr>
              <w:jc w:val="center"/>
            </w:pPr>
            <w:r>
              <w:rPr>
                <w:color w:val="000000"/>
                <w:sz w:val="24"/>
                <w:szCs w:val="24"/>
              </w:rPr>
              <w:t>190206</w:t>
            </w:r>
          </w:p>
        </w:tc>
        <w:tc>
          <w:tcPr>
            <w:vAlign w:val="center"/>
          </w:tcPr>
          <w:p>
            <w:pPr>
              <w:jc w:val="center"/>
            </w:pPr>
            <w:r>
              <w:rPr>
                <w:color w:val="000000"/>
                <w:sz w:val="24"/>
                <w:szCs w:val="24"/>
              </w:rPr>
              <w:t>19国开06</w:t>
            </w:r>
          </w:p>
        </w:tc>
        <w:tc>
          <w:tcPr>
            <w:vAlign w:val="center"/>
          </w:tcPr>
          <w:p>
            <w:pPr>
              <w:jc w:val="right"/>
            </w:pPr>
            <w:r>
              <w:rPr>
                <w:color w:val="000000"/>
                <w:sz w:val="24"/>
                <w:szCs w:val="24"/>
              </w:rPr>
              <w:t>800,000</w:t>
            </w:r>
          </w:p>
        </w:tc>
        <w:tc>
          <w:tcPr>
            <w:vAlign w:val="center"/>
          </w:tcPr>
          <w:p>
            <w:pPr>
              <w:jc w:val="right"/>
            </w:pPr>
            <w:r>
              <w:rPr>
                <w:color w:val="000000"/>
                <w:sz w:val="24"/>
                <w:szCs w:val="24"/>
              </w:rPr>
              <w:t>79,976,000.00</w:t>
            </w:r>
          </w:p>
        </w:tc>
        <w:tc>
          <w:tcPr>
            <w:vAlign w:val="center"/>
          </w:tcPr>
          <w:p>
            <w:pPr>
              <w:jc w:val="right"/>
            </w:pPr>
            <w:r>
              <w:rPr>
                <w:color w:val="000000"/>
                <w:sz w:val="24"/>
                <w:szCs w:val="24"/>
              </w:rPr>
              <w:t>2.00</w:t>
            </w:r>
          </w:p>
        </w:tc>
      </w:tr>
      <w:tr>
        <w:tc>
          <w:tcPr>
            <w:vAlign w:val="center"/>
          </w:tcPr>
          <w:p>
            <w:pPr>
              <w:jc w:val="center"/>
            </w:pPr>
            <w:r>
              <w:rPr>
                <w:color w:val="000000"/>
                <w:sz w:val="24"/>
                <w:szCs w:val="24"/>
              </w:rPr>
              <w:t>3</w:t>
            </w:r>
          </w:p>
        </w:tc>
        <w:tc>
          <w:tcPr>
            <w:vAlign w:val="center"/>
          </w:tcPr>
          <w:p>
            <w:pPr>
              <w:jc w:val="center"/>
            </w:pPr>
            <w:r>
              <w:rPr>
                <w:color w:val="000000"/>
                <w:sz w:val="24"/>
                <w:szCs w:val="24"/>
              </w:rPr>
              <w:t>113011</w:t>
            </w:r>
          </w:p>
        </w:tc>
        <w:tc>
          <w:tcPr>
            <w:vAlign w:val="center"/>
          </w:tcPr>
          <w:p>
            <w:pPr>
              <w:jc w:val="center"/>
            </w:pPr>
            <w:r>
              <w:rPr>
                <w:color w:val="000000"/>
                <w:sz w:val="24"/>
                <w:szCs w:val="24"/>
              </w:rPr>
              <w:t>光大转债</w:t>
            </w:r>
          </w:p>
        </w:tc>
        <w:tc>
          <w:tcPr>
            <w:vAlign w:val="center"/>
          </w:tcPr>
          <w:p>
            <w:pPr>
              <w:jc w:val="right"/>
            </w:pPr>
            <w:r>
              <w:rPr>
                <w:color w:val="000000"/>
                <w:sz w:val="24"/>
                <w:szCs w:val="24"/>
              </w:rPr>
              <w:t>530</w:t>
            </w:r>
          </w:p>
        </w:tc>
        <w:tc>
          <w:tcPr>
            <w:vAlign w:val="center"/>
          </w:tcPr>
          <w:p>
            <w:pPr>
              <w:jc w:val="right"/>
            </w:pPr>
            <w:r>
              <w:rPr>
                <w:color w:val="000000"/>
                <w:sz w:val="24"/>
                <w:szCs w:val="24"/>
              </w:rPr>
              <w:t>60,165.60</w:t>
            </w:r>
          </w:p>
        </w:tc>
        <w:tc>
          <w:tcPr>
            <w:vAlign w:val="center"/>
          </w:tcPr>
          <w:p>
            <w:pPr>
              <w:jc w:val="right"/>
            </w:pPr>
            <w:r>
              <w:rPr>
                <w:color w:val="000000"/>
                <w:sz w:val="24"/>
                <w:szCs w:val="24"/>
              </w:rPr>
              <w:t>0.00</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5.11.1报告期内本基金投资的前十名证券的发行主体未被监管部门立案调查，在本报告编制日前一年内本基金投资的前十名证券的发行主体未受到公开谴责和处罚。</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5.11.2本基金投资的前十名股票中，没有超出基金合同规定的备选股票库之外的股票。</w:t>
      </w: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1,345,570.06</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15,824,571.38</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1,744,926.74</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23,552,611.95</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42,467,680.13</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173B44" w:rsidR="00173B44" w:rsidRDefault="00173B44"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883"/>
        <w:gridCol w:w="1801"/>
        <w:gridCol w:w="1727"/>
        <w:gridCol w:w="1768"/>
        <w:gridCol w:w="1689"/>
      </w:tblGrid>
      <w:tr w:rsidR="003E62FB" w:rsidRPr="00414345" w:rsidTr="00A324F4">
        <w:trPr>
          <w:jc w:val="center"/>
        </w:trPr>
        <w:tc>
          <w:tcPr>
            <w:tcW w:type="dxa" w:w="180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729"/>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65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69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62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113011</w:t>
            </w:r>
          </w:p>
        </w:tc>
        <w:tc>
          <w:tcPr>
            <w:vAlign w:val="center"/>
          </w:tcPr>
          <w:p>
            <w:pPr>
              <w:jc w:val="center"/>
            </w:pPr>
            <w:r>
              <w:rPr>
                <w:color w:val="000000"/>
                <w:sz w:val="24"/>
                <w:szCs w:val="24"/>
              </w:rPr>
              <w:t>光大转债</w:t>
            </w:r>
          </w:p>
        </w:tc>
        <w:tc>
          <w:tcPr>
            <w:vAlign w:val="center"/>
          </w:tcPr>
          <w:p>
            <w:pPr>
              <w:jc w:val="right"/>
            </w:pPr>
            <w:r>
              <w:rPr>
                <w:color w:val="000000"/>
                <w:sz w:val="24"/>
                <w:szCs w:val="24"/>
              </w:rPr>
              <w:t>60,165.60</w:t>
            </w:r>
          </w:p>
        </w:tc>
        <w:tc>
          <w:tcPr>
            <w:vAlign w:val="center"/>
          </w:tcPr>
          <w:p>
            <w:pPr>
              <w:jc w:val="right"/>
            </w:pPr>
            <w:r>
              <w:rPr>
                <w:color w:val="000000"/>
                <w:sz w:val="24"/>
                <w:szCs w:val="24"/>
              </w:rPr>
              <w:t>0.00</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066A97" w:rsidR="00066A97" w:rsidRDefault="00066A97"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129"/>
        <w:gridCol w:w="1356"/>
        <w:gridCol w:w="1355"/>
        <w:gridCol w:w="1880"/>
        <w:gridCol w:w="1724"/>
        <w:gridCol w:w="1424"/>
      </w:tblGrid>
      <w:tr w:rsidR="003E62FB" w:rsidRPr="00414345" w:rsidTr="00BC216C">
        <w:trPr>
          <w:jc w:val="center"/>
        </w:trPr>
        <w:tc>
          <w:tcPr>
            <w:tcW w:type="dxa" w:w="1083"/>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302"/>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股票代码</w:t>
            </w:r>
          </w:p>
        </w:tc>
        <w:tc>
          <w:tcPr>
            <w:tcW w:type="dxa" w:w="13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股票名称</w:t>
            </w:r>
          </w:p>
        </w:tc>
        <w:tc>
          <w:tcPr>
            <w:tcW w:type="dxa" w:w="1805"/>
            <w:vAlign w:val="center"/>
          </w:tcPr>
          <w:p w:rsidP="00C15CAC" w:rsidR="003E62FB" w:rsidRDefault="003E62FB" w:rsidRPr="005F1F22">
            <w:pPr>
              <w:spacing w:before="29" w:line="288" w:lineRule="auto"/>
              <w:ind w:left="17"/>
              <w:jc w:val="center"/>
              <w:rPr>
                <w:color w:val="000000"/>
                <w:sz w:val="24"/>
                <w:szCs w:val="24"/>
              </w:rPr>
            </w:pPr>
            <w:r w:rsidRPr="00414345">
              <w:rPr>
                <w:color w:val="000000"/>
                <w:sz w:val="24"/>
                <w:szCs w:val="24"/>
              </w:rPr>
              <w:t>流通受限部分的公允价值</w:t>
            </w:r>
          </w:p>
        </w:tc>
        <w:tc>
          <w:tcPr>
            <w:tcW w:type="dxa" w:w="1655"/>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type="dxa" w:w="136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流通受限情况说明</w:t>
            </w:r>
          </w:p>
        </w:tc>
      </w:tr>
      <w:tr>
        <w:tc>
          <w:tcPr>
            <w:vAlign w:val="center"/>
          </w:tcPr>
          <w:p>
            <w:pPr>
              <w:jc w:val="center"/>
            </w:pPr>
            <w:r>
              <w:rPr>
                <w:color w:val="000000"/>
                <w:sz w:val="24"/>
                <w:szCs w:val="24"/>
              </w:rPr>
              <w:t>1</w:t>
            </w:r>
          </w:p>
        </w:tc>
        <w:tc>
          <w:tcPr>
            <w:vAlign w:val="center"/>
          </w:tcPr>
          <w:p>
            <w:pPr>
              <w:jc w:val="center"/>
            </w:pPr>
            <w:r>
              <w:rPr>
                <w:color w:val="000000"/>
                <w:sz w:val="24"/>
                <w:szCs w:val="24"/>
              </w:rPr>
              <w:t>002555</w:t>
            </w:r>
          </w:p>
        </w:tc>
        <w:tc>
          <w:tcPr>
            <w:vAlign w:val="center"/>
          </w:tcPr>
          <w:p>
            <w:pPr>
              <w:jc w:val="center"/>
            </w:pPr>
            <w:r>
              <w:rPr>
                <w:color w:val="000000"/>
                <w:sz w:val="24"/>
                <w:szCs w:val="24"/>
              </w:rPr>
              <w:t>三七互娱</w:t>
            </w:r>
          </w:p>
        </w:tc>
        <w:tc>
          <w:tcPr>
            <w:vAlign w:val="center"/>
          </w:tcPr>
          <w:p>
            <w:pPr>
              <w:jc w:val="right"/>
            </w:pPr>
            <w:r>
              <w:rPr>
                <w:color w:val="000000"/>
                <w:sz w:val="24"/>
                <w:szCs w:val="24"/>
              </w:rPr>
              <w:t>23,166,000.00</w:t>
            </w:r>
          </w:p>
        </w:tc>
        <w:tc>
          <w:tcPr>
            <w:vAlign w:val="center"/>
          </w:tcPr>
          <w:p>
            <w:pPr>
              <w:jc w:val="right"/>
            </w:pPr>
            <w:r>
              <w:rPr>
                <w:color w:val="000000"/>
                <w:sz w:val="24"/>
                <w:szCs w:val="24"/>
              </w:rPr>
              <w:t>0.58</w:t>
            </w:r>
          </w:p>
        </w:tc>
        <w:tc>
          <w:tcPr>
            <w:vAlign w:val="center"/>
          </w:tcPr>
          <w:p>
            <w:pPr>
              <w:jc w:val="right"/>
            </w:pPr>
            <w:r>
              <w:rPr>
                <w:color w:val="000000"/>
                <w:sz w:val="24"/>
                <w:szCs w:val="24"/>
              </w:rPr>
              <w:t>限售股</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6B0D08">
      <w:pPr>
        <w:autoSpaceDE w:val="0"/>
        <w:autoSpaceDN w:val="0"/>
        <w:adjustRightInd w:val="0"/>
        <w:spacing w:before="29" w:line="288" w:lineRule="auto"/>
        <w:jc w:val="left"/>
        <w:rPr>
          <w:b/>
          <w:bCs/>
          <w:color w:val="000000"/>
          <w:kern w:val="0"/>
          <w:sz w:val="24"/>
          <w:szCs w:val="24"/>
        </w:rPr>
      </w:pPr>
      <w:bookmarkStart w:id="2" w:name="_GoBack"/>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bookmarkEnd w:id="2"/>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1,782,107,607.33</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471,871,928.92</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567,441,262.34</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1,686,538,273.91</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1、中国证监会核准交银施罗德阿尔法核心股票型证券投资基金募集的文件； </w:t>
      </w:r>
    </w:p>
    <w:p>
      <w:pPr>
        <w:spacing w:before="29" w:line="288" w:lineRule="auto"/>
        <w:ind w:firstLine="480" w:firstLineChars="200"/>
        <w:rPr>
          <w:color w:val="000000"/>
          <w:sz w:val="24"/>
          <w:szCs w:val="24"/>
        </w:rPr>
      </w:pPr>
      <w:r>
        <w:rPr>
          <w:color w:val="000000"/>
          <w:sz w:val="24"/>
          <w:szCs w:val="24"/>
        </w:rPr>
        <w:t xml:space="preserve">2、《交银施罗德阿尔法核心混合型证券投资基金基金合同》； </w:t>
      </w:r>
    </w:p>
    <w:p>
      <w:pPr>
        <w:spacing w:before="29" w:line="288" w:lineRule="auto"/>
        <w:ind w:firstLine="480" w:firstLineChars="200"/>
        <w:rPr>
          <w:color w:val="000000"/>
          <w:sz w:val="24"/>
          <w:szCs w:val="24"/>
        </w:rPr>
      </w:pPr>
      <w:r>
        <w:rPr>
          <w:color w:val="000000"/>
          <w:sz w:val="24"/>
          <w:szCs w:val="24"/>
        </w:rPr>
        <w:t xml:space="preserve">3、《交银施罗德阿尔法核心混合型证券投资基金招募说明书》； </w:t>
      </w:r>
    </w:p>
    <w:p>
      <w:pPr>
        <w:spacing w:before="29" w:line="288" w:lineRule="auto"/>
        <w:ind w:firstLine="480" w:firstLineChars="200"/>
        <w:rPr>
          <w:color w:val="000000"/>
          <w:sz w:val="24"/>
          <w:szCs w:val="24"/>
        </w:rPr>
      </w:pPr>
      <w:r>
        <w:rPr>
          <w:color w:val="000000"/>
          <w:sz w:val="24"/>
          <w:szCs w:val="24"/>
        </w:rPr>
        <w:t>4、《交银施罗德阿尔法核心混合型证券投资基金托管协议》；</w:t>
      </w:r>
    </w:p>
    <w:p>
      <w:pPr>
        <w:spacing w:before="29" w:line="288" w:lineRule="auto"/>
        <w:ind w:firstLine="480" w:firstLineChars="200"/>
        <w:rPr>
          <w:color w:val="000000"/>
          <w:sz w:val="24"/>
          <w:szCs w:val="24"/>
        </w:rPr>
      </w:pPr>
      <w:r>
        <w:rPr>
          <w:color w:val="000000"/>
          <w:sz w:val="24"/>
          <w:szCs w:val="24"/>
        </w:rPr>
        <w:t>5、关于募集交银施罗德阿尔法核心股票型证券投资基金之法律意见书；</w:t>
      </w:r>
    </w:p>
    <w:p>
      <w:pPr>
        <w:spacing w:before="29" w:line="288" w:lineRule="auto"/>
        <w:ind w:firstLine="480" w:firstLineChars="200"/>
        <w:rPr>
          <w:color w:val="000000"/>
          <w:sz w:val="24"/>
          <w:szCs w:val="24"/>
        </w:rPr>
      </w:pPr>
      <w:r>
        <w:rPr>
          <w:color w:val="000000"/>
          <w:sz w:val="24"/>
          <w:szCs w:val="24"/>
        </w:rPr>
        <w:t>6、基金管理人业务资格批件、营业执照；</w:t>
      </w:r>
    </w:p>
    <w:p>
      <w:pPr>
        <w:spacing w:before="29" w:line="288" w:lineRule="auto"/>
        <w:ind w:firstLine="480" w:firstLineChars="200"/>
        <w:rPr>
          <w:color w:val="000000"/>
          <w:sz w:val="24"/>
          <w:szCs w:val="24"/>
        </w:rPr>
      </w:pPr>
      <w:r>
        <w:rPr>
          <w:color w:val="000000"/>
          <w:sz w:val="24"/>
          <w:szCs w:val="24"/>
        </w:rPr>
        <w:t>7、基金托管人业务资格批件、营业执照；</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8、报告期内交银施罗德阿尔法核心混合型证券投资基金在指定报刊上各项公告的原稿。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A00" w:rsidRDefault="00B83A00" w:rsidP="00876D65">
      <w:r>
        <w:separator/>
      </w:r>
    </w:p>
  </w:endnote>
  <w:endnote w:type="continuationSeparator" w:id="0">
    <w:p w:rsidR="00B83A00" w:rsidRDefault="00B83A00"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6B0D08">
      <w:rPr>
        <w:noProof/>
        <w:kern w:val="0"/>
        <w:szCs w:val="21"/>
      </w:rPr>
      <w:t>18</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6B0D08">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B83A00" w:rsidRDefault="00B83A00">
      <w:r>
        <w:separator/>
      </w:r>
    </w:p>
  </w:footnote>
  <w:footnote w:id="0" w:type="continuationSeparator">
    <w:p w:rsidP="00876D65" w:rsidR="00B83A00" w:rsidRDefault="00B83A00">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交银施罗德阿尔法核心混合型证券投资基金2019年第3季度报告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34F0-22B9-46A2-A0CE-73A273E3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2019-08-22T08:30:00Z</dcterms:modified>
  <cp:revision>597</cp:revision>
</cp:coreProperties>
</file>