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交银施罗德安享稳健养老目标一年持有期混合型基金中基金（</w:t>
      </w:r>
      <w:r w:rsidRPr="0081286B">
        <w:rPr>
          <w:b/>
          <w:sz w:val="36"/>
          <w:szCs w:val="36"/>
        </w:rPr>
        <w:t>FOF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A432B" w:rsidRDefault="00063B5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A432B" w:rsidRDefault="00063B5D">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A432B" w:rsidRDefault="00063B5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A432B" w:rsidRDefault="00063B5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A432B" w:rsidRDefault="00063B5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交银安享稳健养老一年</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006880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006880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2,053,743,429.86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本基金主要投资于经中国证监会依法核准或注册的公开募集证券投资基金的基金份额，在控制风险并保持基金资产良好的流动性的前提下，力争实现基金资产的长期稳健增值，满足养老资金理财需求。</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EA432B" w:rsidRDefault="00063B5D">
            <w:pPr>
              <w:adjustRightInd w:val="0"/>
              <w:spacing w:before="29" w:line="288" w:lineRule="auto"/>
              <w:ind w:left="17"/>
              <w:jc w:val="left"/>
              <w:rPr>
                <w:color w:val="000000"/>
                <w:sz w:val="24"/>
                <w:szCs w:val="24"/>
              </w:rPr>
            </w:pPr>
            <w:r>
              <w:rPr>
                <w:color w:val="000000"/>
                <w:kern w:val="0"/>
                <w:sz w:val="24"/>
                <w:szCs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lastRenderedPageBreak/>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中债综合全价指数收益率</w:t>
            </w:r>
            <w:r w:rsidRPr="00414345">
              <w:rPr>
                <w:color w:val="000000"/>
                <w:kern w:val="0"/>
                <w:sz w:val="24"/>
                <w:szCs w:val="24"/>
              </w:rPr>
              <w:t>+20%×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12423" w:rsidRPr="00414345" w:rsidTr="00212423">
        <w:trPr>
          <w:jc w:val="center"/>
        </w:trPr>
        <w:tc>
          <w:tcPr>
            <w:tcW w:w="3607"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5261"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12423" w:rsidRPr="00414345" w:rsidTr="00212423">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22,262,527.39</w:t>
            </w:r>
          </w:p>
        </w:tc>
      </w:tr>
      <w:tr w:rsidR="00212423" w:rsidRPr="00414345" w:rsidTr="00212423">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32,947,213.82</w:t>
            </w:r>
          </w:p>
        </w:tc>
      </w:tr>
      <w:tr w:rsidR="00212423" w:rsidRPr="00414345" w:rsidTr="00212423">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0.0161</w:t>
            </w:r>
          </w:p>
        </w:tc>
      </w:tr>
      <w:tr w:rsidR="00212423" w:rsidRPr="00414345" w:rsidTr="00212423">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2,095,238,478.10</w:t>
            </w:r>
          </w:p>
        </w:tc>
      </w:tr>
      <w:tr w:rsidR="00212423" w:rsidRPr="00414345" w:rsidTr="00212423">
        <w:trPr>
          <w:trHeight w:val="158"/>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1.0202</w:t>
            </w:r>
          </w:p>
        </w:tc>
      </w:tr>
    </w:tbl>
    <w:p w:rsidR="00212423" w:rsidRDefault="00212423" w:rsidP="0021242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212423" w:rsidRPr="00414345" w:rsidRDefault="00212423" w:rsidP="00212423">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212423"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A432B">
        <w:trPr>
          <w:jc w:val="center"/>
        </w:trPr>
        <w:tc>
          <w:tcPr>
            <w:tcW w:w="1701" w:type="dxa"/>
            <w:vAlign w:val="center"/>
          </w:tcPr>
          <w:p w:rsidR="00EA432B" w:rsidRDefault="00063B5D">
            <w:pPr>
              <w:jc w:val="left"/>
            </w:pPr>
            <w:r>
              <w:rPr>
                <w:color w:val="000000"/>
                <w:sz w:val="24"/>
                <w:szCs w:val="24"/>
              </w:rPr>
              <w:t>过去三个月</w:t>
            </w:r>
          </w:p>
        </w:tc>
        <w:tc>
          <w:tcPr>
            <w:tcW w:w="1045" w:type="dxa"/>
            <w:vAlign w:val="center"/>
          </w:tcPr>
          <w:p w:rsidR="00EA432B" w:rsidRDefault="00063B5D">
            <w:pPr>
              <w:jc w:val="center"/>
            </w:pPr>
            <w:r>
              <w:rPr>
                <w:color w:val="000000"/>
                <w:sz w:val="24"/>
                <w:szCs w:val="24"/>
              </w:rPr>
              <w:t>1.60%</w:t>
            </w:r>
          </w:p>
        </w:tc>
        <w:tc>
          <w:tcPr>
            <w:tcW w:w="1344" w:type="dxa"/>
            <w:vAlign w:val="center"/>
          </w:tcPr>
          <w:p w:rsidR="00EA432B" w:rsidRDefault="00063B5D">
            <w:pPr>
              <w:jc w:val="center"/>
            </w:pPr>
            <w:r>
              <w:rPr>
                <w:color w:val="000000"/>
                <w:sz w:val="24"/>
                <w:szCs w:val="24"/>
              </w:rPr>
              <w:t>0.07%</w:t>
            </w:r>
          </w:p>
        </w:tc>
        <w:tc>
          <w:tcPr>
            <w:tcW w:w="1194" w:type="dxa"/>
            <w:vAlign w:val="center"/>
          </w:tcPr>
          <w:p w:rsidR="00EA432B" w:rsidRDefault="00063B5D">
            <w:pPr>
              <w:jc w:val="center"/>
            </w:pPr>
            <w:r>
              <w:rPr>
                <w:color w:val="000000"/>
                <w:sz w:val="24"/>
                <w:szCs w:val="24"/>
              </w:rPr>
              <w:t>0.35%</w:t>
            </w:r>
          </w:p>
        </w:tc>
        <w:tc>
          <w:tcPr>
            <w:tcW w:w="1492" w:type="dxa"/>
            <w:vAlign w:val="center"/>
          </w:tcPr>
          <w:p w:rsidR="00EA432B" w:rsidRDefault="00063B5D">
            <w:pPr>
              <w:jc w:val="center"/>
            </w:pPr>
            <w:r>
              <w:rPr>
                <w:color w:val="000000"/>
                <w:sz w:val="24"/>
                <w:szCs w:val="24"/>
              </w:rPr>
              <w:t>0.19%</w:t>
            </w:r>
          </w:p>
        </w:tc>
        <w:tc>
          <w:tcPr>
            <w:tcW w:w="1194" w:type="dxa"/>
            <w:vAlign w:val="center"/>
          </w:tcPr>
          <w:p w:rsidR="00EA432B" w:rsidRDefault="00063B5D">
            <w:pPr>
              <w:jc w:val="center"/>
            </w:pPr>
            <w:r>
              <w:rPr>
                <w:color w:val="000000"/>
                <w:sz w:val="24"/>
                <w:szCs w:val="24"/>
              </w:rPr>
              <w:t>1.25%</w:t>
            </w:r>
          </w:p>
        </w:tc>
        <w:tc>
          <w:tcPr>
            <w:tcW w:w="898" w:type="dxa"/>
            <w:vAlign w:val="center"/>
          </w:tcPr>
          <w:p w:rsidR="00EA432B" w:rsidRDefault="00063B5D">
            <w:pPr>
              <w:jc w:val="center"/>
            </w:pPr>
            <w:r>
              <w:rPr>
                <w:color w:val="000000"/>
                <w:sz w:val="24"/>
                <w:szCs w:val="24"/>
              </w:rPr>
              <w:t>-0.12%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交银施罗德安享稳健养老目标一年持有期混合型基金中基金（</w:t>
      </w:r>
      <w:r w:rsidRPr="00414345">
        <w:rPr>
          <w:color w:val="000000"/>
          <w:sz w:val="24"/>
          <w:szCs w:val="24"/>
        </w:rPr>
        <w:t>FOF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30</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A432B">
        <w:trPr>
          <w:jc w:val="center"/>
        </w:trPr>
        <w:tc>
          <w:tcPr>
            <w:tcW w:w="846" w:type="dxa"/>
            <w:vAlign w:val="center"/>
          </w:tcPr>
          <w:p w:rsidR="00EA432B" w:rsidRDefault="00063B5D">
            <w:pPr>
              <w:jc w:val="center"/>
            </w:pPr>
            <w:r>
              <w:rPr>
                <w:color w:val="000000"/>
                <w:sz w:val="24"/>
                <w:szCs w:val="24"/>
              </w:rPr>
              <w:t>杨喆</w:t>
            </w:r>
          </w:p>
        </w:tc>
        <w:tc>
          <w:tcPr>
            <w:tcW w:w="845" w:type="dxa"/>
            <w:vAlign w:val="center"/>
          </w:tcPr>
          <w:p w:rsidR="00EA432B" w:rsidRDefault="00063B5D">
            <w:pPr>
              <w:jc w:val="center"/>
            </w:pPr>
            <w:r>
              <w:rPr>
                <w:color w:val="000000"/>
                <w:sz w:val="24"/>
                <w:szCs w:val="24"/>
              </w:rPr>
              <w:t>交银安享稳健养老一年混合的基金经理，公司多多元资产管理副总监</w:t>
            </w:r>
          </w:p>
        </w:tc>
        <w:tc>
          <w:tcPr>
            <w:tcW w:w="1549" w:type="dxa"/>
            <w:vAlign w:val="center"/>
          </w:tcPr>
          <w:p w:rsidR="00EA432B" w:rsidRDefault="00063B5D">
            <w:pPr>
              <w:jc w:val="center"/>
            </w:pPr>
            <w:r>
              <w:rPr>
                <w:color w:val="000000"/>
                <w:sz w:val="24"/>
                <w:szCs w:val="24"/>
              </w:rPr>
              <w:t>2019-05-30</w:t>
            </w:r>
          </w:p>
        </w:tc>
        <w:tc>
          <w:tcPr>
            <w:tcW w:w="1548" w:type="dxa"/>
            <w:vAlign w:val="center"/>
          </w:tcPr>
          <w:p w:rsidR="00EA432B" w:rsidRDefault="00063B5D">
            <w:pPr>
              <w:jc w:val="center"/>
            </w:pPr>
            <w:r>
              <w:rPr>
                <w:color w:val="000000"/>
                <w:sz w:val="24"/>
                <w:szCs w:val="24"/>
              </w:rPr>
              <w:t>-</w:t>
            </w:r>
          </w:p>
        </w:tc>
        <w:tc>
          <w:tcPr>
            <w:tcW w:w="1407" w:type="dxa"/>
            <w:vAlign w:val="center"/>
          </w:tcPr>
          <w:p w:rsidR="00EA432B" w:rsidRDefault="00063B5D">
            <w:pPr>
              <w:jc w:val="center"/>
            </w:pPr>
            <w:r>
              <w:rPr>
                <w:color w:val="000000"/>
                <w:sz w:val="24"/>
                <w:szCs w:val="24"/>
              </w:rPr>
              <w:t>11</w:t>
            </w:r>
            <w:r>
              <w:rPr>
                <w:color w:val="000000"/>
                <w:sz w:val="24"/>
                <w:szCs w:val="24"/>
              </w:rPr>
              <w:t>年</w:t>
            </w:r>
          </w:p>
        </w:tc>
        <w:tc>
          <w:tcPr>
            <w:tcW w:w="2673" w:type="dxa"/>
            <w:vAlign w:val="center"/>
          </w:tcPr>
          <w:p w:rsidR="00EA432B" w:rsidRDefault="00063B5D">
            <w:r>
              <w:rPr>
                <w:color w:val="000000"/>
                <w:sz w:val="24"/>
                <w:szCs w:val="24"/>
              </w:rPr>
              <w:t>杨喆女士，同济大学金融学硕士。曾任国泰君安证券有限公司研究所金融工程与衍生品研究员。</w:t>
            </w:r>
            <w:r>
              <w:rPr>
                <w:color w:val="000000"/>
                <w:sz w:val="24"/>
                <w:szCs w:val="24"/>
              </w:rPr>
              <w:t>2013</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A432B" w:rsidRDefault="00063B5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A432B" w:rsidRDefault="00063B5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A432B" w:rsidRDefault="00063B5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w:t>
      </w:r>
      <w:r>
        <w:rPr>
          <w:color w:val="000000"/>
          <w:sz w:val="24"/>
          <w:szCs w:val="24"/>
        </w:rPr>
        <w:lastRenderedPageBreak/>
        <w:t>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A432B" w:rsidRDefault="00063B5D">
      <w:pPr>
        <w:spacing w:before="29" w:line="288" w:lineRule="auto"/>
        <w:ind w:firstLineChars="200" w:firstLine="480"/>
        <w:rPr>
          <w:color w:val="000000"/>
          <w:sz w:val="24"/>
          <w:szCs w:val="24"/>
        </w:rPr>
      </w:pPr>
      <w:r>
        <w:rPr>
          <w:color w:val="000000"/>
          <w:sz w:val="24"/>
          <w:szCs w:val="24"/>
        </w:rPr>
        <w:t>2019</w:t>
      </w:r>
      <w:r>
        <w:rPr>
          <w:color w:val="000000"/>
          <w:sz w:val="24"/>
          <w:szCs w:val="24"/>
        </w:rPr>
        <w:t>年三季度，经济数据未见明显好转，中美贸易摩擦的负面影响开始显现，中上游行业工业增加值全面下滑，专项债对基建投资开始发挥作用。国内政策整体偏宽松，海外发达经济体进入降息周期，美国年内已两次降息，以应对经济下滑。三季度以来，市场先受贸易争端影响出现下跌，然后在新兴板块的带领下走出了一波反弹行情，季末又面临长假和季报等不确定因素出现回调。</w:t>
      </w:r>
    </w:p>
    <w:p w:rsidR="00EA432B" w:rsidRDefault="00063B5D">
      <w:pPr>
        <w:spacing w:before="29" w:line="288" w:lineRule="auto"/>
        <w:ind w:firstLineChars="200" w:firstLine="480"/>
        <w:rPr>
          <w:color w:val="000000"/>
          <w:sz w:val="24"/>
          <w:szCs w:val="24"/>
        </w:rPr>
      </w:pPr>
      <w:r>
        <w:rPr>
          <w:color w:val="000000"/>
          <w:sz w:val="24"/>
          <w:szCs w:val="24"/>
        </w:rPr>
        <w:t>报告期内，本基金逐步建仓权益资产。初期先建仓了部分偏重新股投资策略的基金，以期积累安全垫。在市场回调中又逐步加仓股混型基金等权益资产，选择中长期超额收益明显并且稳健的优质基金为主要配置标的。</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四季度，流动性整体仍然较为宽松，逆周期政策对市场有较好的支持。如果贸易谈判在四季度有所进展，市场的景气度可能进一步抬升。但全球经济进入衰退期，大多数发达经济体、新兴经济体，其制造业景气度均有不同程度回落，宏观环境依然艰巨，不确定性很大。随着八月中以来计算机电子等板块的上涨，部分板块估值抬升较快，后期个股分化会加大。我们将紧密跟踪经济指标变化，挖掘一些确定性较高的机会择机加大仓位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lastRenderedPageBreak/>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78,661,423.92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78,661,423.92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1,851,676,008.74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88.32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100,266,000.00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100,266,000.00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32,645,934.64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33,189,717.77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2,096,439,085.07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2,176,220.20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33,438,626.00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1,724,621.00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262,080.00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516,870.00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2,686,256.20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34,723,016.52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2,037,343.00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697,950.00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159,528.00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189,893.00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49,020.00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78,661,423.92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3.75</w:t>
            </w:r>
          </w:p>
        </w:tc>
      </w:tr>
    </w:tbl>
    <w:p w:rsidR="00D45A8C" w:rsidRPr="008A409E" w:rsidRDefault="00D45A8C" w:rsidP="00D45A8C">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D45A8C" w:rsidRDefault="00D45A8C" w:rsidP="00D45A8C">
      <w:pPr>
        <w:spacing w:before="29" w:line="360" w:lineRule="auto"/>
        <w:ind w:left="17"/>
        <w:rPr>
          <w:color w:val="000000"/>
          <w:sz w:val="24"/>
        </w:rPr>
      </w:pPr>
      <w:r w:rsidRPr="00FF0BBF">
        <w:rPr>
          <w:color w:val="000000"/>
          <w:sz w:val="24"/>
        </w:rPr>
        <w:t>本基金本报告期末未持有通过港股通投资的股票。</w:t>
      </w:r>
    </w:p>
    <w:p w:rsidR="000747D1" w:rsidRPr="00D45A8C" w:rsidRDefault="000747D1"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A432B">
        <w:trPr>
          <w:jc w:val="center"/>
        </w:trPr>
        <w:tc>
          <w:tcPr>
            <w:tcW w:w="855" w:type="dxa"/>
            <w:vAlign w:val="center"/>
          </w:tcPr>
          <w:p w:rsidR="00EA432B" w:rsidRDefault="00063B5D">
            <w:pPr>
              <w:jc w:val="center"/>
            </w:pPr>
            <w:r>
              <w:rPr>
                <w:color w:val="000000"/>
                <w:sz w:val="24"/>
                <w:szCs w:val="24"/>
              </w:rPr>
              <w:t>1</w:t>
            </w:r>
          </w:p>
        </w:tc>
        <w:tc>
          <w:tcPr>
            <w:tcW w:w="1334" w:type="dxa"/>
            <w:vAlign w:val="center"/>
          </w:tcPr>
          <w:p w:rsidR="00EA432B" w:rsidRDefault="00063B5D">
            <w:pPr>
              <w:jc w:val="center"/>
            </w:pPr>
            <w:r>
              <w:rPr>
                <w:color w:val="000000"/>
                <w:sz w:val="24"/>
                <w:szCs w:val="24"/>
              </w:rPr>
              <w:t>601318</w:t>
            </w:r>
          </w:p>
        </w:tc>
        <w:tc>
          <w:tcPr>
            <w:tcW w:w="1777" w:type="dxa"/>
            <w:vAlign w:val="center"/>
          </w:tcPr>
          <w:p w:rsidR="00EA432B" w:rsidRDefault="00063B5D">
            <w:pPr>
              <w:jc w:val="center"/>
            </w:pPr>
            <w:r>
              <w:rPr>
                <w:color w:val="000000"/>
                <w:sz w:val="24"/>
                <w:szCs w:val="24"/>
              </w:rPr>
              <w:t>中国平安</w:t>
            </w:r>
          </w:p>
        </w:tc>
        <w:tc>
          <w:tcPr>
            <w:tcW w:w="1334" w:type="dxa"/>
            <w:vAlign w:val="center"/>
          </w:tcPr>
          <w:p w:rsidR="00EA432B" w:rsidRDefault="00063B5D">
            <w:pPr>
              <w:jc w:val="right"/>
            </w:pPr>
            <w:r>
              <w:rPr>
                <w:color w:val="000000"/>
                <w:sz w:val="24"/>
                <w:szCs w:val="24"/>
              </w:rPr>
              <w:t>121,729</w:t>
            </w:r>
          </w:p>
        </w:tc>
        <w:tc>
          <w:tcPr>
            <w:tcW w:w="1924" w:type="dxa"/>
            <w:vAlign w:val="center"/>
          </w:tcPr>
          <w:p w:rsidR="00EA432B" w:rsidRDefault="00063B5D">
            <w:pPr>
              <w:jc w:val="right"/>
            </w:pPr>
            <w:r>
              <w:rPr>
                <w:color w:val="000000"/>
                <w:sz w:val="24"/>
                <w:szCs w:val="24"/>
              </w:rPr>
              <w:t>10,595,292.16</w:t>
            </w:r>
          </w:p>
        </w:tc>
        <w:tc>
          <w:tcPr>
            <w:tcW w:w="1644" w:type="dxa"/>
            <w:vAlign w:val="center"/>
          </w:tcPr>
          <w:p w:rsidR="00EA432B" w:rsidRDefault="00063B5D">
            <w:pPr>
              <w:jc w:val="right"/>
            </w:pPr>
            <w:r>
              <w:rPr>
                <w:color w:val="000000"/>
                <w:sz w:val="24"/>
                <w:szCs w:val="24"/>
              </w:rPr>
              <w:t>0.51</w:t>
            </w:r>
          </w:p>
        </w:tc>
      </w:tr>
      <w:tr w:rsidR="00EA432B">
        <w:trPr>
          <w:jc w:val="center"/>
        </w:trPr>
        <w:tc>
          <w:tcPr>
            <w:tcW w:w="855" w:type="dxa"/>
            <w:vAlign w:val="center"/>
          </w:tcPr>
          <w:p w:rsidR="00EA432B" w:rsidRDefault="00063B5D">
            <w:pPr>
              <w:jc w:val="center"/>
            </w:pPr>
            <w:r>
              <w:rPr>
                <w:color w:val="000000"/>
                <w:sz w:val="24"/>
                <w:szCs w:val="24"/>
              </w:rPr>
              <w:t>2</w:t>
            </w:r>
          </w:p>
        </w:tc>
        <w:tc>
          <w:tcPr>
            <w:tcW w:w="1334" w:type="dxa"/>
            <w:vAlign w:val="center"/>
          </w:tcPr>
          <w:p w:rsidR="00EA432B" w:rsidRDefault="00063B5D">
            <w:pPr>
              <w:jc w:val="center"/>
            </w:pPr>
            <w:r>
              <w:rPr>
                <w:color w:val="000000"/>
                <w:sz w:val="24"/>
                <w:szCs w:val="24"/>
              </w:rPr>
              <w:t>600519</w:t>
            </w:r>
          </w:p>
        </w:tc>
        <w:tc>
          <w:tcPr>
            <w:tcW w:w="1777" w:type="dxa"/>
            <w:vAlign w:val="center"/>
          </w:tcPr>
          <w:p w:rsidR="00EA432B" w:rsidRDefault="00063B5D">
            <w:pPr>
              <w:jc w:val="center"/>
            </w:pPr>
            <w:r>
              <w:rPr>
                <w:color w:val="000000"/>
                <w:sz w:val="24"/>
                <w:szCs w:val="24"/>
              </w:rPr>
              <w:t>贵州茅台</w:t>
            </w:r>
          </w:p>
        </w:tc>
        <w:tc>
          <w:tcPr>
            <w:tcW w:w="1334" w:type="dxa"/>
            <w:vAlign w:val="center"/>
          </w:tcPr>
          <w:p w:rsidR="00EA432B" w:rsidRDefault="00063B5D">
            <w:pPr>
              <w:jc w:val="right"/>
            </w:pPr>
            <w:r>
              <w:rPr>
                <w:color w:val="000000"/>
                <w:sz w:val="24"/>
                <w:szCs w:val="24"/>
              </w:rPr>
              <w:t>7,500</w:t>
            </w:r>
          </w:p>
        </w:tc>
        <w:tc>
          <w:tcPr>
            <w:tcW w:w="1924" w:type="dxa"/>
            <w:vAlign w:val="center"/>
          </w:tcPr>
          <w:p w:rsidR="00EA432B" w:rsidRDefault="00063B5D">
            <w:pPr>
              <w:jc w:val="right"/>
            </w:pPr>
            <w:r>
              <w:rPr>
                <w:color w:val="000000"/>
                <w:sz w:val="24"/>
                <w:szCs w:val="24"/>
              </w:rPr>
              <w:t>8,625,000.00</w:t>
            </w:r>
          </w:p>
        </w:tc>
        <w:tc>
          <w:tcPr>
            <w:tcW w:w="1644" w:type="dxa"/>
            <w:vAlign w:val="center"/>
          </w:tcPr>
          <w:p w:rsidR="00EA432B" w:rsidRDefault="00063B5D">
            <w:pPr>
              <w:jc w:val="right"/>
            </w:pPr>
            <w:r>
              <w:rPr>
                <w:color w:val="000000"/>
                <w:sz w:val="24"/>
                <w:szCs w:val="24"/>
              </w:rPr>
              <w:t>0.41</w:t>
            </w:r>
          </w:p>
        </w:tc>
      </w:tr>
      <w:tr w:rsidR="00EA432B">
        <w:trPr>
          <w:jc w:val="center"/>
        </w:trPr>
        <w:tc>
          <w:tcPr>
            <w:tcW w:w="855" w:type="dxa"/>
            <w:vAlign w:val="center"/>
          </w:tcPr>
          <w:p w:rsidR="00EA432B" w:rsidRDefault="00063B5D">
            <w:pPr>
              <w:jc w:val="center"/>
            </w:pPr>
            <w:r>
              <w:rPr>
                <w:color w:val="000000"/>
                <w:sz w:val="24"/>
                <w:szCs w:val="24"/>
              </w:rPr>
              <w:t>3</w:t>
            </w:r>
          </w:p>
        </w:tc>
        <w:tc>
          <w:tcPr>
            <w:tcW w:w="1334" w:type="dxa"/>
            <w:vAlign w:val="center"/>
          </w:tcPr>
          <w:p w:rsidR="00EA432B" w:rsidRDefault="00063B5D">
            <w:pPr>
              <w:jc w:val="center"/>
            </w:pPr>
            <w:r>
              <w:rPr>
                <w:color w:val="000000"/>
                <w:sz w:val="24"/>
                <w:szCs w:val="24"/>
              </w:rPr>
              <w:t>600887</w:t>
            </w:r>
          </w:p>
        </w:tc>
        <w:tc>
          <w:tcPr>
            <w:tcW w:w="1777" w:type="dxa"/>
            <w:vAlign w:val="center"/>
          </w:tcPr>
          <w:p w:rsidR="00EA432B" w:rsidRDefault="00063B5D">
            <w:pPr>
              <w:jc w:val="center"/>
            </w:pPr>
            <w:r>
              <w:rPr>
                <w:color w:val="000000"/>
                <w:sz w:val="24"/>
                <w:szCs w:val="24"/>
              </w:rPr>
              <w:t>伊利股份</w:t>
            </w:r>
          </w:p>
        </w:tc>
        <w:tc>
          <w:tcPr>
            <w:tcW w:w="1334" w:type="dxa"/>
            <w:vAlign w:val="center"/>
          </w:tcPr>
          <w:p w:rsidR="00EA432B" w:rsidRDefault="00063B5D">
            <w:pPr>
              <w:jc w:val="right"/>
            </w:pPr>
            <w:r>
              <w:rPr>
                <w:color w:val="000000"/>
                <w:sz w:val="24"/>
                <w:szCs w:val="24"/>
              </w:rPr>
              <w:t>166,600</w:t>
            </w:r>
          </w:p>
        </w:tc>
        <w:tc>
          <w:tcPr>
            <w:tcW w:w="1924" w:type="dxa"/>
            <w:vAlign w:val="center"/>
          </w:tcPr>
          <w:p w:rsidR="00EA432B" w:rsidRDefault="00063B5D">
            <w:pPr>
              <w:jc w:val="right"/>
            </w:pPr>
            <w:r>
              <w:rPr>
                <w:color w:val="000000"/>
                <w:sz w:val="24"/>
                <w:szCs w:val="24"/>
              </w:rPr>
              <w:t>4,751,432.00</w:t>
            </w:r>
          </w:p>
        </w:tc>
        <w:tc>
          <w:tcPr>
            <w:tcW w:w="1644" w:type="dxa"/>
            <w:vAlign w:val="center"/>
          </w:tcPr>
          <w:p w:rsidR="00EA432B" w:rsidRDefault="00063B5D">
            <w:pPr>
              <w:jc w:val="right"/>
            </w:pPr>
            <w:r>
              <w:rPr>
                <w:color w:val="000000"/>
                <w:sz w:val="24"/>
                <w:szCs w:val="24"/>
              </w:rPr>
              <w:t>0.23</w:t>
            </w:r>
          </w:p>
        </w:tc>
      </w:tr>
      <w:tr w:rsidR="00EA432B">
        <w:trPr>
          <w:jc w:val="center"/>
        </w:trPr>
        <w:tc>
          <w:tcPr>
            <w:tcW w:w="855" w:type="dxa"/>
            <w:vAlign w:val="center"/>
          </w:tcPr>
          <w:p w:rsidR="00EA432B" w:rsidRDefault="00063B5D">
            <w:pPr>
              <w:jc w:val="center"/>
            </w:pPr>
            <w:r>
              <w:rPr>
                <w:color w:val="000000"/>
                <w:sz w:val="24"/>
                <w:szCs w:val="24"/>
              </w:rPr>
              <w:t>4</w:t>
            </w:r>
          </w:p>
        </w:tc>
        <w:tc>
          <w:tcPr>
            <w:tcW w:w="1334" w:type="dxa"/>
            <w:vAlign w:val="center"/>
          </w:tcPr>
          <w:p w:rsidR="00EA432B" w:rsidRDefault="00063B5D">
            <w:pPr>
              <w:jc w:val="center"/>
            </w:pPr>
            <w:r>
              <w:rPr>
                <w:color w:val="000000"/>
                <w:sz w:val="24"/>
                <w:szCs w:val="24"/>
              </w:rPr>
              <w:t>601166</w:t>
            </w:r>
          </w:p>
        </w:tc>
        <w:tc>
          <w:tcPr>
            <w:tcW w:w="1777" w:type="dxa"/>
            <w:vAlign w:val="center"/>
          </w:tcPr>
          <w:p w:rsidR="00EA432B" w:rsidRDefault="00063B5D">
            <w:pPr>
              <w:jc w:val="center"/>
            </w:pPr>
            <w:r>
              <w:rPr>
                <w:color w:val="000000"/>
                <w:sz w:val="24"/>
                <w:szCs w:val="24"/>
              </w:rPr>
              <w:t>兴业银行</w:t>
            </w:r>
          </w:p>
        </w:tc>
        <w:tc>
          <w:tcPr>
            <w:tcW w:w="1334" w:type="dxa"/>
            <w:vAlign w:val="center"/>
          </w:tcPr>
          <w:p w:rsidR="00EA432B" w:rsidRDefault="00063B5D">
            <w:pPr>
              <w:jc w:val="right"/>
            </w:pPr>
            <w:r>
              <w:rPr>
                <w:color w:val="000000"/>
                <w:sz w:val="24"/>
                <w:szCs w:val="24"/>
              </w:rPr>
              <w:t>243,200</w:t>
            </w:r>
          </w:p>
        </w:tc>
        <w:tc>
          <w:tcPr>
            <w:tcW w:w="1924" w:type="dxa"/>
            <w:vAlign w:val="center"/>
          </w:tcPr>
          <w:p w:rsidR="00EA432B" w:rsidRDefault="00063B5D">
            <w:pPr>
              <w:jc w:val="right"/>
            </w:pPr>
            <w:r>
              <w:rPr>
                <w:color w:val="000000"/>
                <w:sz w:val="24"/>
                <w:szCs w:val="24"/>
              </w:rPr>
              <w:t>4,263,296.00</w:t>
            </w:r>
          </w:p>
        </w:tc>
        <w:tc>
          <w:tcPr>
            <w:tcW w:w="1644" w:type="dxa"/>
            <w:vAlign w:val="center"/>
          </w:tcPr>
          <w:p w:rsidR="00EA432B" w:rsidRDefault="00063B5D">
            <w:pPr>
              <w:jc w:val="right"/>
            </w:pPr>
            <w:r>
              <w:rPr>
                <w:color w:val="000000"/>
                <w:sz w:val="24"/>
                <w:szCs w:val="24"/>
              </w:rPr>
              <w:t>0.20</w:t>
            </w:r>
          </w:p>
        </w:tc>
      </w:tr>
      <w:tr w:rsidR="00EA432B">
        <w:trPr>
          <w:jc w:val="center"/>
        </w:trPr>
        <w:tc>
          <w:tcPr>
            <w:tcW w:w="855" w:type="dxa"/>
            <w:vAlign w:val="center"/>
          </w:tcPr>
          <w:p w:rsidR="00EA432B" w:rsidRDefault="00063B5D">
            <w:pPr>
              <w:jc w:val="center"/>
            </w:pPr>
            <w:r>
              <w:rPr>
                <w:color w:val="000000"/>
                <w:sz w:val="24"/>
                <w:szCs w:val="24"/>
              </w:rPr>
              <w:t>5</w:t>
            </w:r>
          </w:p>
        </w:tc>
        <w:tc>
          <w:tcPr>
            <w:tcW w:w="1334" w:type="dxa"/>
            <w:vAlign w:val="center"/>
          </w:tcPr>
          <w:p w:rsidR="00EA432B" w:rsidRDefault="00063B5D">
            <w:pPr>
              <w:jc w:val="center"/>
            </w:pPr>
            <w:r>
              <w:rPr>
                <w:color w:val="000000"/>
                <w:sz w:val="24"/>
                <w:szCs w:val="24"/>
              </w:rPr>
              <w:t>600036</w:t>
            </w:r>
          </w:p>
        </w:tc>
        <w:tc>
          <w:tcPr>
            <w:tcW w:w="1777" w:type="dxa"/>
            <w:vAlign w:val="center"/>
          </w:tcPr>
          <w:p w:rsidR="00EA432B" w:rsidRDefault="00063B5D">
            <w:pPr>
              <w:jc w:val="center"/>
            </w:pPr>
            <w:r>
              <w:rPr>
                <w:color w:val="000000"/>
                <w:sz w:val="24"/>
                <w:szCs w:val="24"/>
              </w:rPr>
              <w:t>招商银行</w:t>
            </w:r>
          </w:p>
        </w:tc>
        <w:tc>
          <w:tcPr>
            <w:tcW w:w="1334" w:type="dxa"/>
            <w:vAlign w:val="center"/>
          </w:tcPr>
          <w:p w:rsidR="00EA432B" w:rsidRDefault="00063B5D">
            <w:pPr>
              <w:jc w:val="right"/>
            </w:pPr>
            <w:r>
              <w:rPr>
                <w:color w:val="000000"/>
                <w:sz w:val="24"/>
                <w:szCs w:val="24"/>
              </w:rPr>
              <w:t>95,600</w:t>
            </w:r>
          </w:p>
        </w:tc>
        <w:tc>
          <w:tcPr>
            <w:tcW w:w="1924" w:type="dxa"/>
            <w:vAlign w:val="center"/>
          </w:tcPr>
          <w:p w:rsidR="00EA432B" w:rsidRDefault="00063B5D">
            <w:pPr>
              <w:jc w:val="right"/>
            </w:pPr>
            <w:r>
              <w:rPr>
                <w:color w:val="000000"/>
                <w:sz w:val="24"/>
                <w:szCs w:val="24"/>
              </w:rPr>
              <w:t>3,322,100.00</w:t>
            </w:r>
          </w:p>
        </w:tc>
        <w:tc>
          <w:tcPr>
            <w:tcW w:w="1644" w:type="dxa"/>
            <w:vAlign w:val="center"/>
          </w:tcPr>
          <w:p w:rsidR="00EA432B" w:rsidRDefault="00063B5D">
            <w:pPr>
              <w:jc w:val="right"/>
            </w:pPr>
            <w:r>
              <w:rPr>
                <w:color w:val="000000"/>
                <w:sz w:val="24"/>
                <w:szCs w:val="24"/>
              </w:rPr>
              <w:t>0.16</w:t>
            </w:r>
          </w:p>
        </w:tc>
      </w:tr>
      <w:tr w:rsidR="00EA432B">
        <w:trPr>
          <w:jc w:val="center"/>
        </w:trPr>
        <w:tc>
          <w:tcPr>
            <w:tcW w:w="855" w:type="dxa"/>
            <w:vAlign w:val="center"/>
          </w:tcPr>
          <w:p w:rsidR="00EA432B" w:rsidRDefault="00063B5D">
            <w:pPr>
              <w:jc w:val="center"/>
            </w:pPr>
            <w:r>
              <w:rPr>
                <w:color w:val="000000"/>
                <w:sz w:val="24"/>
                <w:szCs w:val="24"/>
              </w:rPr>
              <w:t>6</w:t>
            </w:r>
          </w:p>
        </w:tc>
        <w:tc>
          <w:tcPr>
            <w:tcW w:w="1334" w:type="dxa"/>
            <w:vAlign w:val="center"/>
          </w:tcPr>
          <w:p w:rsidR="00EA432B" w:rsidRDefault="00063B5D">
            <w:pPr>
              <w:jc w:val="center"/>
            </w:pPr>
            <w:r>
              <w:rPr>
                <w:color w:val="000000"/>
                <w:sz w:val="24"/>
                <w:szCs w:val="24"/>
              </w:rPr>
              <w:t>601398</w:t>
            </w:r>
          </w:p>
        </w:tc>
        <w:tc>
          <w:tcPr>
            <w:tcW w:w="1777" w:type="dxa"/>
            <w:vAlign w:val="center"/>
          </w:tcPr>
          <w:p w:rsidR="00EA432B" w:rsidRDefault="00063B5D">
            <w:pPr>
              <w:jc w:val="center"/>
            </w:pPr>
            <w:r>
              <w:rPr>
                <w:color w:val="000000"/>
                <w:sz w:val="24"/>
                <w:szCs w:val="24"/>
              </w:rPr>
              <w:t>工商银行</w:t>
            </w:r>
          </w:p>
        </w:tc>
        <w:tc>
          <w:tcPr>
            <w:tcW w:w="1334" w:type="dxa"/>
            <w:vAlign w:val="center"/>
          </w:tcPr>
          <w:p w:rsidR="00EA432B" w:rsidRDefault="00063B5D">
            <w:pPr>
              <w:jc w:val="right"/>
            </w:pPr>
            <w:r>
              <w:rPr>
                <w:color w:val="000000"/>
                <w:sz w:val="24"/>
                <w:szCs w:val="24"/>
              </w:rPr>
              <w:t>547,800</w:t>
            </w:r>
          </w:p>
        </w:tc>
        <w:tc>
          <w:tcPr>
            <w:tcW w:w="1924" w:type="dxa"/>
            <w:vAlign w:val="center"/>
          </w:tcPr>
          <w:p w:rsidR="00EA432B" w:rsidRDefault="00063B5D">
            <w:pPr>
              <w:jc w:val="right"/>
            </w:pPr>
            <w:r>
              <w:rPr>
                <w:color w:val="000000"/>
                <w:sz w:val="24"/>
                <w:szCs w:val="24"/>
              </w:rPr>
              <w:t>3,029,334.00</w:t>
            </w:r>
          </w:p>
        </w:tc>
        <w:tc>
          <w:tcPr>
            <w:tcW w:w="1644" w:type="dxa"/>
            <w:vAlign w:val="center"/>
          </w:tcPr>
          <w:p w:rsidR="00EA432B" w:rsidRDefault="00063B5D">
            <w:pPr>
              <w:jc w:val="right"/>
            </w:pPr>
            <w:r>
              <w:rPr>
                <w:color w:val="000000"/>
                <w:sz w:val="24"/>
                <w:szCs w:val="24"/>
              </w:rPr>
              <w:t>0.14</w:t>
            </w:r>
          </w:p>
        </w:tc>
      </w:tr>
      <w:tr w:rsidR="00EA432B">
        <w:trPr>
          <w:jc w:val="center"/>
        </w:trPr>
        <w:tc>
          <w:tcPr>
            <w:tcW w:w="855" w:type="dxa"/>
            <w:vAlign w:val="center"/>
          </w:tcPr>
          <w:p w:rsidR="00EA432B" w:rsidRDefault="00063B5D">
            <w:pPr>
              <w:jc w:val="center"/>
            </w:pPr>
            <w:r>
              <w:rPr>
                <w:color w:val="000000"/>
                <w:sz w:val="24"/>
                <w:szCs w:val="24"/>
              </w:rPr>
              <w:t>7</w:t>
            </w:r>
          </w:p>
        </w:tc>
        <w:tc>
          <w:tcPr>
            <w:tcW w:w="1334" w:type="dxa"/>
            <w:vAlign w:val="center"/>
          </w:tcPr>
          <w:p w:rsidR="00EA432B" w:rsidRDefault="00063B5D">
            <w:pPr>
              <w:jc w:val="center"/>
            </w:pPr>
            <w:r>
              <w:rPr>
                <w:color w:val="000000"/>
                <w:sz w:val="24"/>
                <w:szCs w:val="24"/>
              </w:rPr>
              <w:t>600016</w:t>
            </w:r>
          </w:p>
        </w:tc>
        <w:tc>
          <w:tcPr>
            <w:tcW w:w="1777" w:type="dxa"/>
            <w:vAlign w:val="center"/>
          </w:tcPr>
          <w:p w:rsidR="00EA432B" w:rsidRDefault="00063B5D">
            <w:pPr>
              <w:jc w:val="center"/>
            </w:pPr>
            <w:r>
              <w:rPr>
                <w:color w:val="000000"/>
                <w:sz w:val="24"/>
                <w:szCs w:val="24"/>
              </w:rPr>
              <w:t>民生银行</w:t>
            </w:r>
          </w:p>
        </w:tc>
        <w:tc>
          <w:tcPr>
            <w:tcW w:w="1334" w:type="dxa"/>
            <w:vAlign w:val="center"/>
          </w:tcPr>
          <w:p w:rsidR="00EA432B" w:rsidRDefault="00063B5D">
            <w:pPr>
              <w:jc w:val="right"/>
            </w:pPr>
            <w:r>
              <w:rPr>
                <w:color w:val="000000"/>
                <w:sz w:val="24"/>
                <w:szCs w:val="24"/>
              </w:rPr>
              <w:t>475,600</w:t>
            </w:r>
          </w:p>
        </w:tc>
        <w:tc>
          <w:tcPr>
            <w:tcW w:w="1924" w:type="dxa"/>
            <w:vAlign w:val="center"/>
          </w:tcPr>
          <w:p w:rsidR="00EA432B" w:rsidRDefault="00063B5D">
            <w:pPr>
              <w:jc w:val="right"/>
            </w:pPr>
            <w:r>
              <w:rPr>
                <w:color w:val="000000"/>
                <w:sz w:val="24"/>
                <w:szCs w:val="24"/>
              </w:rPr>
              <w:t>2,863,112.00</w:t>
            </w:r>
          </w:p>
        </w:tc>
        <w:tc>
          <w:tcPr>
            <w:tcW w:w="1644" w:type="dxa"/>
            <w:vAlign w:val="center"/>
          </w:tcPr>
          <w:p w:rsidR="00EA432B" w:rsidRDefault="00063B5D">
            <w:pPr>
              <w:jc w:val="right"/>
            </w:pPr>
            <w:r>
              <w:rPr>
                <w:color w:val="000000"/>
                <w:sz w:val="24"/>
                <w:szCs w:val="24"/>
              </w:rPr>
              <w:t>0.14</w:t>
            </w:r>
          </w:p>
        </w:tc>
      </w:tr>
      <w:tr w:rsidR="00EA432B">
        <w:trPr>
          <w:jc w:val="center"/>
        </w:trPr>
        <w:tc>
          <w:tcPr>
            <w:tcW w:w="855" w:type="dxa"/>
            <w:vAlign w:val="center"/>
          </w:tcPr>
          <w:p w:rsidR="00EA432B" w:rsidRDefault="00063B5D">
            <w:pPr>
              <w:jc w:val="center"/>
            </w:pPr>
            <w:r>
              <w:rPr>
                <w:color w:val="000000"/>
                <w:sz w:val="24"/>
                <w:szCs w:val="24"/>
              </w:rPr>
              <w:t>8</w:t>
            </w:r>
          </w:p>
        </w:tc>
        <w:tc>
          <w:tcPr>
            <w:tcW w:w="1334" w:type="dxa"/>
            <w:vAlign w:val="center"/>
          </w:tcPr>
          <w:p w:rsidR="00EA432B" w:rsidRDefault="00063B5D">
            <w:pPr>
              <w:jc w:val="center"/>
            </w:pPr>
            <w:r>
              <w:rPr>
                <w:color w:val="000000"/>
                <w:sz w:val="24"/>
                <w:szCs w:val="24"/>
              </w:rPr>
              <w:t>601988</w:t>
            </w:r>
          </w:p>
        </w:tc>
        <w:tc>
          <w:tcPr>
            <w:tcW w:w="1777" w:type="dxa"/>
            <w:vAlign w:val="center"/>
          </w:tcPr>
          <w:p w:rsidR="00EA432B" w:rsidRDefault="00063B5D">
            <w:pPr>
              <w:jc w:val="center"/>
            </w:pPr>
            <w:r>
              <w:rPr>
                <w:color w:val="000000"/>
                <w:sz w:val="24"/>
                <w:szCs w:val="24"/>
              </w:rPr>
              <w:t>中国银行</w:t>
            </w:r>
          </w:p>
        </w:tc>
        <w:tc>
          <w:tcPr>
            <w:tcW w:w="1334" w:type="dxa"/>
            <w:vAlign w:val="center"/>
          </w:tcPr>
          <w:p w:rsidR="00EA432B" w:rsidRDefault="00063B5D">
            <w:pPr>
              <w:jc w:val="right"/>
            </w:pPr>
            <w:r>
              <w:rPr>
                <w:color w:val="000000"/>
                <w:sz w:val="24"/>
                <w:szCs w:val="24"/>
              </w:rPr>
              <w:t>590,300</w:t>
            </w:r>
          </w:p>
        </w:tc>
        <w:tc>
          <w:tcPr>
            <w:tcW w:w="1924" w:type="dxa"/>
            <w:vAlign w:val="center"/>
          </w:tcPr>
          <w:p w:rsidR="00EA432B" w:rsidRDefault="00063B5D">
            <w:pPr>
              <w:jc w:val="right"/>
            </w:pPr>
            <w:r>
              <w:rPr>
                <w:color w:val="000000"/>
                <w:sz w:val="24"/>
                <w:szCs w:val="24"/>
              </w:rPr>
              <w:t>2,113,274.00</w:t>
            </w:r>
          </w:p>
        </w:tc>
        <w:tc>
          <w:tcPr>
            <w:tcW w:w="1644" w:type="dxa"/>
            <w:vAlign w:val="center"/>
          </w:tcPr>
          <w:p w:rsidR="00EA432B" w:rsidRDefault="00063B5D">
            <w:pPr>
              <w:jc w:val="right"/>
            </w:pPr>
            <w:r>
              <w:rPr>
                <w:color w:val="000000"/>
                <w:sz w:val="24"/>
                <w:szCs w:val="24"/>
              </w:rPr>
              <w:t>0.10</w:t>
            </w:r>
          </w:p>
        </w:tc>
      </w:tr>
      <w:tr w:rsidR="00EA432B">
        <w:trPr>
          <w:jc w:val="center"/>
        </w:trPr>
        <w:tc>
          <w:tcPr>
            <w:tcW w:w="855" w:type="dxa"/>
            <w:vAlign w:val="center"/>
          </w:tcPr>
          <w:p w:rsidR="00EA432B" w:rsidRDefault="00063B5D">
            <w:pPr>
              <w:jc w:val="center"/>
            </w:pPr>
            <w:r>
              <w:rPr>
                <w:color w:val="000000"/>
                <w:sz w:val="24"/>
                <w:szCs w:val="24"/>
              </w:rPr>
              <w:t>9</w:t>
            </w:r>
          </w:p>
        </w:tc>
        <w:tc>
          <w:tcPr>
            <w:tcW w:w="1334" w:type="dxa"/>
            <w:vAlign w:val="center"/>
          </w:tcPr>
          <w:p w:rsidR="00EA432B" w:rsidRDefault="00063B5D">
            <w:pPr>
              <w:jc w:val="center"/>
            </w:pPr>
            <w:r>
              <w:rPr>
                <w:color w:val="000000"/>
                <w:sz w:val="24"/>
                <w:szCs w:val="24"/>
              </w:rPr>
              <w:t>601601</w:t>
            </w:r>
          </w:p>
        </w:tc>
        <w:tc>
          <w:tcPr>
            <w:tcW w:w="1777" w:type="dxa"/>
            <w:vAlign w:val="center"/>
          </w:tcPr>
          <w:p w:rsidR="00EA432B" w:rsidRDefault="00063B5D">
            <w:pPr>
              <w:jc w:val="center"/>
            </w:pPr>
            <w:r>
              <w:rPr>
                <w:color w:val="000000"/>
                <w:sz w:val="24"/>
                <w:szCs w:val="24"/>
              </w:rPr>
              <w:t>中国太保</w:t>
            </w:r>
          </w:p>
        </w:tc>
        <w:tc>
          <w:tcPr>
            <w:tcW w:w="1334" w:type="dxa"/>
            <w:vAlign w:val="center"/>
          </w:tcPr>
          <w:p w:rsidR="00EA432B" w:rsidRDefault="00063B5D">
            <w:pPr>
              <w:jc w:val="right"/>
            </w:pPr>
            <w:r>
              <w:rPr>
                <w:color w:val="000000"/>
                <w:sz w:val="24"/>
                <w:szCs w:val="24"/>
              </w:rPr>
              <w:t>59,808</w:t>
            </w:r>
          </w:p>
        </w:tc>
        <w:tc>
          <w:tcPr>
            <w:tcW w:w="1924" w:type="dxa"/>
            <w:vAlign w:val="center"/>
          </w:tcPr>
          <w:p w:rsidR="00EA432B" w:rsidRDefault="00063B5D">
            <w:pPr>
              <w:jc w:val="right"/>
            </w:pPr>
            <w:r>
              <w:rPr>
                <w:color w:val="000000"/>
                <w:sz w:val="24"/>
                <w:szCs w:val="24"/>
              </w:rPr>
              <w:t>2,085,504.96</w:t>
            </w:r>
          </w:p>
        </w:tc>
        <w:tc>
          <w:tcPr>
            <w:tcW w:w="1644" w:type="dxa"/>
            <w:vAlign w:val="center"/>
          </w:tcPr>
          <w:p w:rsidR="00EA432B" w:rsidRDefault="00063B5D">
            <w:pPr>
              <w:jc w:val="right"/>
            </w:pPr>
            <w:r>
              <w:rPr>
                <w:color w:val="000000"/>
                <w:sz w:val="24"/>
                <w:szCs w:val="24"/>
              </w:rPr>
              <w:t>0.10</w:t>
            </w:r>
          </w:p>
        </w:tc>
      </w:tr>
      <w:tr w:rsidR="00EA432B">
        <w:trPr>
          <w:jc w:val="center"/>
        </w:trPr>
        <w:tc>
          <w:tcPr>
            <w:tcW w:w="855" w:type="dxa"/>
            <w:vAlign w:val="center"/>
          </w:tcPr>
          <w:p w:rsidR="00EA432B" w:rsidRDefault="00063B5D">
            <w:pPr>
              <w:jc w:val="center"/>
            </w:pPr>
            <w:r>
              <w:rPr>
                <w:color w:val="000000"/>
                <w:sz w:val="24"/>
                <w:szCs w:val="24"/>
              </w:rPr>
              <w:lastRenderedPageBreak/>
              <w:t>10</w:t>
            </w:r>
          </w:p>
        </w:tc>
        <w:tc>
          <w:tcPr>
            <w:tcW w:w="1334" w:type="dxa"/>
            <w:vAlign w:val="center"/>
          </w:tcPr>
          <w:p w:rsidR="00EA432B" w:rsidRDefault="00063B5D">
            <w:pPr>
              <w:jc w:val="center"/>
            </w:pPr>
            <w:r>
              <w:rPr>
                <w:color w:val="000000"/>
                <w:sz w:val="24"/>
                <w:szCs w:val="24"/>
              </w:rPr>
              <w:t>600104</w:t>
            </w:r>
          </w:p>
        </w:tc>
        <w:tc>
          <w:tcPr>
            <w:tcW w:w="1777" w:type="dxa"/>
            <w:vAlign w:val="center"/>
          </w:tcPr>
          <w:p w:rsidR="00EA432B" w:rsidRDefault="00063B5D">
            <w:pPr>
              <w:jc w:val="center"/>
            </w:pPr>
            <w:r>
              <w:rPr>
                <w:color w:val="000000"/>
                <w:sz w:val="24"/>
                <w:szCs w:val="24"/>
              </w:rPr>
              <w:t>上汽集团</w:t>
            </w:r>
          </w:p>
        </w:tc>
        <w:tc>
          <w:tcPr>
            <w:tcW w:w="1334" w:type="dxa"/>
            <w:vAlign w:val="center"/>
          </w:tcPr>
          <w:p w:rsidR="00EA432B" w:rsidRDefault="00063B5D">
            <w:pPr>
              <w:jc w:val="right"/>
            </w:pPr>
            <w:r>
              <w:rPr>
                <w:color w:val="000000"/>
                <w:sz w:val="24"/>
                <w:szCs w:val="24"/>
              </w:rPr>
              <w:t>75,700</w:t>
            </w:r>
          </w:p>
        </w:tc>
        <w:tc>
          <w:tcPr>
            <w:tcW w:w="1924" w:type="dxa"/>
            <w:vAlign w:val="center"/>
          </w:tcPr>
          <w:p w:rsidR="00EA432B" w:rsidRDefault="00063B5D">
            <w:pPr>
              <w:jc w:val="right"/>
            </w:pPr>
            <w:r>
              <w:rPr>
                <w:color w:val="000000"/>
                <w:sz w:val="24"/>
                <w:szCs w:val="24"/>
              </w:rPr>
              <w:t>1,800,146.00</w:t>
            </w:r>
          </w:p>
        </w:tc>
        <w:tc>
          <w:tcPr>
            <w:tcW w:w="1644" w:type="dxa"/>
            <w:vAlign w:val="center"/>
          </w:tcPr>
          <w:p w:rsidR="00EA432B" w:rsidRDefault="00063B5D">
            <w:pPr>
              <w:jc w:val="right"/>
            </w:pPr>
            <w:r>
              <w:rPr>
                <w:color w:val="000000"/>
                <w:sz w:val="24"/>
                <w:szCs w:val="24"/>
              </w:rPr>
              <w:t>0.09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100,266,000.00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100,266,000.00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100,266,000.00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A432B">
        <w:trPr>
          <w:jc w:val="center"/>
        </w:trPr>
        <w:tc>
          <w:tcPr>
            <w:tcW w:w="850" w:type="dxa"/>
            <w:vAlign w:val="center"/>
          </w:tcPr>
          <w:p w:rsidR="00EA432B" w:rsidRDefault="00063B5D">
            <w:pPr>
              <w:jc w:val="center"/>
            </w:pPr>
            <w:r>
              <w:rPr>
                <w:color w:val="000000"/>
                <w:sz w:val="24"/>
                <w:szCs w:val="24"/>
              </w:rPr>
              <w:t>1</w:t>
            </w:r>
          </w:p>
        </w:tc>
        <w:tc>
          <w:tcPr>
            <w:tcW w:w="1475" w:type="dxa"/>
            <w:vAlign w:val="center"/>
          </w:tcPr>
          <w:p w:rsidR="00EA432B" w:rsidRDefault="00063B5D">
            <w:pPr>
              <w:jc w:val="center"/>
            </w:pPr>
            <w:r>
              <w:rPr>
                <w:color w:val="000000"/>
                <w:sz w:val="24"/>
                <w:szCs w:val="24"/>
              </w:rPr>
              <w:t>190206</w:t>
            </w:r>
          </w:p>
        </w:tc>
        <w:tc>
          <w:tcPr>
            <w:tcW w:w="1769" w:type="dxa"/>
            <w:vAlign w:val="center"/>
          </w:tcPr>
          <w:p w:rsidR="00EA432B" w:rsidRDefault="00063B5D">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EA432B" w:rsidRDefault="00063B5D">
            <w:pPr>
              <w:jc w:val="right"/>
            </w:pPr>
            <w:r>
              <w:rPr>
                <w:color w:val="000000"/>
                <w:sz w:val="24"/>
                <w:szCs w:val="24"/>
              </w:rPr>
              <w:t>600,000</w:t>
            </w:r>
          </w:p>
        </w:tc>
        <w:tc>
          <w:tcPr>
            <w:tcW w:w="2150" w:type="dxa"/>
            <w:vAlign w:val="center"/>
          </w:tcPr>
          <w:p w:rsidR="00EA432B" w:rsidRDefault="00063B5D">
            <w:pPr>
              <w:jc w:val="right"/>
            </w:pPr>
            <w:r>
              <w:rPr>
                <w:color w:val="000000"/>
                <w:sz w:val="24"/>
                <w:szCs w:val="24"/>
              </w:rPr>
              <w:t>59,982,000.00</w:t>
            </w:r>
          </w:p>
        </w:tc>
        <w:tc>
          <w:tcPr>
            <w:tcW w:w="1237" w:type="dxa"/>
            <w:vAlign w:val="center"/>
          </w:tcPr>
          <w:p w:rsidR="00EA432B" w:rsidRDefault="00063B5D">
            <w:pPr>
              <w:jc w:val="right"/>
            </w:pPr>
            <w:r>
              <w:rPr>
                <w:color w:val="000000"/>
                <w:sz w:val="24"/>
                <w:szCs w:val="24"/>
              </w:rPr>
              <w:t>2.86</w:t>
            </w:r>
          </w:p>
        </w:tc>
      </w:tr>
      <w:tr w:rsidR="00EA432B">
        <w:trPr>
          <w:jc w:val="center"/>
        </w:trPr>
        <w:tc>
          <w:tcPr>
            <w:tcW w:w="850" w:type="dxa"/>
            <w:vAlign w:val="center"/>
          </w:tcPr>
          <w:p w:rsidR="00EA432B" w:rsidRDefault="00063B5D">
            <w:pPr>
              <w:jc w:val="center"/>
            </w:pPr>
            <w:r>
              <w:rPr>
                <w:color w:val="000000"/>
                <w:sz w:val="24"/>
                <w:szCs w:val="24"/>
              </w:rPr>
              <w:t>2</w:t>
            </w:r>
          </w:p>
        </w:tc>
        <w:tc>
          <w:tcPr>
            <w:tcW w:w="1475" w:type="dxa"/>
            <w:vAlign w:val="center"/>
          </w:tcPr>
          <w:p w:rsidR="00EA432B" w:rsidRDefault="00063B5D">
            <w:pPr>
              <w:jc w:val="center"/>
            </w:pPr>
            <w:r>
              <w:rPr>
                <w:color w:val="000000"/>
                <w:sz w:val="24"/>
                <w:szCs w:val="24"/>
              </w:rPr>
              <w:t>108602</w:t>
            </w:r>
          </w:p>
        </w:tc>
        <w:tc>
          <w:tcPr>
            <w:tcW w:w="1769" w:type="dxa"/>
            <w:vAlign w:val="center"/>
          </w:tcPr>
          <w:p w:rsidR="00EA432B" w:rsidRDefault="00063B5D">
            <w:pPr>
              <w:jc w:val="center"/>
            </w:pPr>
            <w:r>
              <w:rPr>
                <w:color w:val="000000"/>
                <w:sz w:val="24"/>
                <w:szCs w:val="24"/>
              </w:rPr>
              <w:t>国开</w:t>
            </w:r>
            <w:r>
              <w:rPr>
                <w:color w:val="000000"/>
                <w:sz w:val="24"/>
                <w:szCs w:val="24"/>
              </w:rPr>
              <w:t>1704</w:t>
            </w:r>
          </w:p>
        </w:tc>
        <w:tc>
          <w:tcPr>
            <w:tcW w:w="1387" w:type="dxa"/>
            <w:vAlign w:val="center"/>
          </w:tcPr>
          <w:p w:rsidR="00EA432B" w:rsidRDefault="00063B5D">
            <w:pPr>
              <w:jc w:val="right"/>
            </w:pPr>
            <w:r>
              <w:rPr>
                <w:color w:val="000000"/>
                <w:sz w:val="24"/>
                <w:szCs w:val="24"/>
              </w:rPr>
              <w:t>400,000</w:t>
            </w:r>
          </w:p>
        </w:tc>
        <w:tc>
          <w:tcPr>
            <w:tcW w:w="2150" w:type="dxa"/>
            <w:vAlign w:val="center"/>
          </w:tcPr>
          <w:p w:rsidR="00EA432B" w:rsidRDefault="00063B5D">
            <w:pPr>
              <w:jc w:val="right"/>
            </w:pPr>
            <w:r>
              <w:rPr>
                <w:color w:val="000000"/>
                <w:sz w:val="24"/>
                <w:szCs w:val="24"/>
              </w:rPr>
              <w:t>40,284,000.00</w:t>
            </w:r>
          </w:p>
        </w:tc>
        <w:tc>
          <w:tcPr>
            <w:tcW w:w="1237" w:type="dxa"/>
            <w:vAlign w:val="center"/>
          </w:tcPr>
          <w:p w:rsidR="00EA432B" w:rsidRDefault="00063B5D">
            <w:pPr>
              <w:jc w:val="right"/>
            </w:pPr>
            <w:r>
              <w:rPr>
                <w:color w:val="000000"/>
                <w:sz w:val="24"/>
                <w:szCs w:val="24"/>
              </w:rPr>
              <w:t>1.92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BE2E1F" w:rsidRPr="00414345" w:rsidRDefault="00BE2E1F" w:rsidP="00BE2E1F">
      <w:pPr>
        <w:widowControl/>
        <w:spacing w:line="288" w:lineRule="auto"/>
        <w:jc w:val="left"/>
        <w:rPr>
          <w:sz w:val="24"/>
          <w:szCs w:val="24"/>
        </w:rPr>
      </w:pPr>
      <w:r w:rsidRPr="00414345">
        <w:rPr>
          <w:sz w:val="24"/>
          <w:szCs w:val="24"/>
        </w:rPr>
        <w:t>本基金本报告期末未持有贵金属。</w:t>
      </w:r>
    </w:p>
    <w:p w:rsidR="00BE2E1F" w:rsidRPr="00BE2E1F" w:rsidRDefault="00BE2E1F" w:rsidP="00C15CAC">
      <w:pPr>
        <w:autoSpaceDE w:val="0"/>
        <w:autoSpaceDN w:val="0"/>
        <w:adjustRightInd w:val="0"/>
        <w:spacing w:before="29" w:line="288" w:lineRule="auto"/>
        <w:jc w:val="left"/>
        <w:rPr>
          <w:b/>
          <w:bCs/>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报告期内本基金投资的前十名证券的发行主体除民生银行（证券代码：</w:t>
      </w:r>
      <w:r w:rsidRPr="00BE5388">
        <w:rPr>
          <w:bCs/>
          <w:color w:val="000000"/>
          <w:kern w:val="0"/>
          <w:sz w:val="24"/>
          <w:szCs w:val="24"/>
        </w:rPr>
        <w:t>600016</w:t>
      </w:r>
      <w:r w:rsidRPr="00BE5388">
        <w:rPr>
          <w:bCs/>
          <w:color w:val="000000"/>
          <w:kern w:val="0"/>
          <w:sz w:val="24"/>
          <w:szCs w:val="24"/>
        </w:rPr>
        <w:t>）外，未出现被监管部门立案调查，或在报告编制日前一年内受到公开谴责、处罚的情形。</w:t>
      </w:r>
    </w:p>
    <w:p w:rsidR="00EA432B" w:rsidRDefault="00063B5D">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报告期内本基金投资的前十名证券之一民生银行（证券代码：</w:t>
      </w:r>
      <w:r>
        <w:rPr>
          <w:bCs/>
          <w:color w:val="000000"/>
          <w:kern w:val="0"/>
          <w:sz w:val="24"/>
          <w:szCs w:val="24"/>
        </w:rPr>
        <w:t>600016</w:t>
      </w:r>
      <w:r>
        <w:rPr>
          <w:bCs/>
          <w:color w:val="000000"/>
          <w:kern w:val="0"/>
          <w:sz w:val="24"/>
          <w:szCs w:val="24"/>
        </w:rPr>
        <w:t>），根据银保监会</w:t>
      </w:r>
      <w:r>
        <w:rPr>
          <w:bCs/>
          <w:color w:val="000000"/>
          <w:kern w:val="0"/>
          <w:sz w:val="24"/>
          <w:szCs w:val="24"/>
        </w:rPr>
        <w:t>2018</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7</w:t>
      </w:r>
      <w:r>
        <w:rPr>
          <w:bCs/>
          <w:color w:val="000000"/>
          <w:kern w:val="0"/>
          <w:sz w:val="24"/>
          <w:szCs w:val="24"/>
        </w:rPr>
        <w:t>日公布的《中国银行保险监督管理委员会行政处罚信息公开表</w:t>
      </w:r>
      <w:r>
        <w:rPr>
          <w:bCs/>
          <w:color w:val="000000"/>
          <w:kern w:val="0"/>
          <w:sz w:val="24"/>
          <w:szCs w:val="24"/>
        </w:rPr>
        <w:t>(</w:t>
      </w:r>
      <w:r>
        <w:rPr>
          <w:bCs/>
          <w:color w:val="000000"/>
          <w:kern w:val="0"/>
          <w:sz w:val="24"/>
          <w:szCs w:val="24"/>
        </w:rPr>
        <w:t>银保监银罚决字〔</w:t>
      </w:r>
      <w:r>
        <w:rPr>
          <w:bCs/>
          <w:color w:val="000000"/>
          <w:kern w:val="0"/>
          <w:sz w:val="24"/>
          <w:szCs w:val="24"/>
        </w:rPr>
        <w:t>2018</w:t>
      </w:r>
      <w:r>
        <w:rPr>
          <w:bCs/>
          <w:color w:val="000000"/>
          <w:kern w:val="0"/>
          <w:sz w:val="24"/>
          <w:szCs w:val="24"/>
        </w:rPr>
        <w:t>〕</w:t>
      </w:r>
      <w:r>
        <w:rPr>
          <w:bCs/>
          <w:color w:val="000000"/>
          <w:kern w:val="0"/>
          <w:sz w:val="24"/>
          <w:szCs w:val="24"/>
        </w:rPr>
        <w:t>5</w:t>
      </w:r>
      <w:r>
        <w:rPr>
          <w:bCs/>
          <w:color w:val="000000"/>
          <w:kern w:val="0"/>
          <w:sz w:val="24"/>
          <w:szCs w:val="24"/>
        </w:rPr>
        <w:t>号</w:t>
      </w:r>
      <w:r>
        <w:rPr>
          <w:bCs/>
          <w:color w:val="000000"/>
          <w:kern w:val="0"/>
          <w:sz w:val="24"/>
          <w:szCs w:val="24"/>
        </w:rPr>
        <w:t>)</w:t>
      </w:r>
      <w:r>
        <w:rPr>
          <w:bCs/>
          <w:color w:val="000000"/>
          <w:kern w:val="0"/>
          <w:sz w:val="24"/>
          <w:szCs w:val="24"/>
        </w:rPr>
        <w:t>》，因存在贷款业务严重违反审慎经营规则等违法违规事实，被中国银行保险监督管理委员会处以行政处罚，罚款</w:t>
      </w:r>
      <w:r>
        <w:rPr>
          <w:bCs/>
          <w:color w:val="000000"/>
          <w:kern w:val="0"/>
          <w:sz w:val="24"/>
          <w:szCs w:val="24"/>
        </w:rPr>
        <w:t>200</w:t>
      </w:r>
      <w:r>
        <w:rPr>
          <w:bCs/>
          <w:color w:val="000000"/>
          <w:kern w:val="0"/>
          <w:sz w:val="24"/>
          <w:szCs w:val="24"/>
        </w:rPr>
        <w:t>万元；根据银保监会</w:t>
      </w:r>
      <w:r>
        <w:rPr>
          <w:bCs/>
          <w:color w:val="000000"/>
          <w:kern w:val="0"/>
          <w:sz w:val="24"/>
          <w:szCs w:val="24"/>
        </w:rPr>
        <w:t>2018</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7</w:t>
      </w:r>
      <w:r>
        <w:rPr>
          <w:bCs/>
          <w:color w:val="000000"/>
          <w:kern w:val="0"/>
          <w:sz w:val="24"/>
          <w:szCs w:val="24"/>
        </w:rPr>
        <w:t>日公布的《中国银行保险监督管理委员会行政处罚信息公开表</w:t>
      </w:r>
      <w:r>
        <w:rPr>
          <w:bCs/>
          <w:color w:val="000000"/>
          <w:kern w:val="0"/>
          <w:sz w:val="24"/>
          <w:szCs w:val="24"/>
        </w:rPr>
        <w:t>(</w:t>
      </w:r>
      <w:r>
        <w:rPr>
          <w:bCs/>
          <w:color w:val="000000"/>
          <w:kern w:val="0"/>
          <w:sz w:val="24"/>
          <w:szCs w:val="24"/>
        </w:rPr>
        <w:t>银保监银罚决字〔</w:t>
      </w:r>
      <w:r>
        <w:rPr>
          <w:bCs/>
          <w:color w:val="000000"/>
          <w:kern w:val="0"/>
          <w:sz w:val="24"/>
          <w:szCs w:val="24"/>
        </w:rPr>
        <w:t>2018</w:t>
      </w:r>
      <w:r>
        <w:rPr>
          <w:bCs/>
          <w:color w:val="000000"/>
          <w:kern w:val="0"/>
          <w:sz w:val="24"/>
          <w:szCs w:val="24"/>
        </w:rPr>
        <w:t>〕</w:t>
      </w:r>
      <w:r>
        <w:rPr>
          <w:bCs/>
          <w:color w:val="000000"/>
          <w:kern w:val="0"/>
          <w:sz w:val="24"/>
          <w:szCs w:val="24"/>
        </w:rPr>
        <w:t>8</w:t>
      </w:r>
      <w:r>
        <w:rPr>
          <w:bCs/>
          <w:color w:val="000000"/>
          <w:kern w:val="0"/>
          <w:sz w:val="24"/>
          <w:szCs w:val="24"/>
        </w:rPr>
        <w:t>号</w:t>
      </w:r>
      <w:r>
        <w:rPr>
          <w:bCs/>
          <w:color w:val="000000"/>
          <w:kern w:val="0"/>
          <w:sz w:val="24"/>
          <w:szCs w:val="24"/>
        </w:rPr>
        <w:t>)</w:t>
      </w:r>
      <w:r>
        <w:rPr>
          <w:bCs/>
          <w:color w:val="000000"/>
          <w:kern w:val="0"/>
          <w:sz w:val="24"/>
          <w:szCs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bCs/>
          <w:color w:val="000000"/>
          <w:kern w:val="0"/>
          <w:sz w:val="24"/>
          <w:szCs w:val="24"/>
        </w:rPr>
        <w:t>3160</w:t>
      </w:r>
      <w:r>
        <w:rPr>
          <w:bCs/>
          <w:color w:val="000000"/>
          <w:kern w:val="0"/>
          <w:sz w:val="24"/>
          <w:szCs w:val="24"/>
        </w:rPr>
        <w:t>万元。</w:t>
      </w:r>
    </w:p>
    <w:p w:rsidR="00EA432B" w:rsidRDefault="00063B5D">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63,486.17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30,630,967.25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417,017.83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1,396,675.60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660,776.12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20,794.80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33,189,717.77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063B5D" w:rsidRPr="006B0D08" w:rsidRDefault="00063B5D" w:rsidP="00063B5D">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5.11.6</w:t>
      </w:r>
      <w:r w:rsidRPr="006B0D08">
        <w:rPr>
          <w:b/>
          <w:bCs/>
          <w:color w:val="000000"/>
          <w:kern w:val="0"/>
          <w:sz w:val="24"/>
          <w:szCs w:val="24"/>
        </w:rPr>
        <w:t>投资组合报告附注的其他文字描述部分</w:t>
      </w:r>
    </w:p>
    <w:p w:rsidR="00063B5D" w:rsidRPr="00414345" w:rsidRDefault="00063B5D" w:rsidP="00063B5D">
      <w:pPr>
        <w:spacing w:before="29" w:line="288" w:lineRule="auto"/>
        <w:rPr>
          <w:color w:val="000000"/>
          <w:sz w:val="24"/>
          <w:szCs w:val="24"/>
        </w:rPr>
      </w:pPr>
      <w:r w:rsidRPr="00414345">
        <w:rPr>
          <w:color w:val="000000"/>
          <w:sz w:val="24"/>
          <w:szCs w:val="24"/>
        </w:rPr>
        <w:t>由于四舍五入的原因，分项之和与合计项之间可能存在尾差。</w:t>
      </w:r>
    </w:p>
    <w:p w:rsidR="00063B5D" w:rsidRPr="00063B5D" w:rsidRDefault="00063B5D" w:rsidP="00C15CAC">
      <w:pPr>
        <w:autoSpaceDE w:val="0"/>
        <w:autoSpaceDN w:val="0"/>
        <w:adjustRightInd w:val="0"/>
        <w:spacing w:before="29" w:line="288" w:lineRule="auto"/>
        <w:jc w:val="left"/>
        <w:rPr>
          <w:color w:val="000000"/>
          <w:sz w:val="24"/>
          <w:szCs w:val="24"/>
        </w:rPr>
      </w:pPr>
    </w:p>
    <w:p w:rsidR="004046D7" w:rsidRPr="00575270" w:rsidRDefault="004046D7" w:rsidP="004046D7">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4046D7" w:rsidRPr="00575270" w:rsidRDefault="004046D7" w:rsidP="004046D7">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7"/>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4046D7" w:rsidRPr="00575270" w:rsidTr="00B32CA0">
        <w:tc>
          <w:tcPr>
            <w:tcW w:w="452"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r w:rsidR="002E493C">
              <w:rPr>
                <w:rFonts w:ascii="Times New Roman" w:hAnsi="Times New Roman" w:cs="Times New Roman"/>
              </w:rPr>
              <w:t>（</w:t>
            </w:r>
            <w:r w:rsidR="002E493C">
              <w:rPr>
                <w:rFonts w:ascii="Times New Roman" w:hAnsi="Times New Roman" w:cs="Times New Roman"/>
              </w:rPr>
              <w:t>%</w:t>
            </w:r>
            <w:r w:rsidR="002E493C">
              <w:rPr>
                <w:rFonts w:ascii="Times New Roman" w:hAnsi="Times New Roman" w:cs="Times New Roman"/>
              </w:rPr>
              <w:t>）</w:t>
            </w:r>
          </w:p>
        </w:tc>
        <w:tc>
          <w:tcPr>
            <w:tcW w:w="704"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EA432B">
        <w:tc>
          <w:tcPr>
            <w:tcW w:w="835" w:type="dxa"/>
            <w:vAlign w:val="center"/>
          </w:tcPr>
          <w:p w:rsidR="00EA432B" w:rsidRDefault="00063B5D">
            <w:pPr>
              <w:jc w:val="center"/>
            </w:pPr>
            <w:r>
              <w:rPr>
                <w:sz w:val="24"/>
                <w:szCs w:val="24"/>
              </w:rPr>
              <w:t>1</w:t>
            </w:r>
          </w:p>
        </w:tc>
        <w:tc>
          <w:tcPr>
            <w:tcW w:w="1159" w:type="dxa"/>
            <w:vAlign w:val="center"/>
          </w:tcPr>
          <w:p w:rsidR="00EA432B" w:rsidRDefault="00063B5D">
            <w:pPr>
              <w:jc w:val="center"/>
            </w:pPr>
            <w:r>
              <w:rPr>
                <w:sz w:val="24"/>
                <w:szCs w:val="24"/>
              </w:rPr>
              <w:t>519723</w:t>
            </w:r>
          </w:p>
        </w:tc>
        <w:tc>
          <w:tcPr>
            <w:tcW w:w="1161" w:type="dxa"/>
            <w:vAlign w:val="center"/>
          </w:tcPr>
          <w:p w:rsidR="00EA432B" w:rsidRDefault="00063B5D">
            <w:pPr>
              <w:jc w:val="center"/>
            </w:pPr>
            <w:r>
              <w:rPr>
                <w:sz w:val="24"/>
                <w:szCs w:val="24"/>
              </w:rPr>
              <w:t>交银双轮动债券</w:t>
            </w:r>
            <w:r>
              <w:rPr>
                <w:sz w:val="24"/>
                <w:szCs w:val="24"/>
              </w:rPr>
              <w:t>A</w:t>
            </w:r>
          </w:p>
        </w:tc>
        <w:tc>
          <w:tcPr>
            <w:tcW w:w="1161" w:type="dxa"/>
            <w:vAlign w:val="center"/>
          </w:tcPr>
          <w:p w:rsidR="00EA432B" w:rsidRDefault="00063B5D">
            <w:pPr>
              <w:jc w:val="center"/>
            </w:pPr>
            <w:r>
              <w:rPr>
                <w:sz w:val="24"/>
                <w:szCs w:val="24"/>
              </w:rPr>
              <w:t>契约型开放式</w:t>
            </w:r>
          </w:p>
        </w:tc>
        <w:tc>
          <w:tcPr>
            <w:tcW w:w="1159" w:type="dxa"/>
            <w:vAlign w:val="center"/>
          </w:tcPr>
          <w:p w:rsidR="00EA432B" w:rsidRDefault="00063B5D">
            <w:pPr>
              <w:jc w:val="center"/>
            </w:pPr>
            <w:r>
              <w:rPr>
                <w:sz w:val="24"/>
                <w:szCs w:val="24"/>
              </w:rPr>
              <w:t>263,024,260.38</w:t>
            </w:r>
          </w:p>
        </w:tc>
        <w:tc>
          <w:tcPr>
            <w:tcW w:w="1305" w:type="dxa"/>
            <w:vAlign w:val="center"/>
          </w:tcPr>
          <w:p w:rsidR="00EA432B" w:rsidRDefault="00063B5D">
            <w:pPr>
              <w:jc w:val="center"/>
            </w:pPr>
            <w:r>
              <w:rPr>
                <w:sz w:val="24"/>
                <w:szCs w:val="24"/>
              </w:rPr>
              <w:t>284,592,249.73</w:t>
            </w:r>
          </w:p>
        </w:tc>
        <w:tc>
          <w:tcPr>
            <w:tcW w:w="1161" w:type="dxa"/>
            <w:vAlign w:val="center"/>
          </w:tcPr>
          <w:p w:rsidR="00EA432B" w:rsidRDefault="00063B5D" w:rsidP="000747D1">
            <w:pPr>
              <w:jc w:val="center"/>
            </w:pPr>
            <w:r>
              <w:rPr>
                <w:sz w:val="24"/>
                <w:szCs w:val="24"/>
              </w:rPr>
              <w:t>13.58</w:t>
            </w:r>
          </w:p>
        </w:tc>
        <w:tc>
          <w:tcPr>
            <w:tcW w:w="1301" w:type="dxa"/>
            <w:vAlign w:val="center"/>
          </w:tcPr>
          <w:p w:rsidR="00EA432B" w:rsidRDefault="00063B5D">
            <w:pPr>
              <w:jc w:val="center"/>
            </w:pPr>
            <w:r>
              <w:rPr>
                <w:sz w:val="24"/>
                <w:szCs w:val="24"/>
              </w:rPr>
              <w:t>是</w:t>
            </w:r>
          </w:p>
        </w:tc>
      </w:tr>
      <w:tr w:rsidR="00EA432B">
        <w:tc>
          <w:tcPr>
            <w:tcW w:w="835" w:type="dxa"/>
            <w:vAlign w:val="center"/>
          </w:tcPr>
          <w:p w:rsidR="00EA432B" w:rsidRDefault="00063B5D">
            <w:pPr>
              <w:jc w:val="center"/>
            </w:pPr>
            <w:r>
              <w:rPr>
                <w:sz w:val="24"/>
                <w:szCs w:val="24"/>
              </w:rPr>
              <w:t>2</w:t>
            </w:r>
          </w:p>
        </w:tc>
        <w:tc>
          <w:tcPr>
            <w:tcW w:w="1159" w:type="dxa"/>
            <w:vAlign w:val="center"/>
          </w:tcPr>
          <w:p w:rsidR="00EA432B" w:rsidRDefault="00063B5D">
            <w:pPr>
              <w:jc w:val="center"/>
            </w:pPr>
            <w:r>
              <w:rPr>
                <w:sz w:val="24"/>
                <w:szCs w:val="24"/>
              </w:rPr>
              <w:t>000191</w:t>
            </w:r>
          </w:p>
        </w:tc>
        <w:tc>
          <w:tcPr>
            <w:tcW w:w="1161" w:type="dxa"/>
            <w:vAlign w:val="center"/>
          </w:tcPr>
          <w:p w:rsidR="00EA432B" w:rsidRDefault="00063B5D">
            <w:pPr>
              <w:jc w:val="center"/>
            </w:pPr>
            <w:r>
              <w:rPr>
                <w:sz w:val="24"/>
                <w:szCs w:val="24"/>
              </w:rPr>
              <w:t>富国信用债债券</w:t>
            </w:r>
            <w:r>
              <w:rPr>
                <w:sz w:val="24"/>
                <w:szCs w:val="24"/>
              </w:rPr>
              <w:t>A</w:t>
            </w:r>
          </w:p>
        </w:tc>
        <w:tc>
          <w:tcPr>
            <w:tcW w:w="1161" w:type="dxa"/>
            <w:vAlign w:val="center"/>
          </w:tcPr>
          <w:p w:rsidR="00EA432B" w:rsidRDefault="00063B5D">
            <w:pPr>
              <w:jc w:val="center"/>
            </w:pPr>
            <w:r>
              <w:rPr>
                <w:sz w:val="24"/>
                <w:szCs w:val="24"/>
              </w:rPr>
              <w:t>契约型开放式</w:t>
            </w:r>
          </w:p>
        </w:tc>
        <w:tc>
          <w:tcPr>
            <w:tcW w:w="1159" w:type="dxa"/>
            <w:vAlign w:val="center"/>
          </w:tcPr>
          <w:p w:rsidR="00EA432B" w:rsidRDefault="00063B5D">
            <w:pPr>
              <w:jc w:val="center"/>
            </w:pPr>
            <w:r>
              <w:rPr>
                <w:sz w:val="24"/>
                <w:szCs w:val="24"/>
              </w:rPr>
              <w:t>237,561,493.56</w:t>
            </w:r>
          </w:p>
        </w:tc>
        <w:tc>
          <w:tcPr>
            <w:tcW w:w="1305" w:type="dxa"/>
            <w:vAlign w:val="center"/>
          </w:tcPr>
          <w:p w:rsidR="00EA432B" w:rsidRDefault="00063B5D">
            <w:pPr>
              <w:jc w:val="center"/>
            </w:pPr>
            <w:r>
              <w:rPr>
                <w:sz w:val="24"/>
                <w:szCs w:val="24"/>
              </w:rPr>
              <w:t>254,214,554.26</w:t>
            </w:r>
          </w:p>
        </w:tc>
        <w:tc>
          <w:tcPr>
            <w:tcW w:w="1161" w:type="dxa"/>
            <w:vAlign w:val="center"/>
          </w:tcPr>
          <w:p w:rsidR="00EA432B" w:rsidRDefault="00063B5D" w:rsidP="000747D1">
            <w:pPr>
              <w:jc w:val="center"/>
            </w:pPr>
            <w:r>
              <w:rPr>
                <w:sz w:val="24"/>
                <w:szCs w:val="24"/>
              </w:rPr>
              <w:t>12.13</w:t>
            </w:r>
          </w:p>
        </w:tc>
        <w:tc>
          <w:tcPr>
            <w:tcW w:w="1301" w:type="dxa"/>
            <w:vAlign w:val="center"/>
          </w:tcPr>
          <w:p w:rsidR="00EA432B" w:rsidRDefault="00063B5D">
            <w:pPr>
              <w:jc w:val="center"/>
            </w:pPr>
            <w:r>
              <w:rPr>
                <w:sz w:val="24"/>
                <w:szCs w:val="24"/>
              </w:rPr>
              <w:t>否</w:t>
            </w:r>
          </w:p>
        </w:tc>
      </w:tr>
      <w:tr w:rsidR="00EA432B">
        <w:tc>
          <w:tcPr>
            <w:tcW w:w="835" w:type="dxa"/>
            <w:vAlign w:val="center"/>
          </w:tcPr>
          <w:p w:rsidR="00EA432B" w:rsidRDefault="00063B5D">
            <w:pPr>
              <w:jc w:val="center"/>
            </w:pPr>
            <w:r>
              <w:rPr>
                <w:sz w:val="24"/>
                <w:szCs w:val="24"/>
              </w:rPr>
              <w:t>3</w:t>
            </w:r>
          </w:p>
        </w:tc>
        <w:tc>
          <w:tcPr>
            <w:tcW w:w="1159" w:type="dxa"/>
            <w:vAlign w:val="center"/>
          </w:tcPr>
          <w:p w:rsidR="00EA432B" w:rsidRDefault="00063B5D">
            <w:pPr>
              <w:jc w:val="center"/>
            </w:pPr>
            <w:r>
              <w:rPr>
                <w:sz w:val="24"/>
                <w:szCs w:val="24"/>
              </w:rPr>
              <w:t>160618</w:t>
            </w:r>
          </w:p>
        </w:tc>
        <w:tc>
          <w:tcPr>
            <w:tcW w:w="1161" w:type="dxa"/>
            <w:vAlign w:val="center"/>
          </w:tcPr>
          <w:p w:rsidR="00EA432B" w:rsidRDefault="00063B5D">
            <w:pPr>
              <w:jc w:val="center"/>
            </w:pPr>
            <w:r>
              <w:rPr>
                <w:sz w:val="24"/>
                <w:szCs w:val="24"/>
              </w:rPr>
              <w:t>鹏华丰泽债券</w:t>
            </w:r>
            <w:r>
              <w:rPr>
                <w:sz w:val="24"/>
                <w:szCs w:val="24"/>
              </w:rPr>
              <w:t>(LOF)</w:t>
            </w:r>
          </w:p>
        </w:tc>
        <w:tc>
          <w:tcPr>
            <w:tcW w:w="1161" w:type="dxa"/>
            <w:vAlign w:val="center"/>
          </w:tcPr>
          <w:p w:rsidR="00EA432B" w:rsidRDefault="00063B5D">
            <w:pPr>
              <w:jc w:val="center"/>
            </w:pPr>
            <w:r>
              <w:rPr>
                <w:sz w:val="24"/>
                <w:szCs w:val="24"/>
              </w:rPr>
              <w:t>契约型开放式</w:t>
            </w:r>
            <w:r>
              <w:rPr>
                <w:sz w:val="24"/>
                <w:szCs w:val="24"/>
              </w:rPr>
              <w:t>(LOF)</w:t>
            </w:r>
          </w:p>
        </w:tc>
        <w:tc>
          <w:tcPr>
            <w:tcW w:w="1159" w:type="dxa"/>
            <w:vAlign w:val="center"/>
          </w:tcPr>
          <w:p w:rsidR="00EA432B" w:rsidRDefault="00063B5D">
            <w:pPr>
              <w:jc w:val="center"/>
            </w:pPr>
            <w:r>
              <w:rPr>
                <w:sz w:val="24"/>
                <w:szCs w:val="24"/>
              </w:rPr>
              <w:t>115,828,224.42</w:t>
            </w:r>
          </w:p>
        </w:tc>
        <w:tc>
          <w:tcPr>
            <w:tcW w:w="1305" w:type="dxa"/>
            <w:vAlign w:val="center"/>
          </w:tcPr>
          <w:p w:rsidR="00EA432B" w:rsidRDefault="00063B5D">
            <w:pPr>
              <w:jc w:val="center"/>
            </w:pPr>
            <w:r>
              <w:rPr>
                <w:sz w:val="24"/>
                <w:szCs w:val="24"/>
              </w:rPr>
              <w:t>153,159,661.15</w:t>
            </w:r>
          </w:p>
        </w:tc>
        <w:tc>
          <w:tcPr>
            <w:tcW w:w="1161" w:type="dxa"/>
            <w:vAlign w:val="center"/>
          </w:tcPr>
          <w:p w:rsidR="00EA432B" w:rsidRDefault="00063B5D" w:rsidP="000747D1">
            <w:pPr>
              <w:jc w:val="center"/>
            </w:pPr>
            <w:r>
              <w:rPr>
                <w:sz w:val="24"/>
                <w:szCs w:val="24"/>
              </w:rPr>
              <w:t>7.31</w:t>
            </w:r>
          </w:p>
        </w:tc>
        <w:tc>
          <w:tcPr>
            <w:tcW w:w="1301" w:type="dxa"/>
            <w:vAlign w:val="center"/>
          </w:tcPr>
          <w:p w:rsidR="00EA432B" w:rsidRDefault="00063B5D">
            <w:pPr>
              <w:jc w:val="center"/>
            </w:pPr>
            <w:r>
              <w:rPr>
                <w:sz w:val="24"/>
                <w:szCs w:val="24"/>
              </w:rPr>
              <w:t>否</w:t>
            </w:r>
          </w:p>
        </w:tc>
      </w:tr>
      <w:tr w:rsidR="00EA432B">
        <w:tc>
          <w:tcPr>
            <w:tcW w:w="835" w:type="dxa"/>
            <w:vAlign w:val="center"/>
          </w:tcPr>
          <w:p w:rsidR="00EA432B" w:rsidRDefault="00063B5D">
            <w:pPr>
              <w:jc w:val="center"/>
            </w:pPr>
            <w:r>
              <w:rPr>
                <w:sz w:val="24"/>
                <w:szCs w:val="24"/>
              </w:rPr>
              <w:t>4</w:t>
            </w:r>
          </w:p>
        </w:tc>
        <w:tc>
          <w:tcPr>
            <w:tcW w:w="1159" w:type="dxa"/>
            <w:vAlign w:val="center"/>
          </w:tcPr>
          <w:p w:rsidR="00EA432B" w:rsidRDefault="00063B5D">
            <w:pPr>
              <w:jc w:val="center"/>
            </w:pPr>
            <w:r>
              <w:rPr>
                <w:sz w:val="24"/>
                <w:szCs w:val="24"/>
              </w:rPr>
              <w:t>519718</w:t>
            </w:r>
          </w:p>
        </w:tc>
        <w:tc>
          <w:tcPr>
            <w:tcW w:w="1161" w:type="dxa"/>
            <w:vAlign w:val="center"/>
          </w:tcPr>
          <w:p w:rsidR="00EA432B" w:rsidRDefault="00063B5D">
            <w:pPr>
              <w:jc w:val="center"/>
            </w:pPr>
            <w:r>
              <w:rPr>
                <w:sz w:val="24"/>
                <w:szCs w:val="24"/>
              </w:rPr>
              <w:t>交银纯债债券发起</w:t>
            </w:r>
            <w:r>
              <w:rPr>
                <w:sz w:val="24"/>
                <w:szCs w:val="24"/>
              </w:rPr>
              <w:t>A/B</w:t>
            </w:r>
          </w:p>
        </w:tc>
        <w:tc>
          <w:tcPr>
            <w:tcW w:w="1161" w:type="dxa"/>
            <w:vAlign w:val="center"/>
          </w:tcPr>
          <w:p w:rsidR="00EA432B" w:rsidRDefault="00063B5D">
            <w:pPr>
              <w:jc w:val="center"/>
            </w:pPr>
            <w:r>
              <w:rPr>
                <w:sz w:val="24"/>
                <w:szCs w:val="24"/>
              </w:rPr>
              <w:t>契约型开放式</w:t>
            </w:r>
          </w:p>
        </w:tc>
        <w:tc>
          <w:tcPr>
            <w:tcW w:w="1159" w:type="dxa"/>
            <w:vAlign w:val="center"/>
          </w:tcPr>
          <w:p w:rsidR="00EA432B" w:rsidRDefault="00063B5D">
            <w:pPr>
              <w:jc w:val="center"/>
            </w:pPr>
            <w:r>
              <w:rPr>
                <w:sz w:val="24"/>
                <w:szCs w:val="24"/>
              </w:rPr>
              <w:t>108,094,601.80</w:t>
            </w:r>
          </w:p>
        </w:tc>
        <w:tc>
          <w:tcPr>
            <w:tcW w:w="1305" w:type="dxa"/>
            <w:vAlign w:val="center"/>
          </w:tcPr>
          <w:p w:rsidR="00EA432B" w:rsidRDefault="00063B5D">
            <w:pPr>
              <w:jc w:val="center"/>
            </w:pPr>
            <w:r>
              <w:rPr>
                <w:sz w:val="24"/>
                <w:szCs w:val="24"/>
              </w:rPr>
              <w:t>116,958,359.15</w:t>
            </w:r>
          </w:p>
        </w:tc>
        <w:tc>
          <w:tcPr>
            <w:tcW w:w="1161" w:type="dxa"/>
            <w:vAlign w:val="center"/>
          </w:tcPr>
          <w:p w:rsidR="00EA432B" w:rsidRDefault="00063B5D" w:rsidP="000747D1">
            <w:pPr>
              <w:jc w:val="center"/>
            </w:pPr>
            <w:r>
              <w:rPr>
                <w:sz w:val="24"/>
                <w:szCs w:val="24"/>
              </w:rPr>
              <w:t>5.58</w:t>
            </w:r>
          </w:p>
        </w:tc>
        <w:tc>
          <w:tcPr>
            <w:tcW w:w="1301" w:type="dxa"/>
            <w:vAlign w:val="center"/>
          </w:tcPr>
          <w:p w:rsidR="00EA432B" w:rsidRDefault="00063B5D">
            <w:pPr>
              <w:jc w:val="center"/>
            </w:pPr>
            <w:r>
              <w:rPr>
                <w:sz w:val="24"/>
                <w:szCs w:val="24"/>
              </w:rPr>
              <w:t>是</w:t>
            </w:r>
          </w:p>
        </w:tc>
      </w:tr>
      <w:tr w:rsidR="00EA432B">
        <w:tc>
          <w:tcPr>
            <w:tcW w:w="835" w:type="dxa"/>
            <w:vAlign w:val="center"/>
          </w:tcPr>
          <w:p w:rsidR="00EA432B" w:rsidRDefault="00063B5D">
            <w:pPr>
              <w:jc w:val="center"/>
            </w:pPr>
            <w:r>
              <w:rPr>
                <w:sz w:val="24"/>
                <w:szCs w:val="24"/>
              </w:rPr>
              <w:t>5</w:t>
            </w:r>
          </w:p>
        </w:tc>
        <w:tc>
          <w:tcPr>
            <w:tcW w:w="1159" w:type="dxa"/>
            <w:vAlign w:val="center"/>
          </w:tcPr>
          <w:p w:rsidR="00EA432B" w:rsidRDefault="00063B5D">
            <w:pPr>
              <w:jc w:val="center"/>
            </w:pPr>
            <w:r>
              <w:rPr>
                <w:sz w:val="24"/>
                <w:szCs w:val="24"/>
              </w:rPr>
              <w:t>166008</w:t>
            </w:r>
          </w:p>
        </w:tc>
        <w:tc>
          <w:tcPr>
            <w:tcW w:w="1161" w:type="dxa"/>
            <w:vAlign w:val="center"/>
          </w:tcPr>
          <w:p w:rsidR="00EA432B" w:rsidRDefault="00063B5D">
            <w:pPr>
              <w:jc w:val="center"/>
            </w:pPr>
            <w:r>
              <w:rPr>
                <w:sz w:val="24"/>
                <w:szCs w:val="24"/>
              </w:rPr>
              <w:t>中欧增强回报</w:t>
            </w:r>
            <w:r>
              <w:rPr>
                <w:sz w:val="24"/>
                <w:szCs w:val="24"/>
              </w:rPr>
              <w:lastRenderedPageBreak/>
              <w:t>债券</w:t>
            </w:r>
            <w:r>
              <w:rPr>
                <w:sz w:val="24"/>
                <w:szCs w:val="24"/>
              </w:rPr>
              <w:t>(LOF)A</w:t>
            </w:r>
          </w:p>
        </w:tc>
        <w:tc>
          <w:tcPr>
            <w:tcW w:w="1161" w:type="dxa"/>
            <w:vAlign w:val="center"/>
          </w:tcPr>
          <w:p w:rsidR="00EA432B" w:rsidRDefault="00063B5D">
            <w:pPr>
              <w:jc w:val="center"/>
            </w:pPr>
            <w:r>
              <w:rPr>
                <w:sz w:val="24"/>
                <w:szCs w:val="24"/>
              </w:rPr>
              <w:lastRenderedPageBreak/>
              <w:t>契约型开放式</w:t>
            </w:r>
            <w:r>
              <w:rPr>
                <w:sz w:val="24"/>
                <w:szCs w:val="24"/>
              </w:rPr>
              <w:lastRenderedPageBreak/>
              <w:t>(LOF)</w:t>
            </w:r>
          </w:p>
        </w:tc>
        <w:tc>
          <w:tcPr>
            <w:tcW w:w="1159" w:type="dxa"/>
            <w:vAlign w:val="center"/>
          </w:tcPr>
          <w:p w:rsidR="00EA432B" w:rsidRDefault="00063B5D">
            <w:pPr>
              <w:jc w:val="center"/>
            </w:pPr>
            <w:r>
              <w:rPr>
                <w:sz w:val="24"/>
                <w:szCs w:val="24"/>
              </w:rPr>
              <w:lastRenderedPageBreak/>
              <w:t>93,548,351.14</w:t>
            </w:r>
          </w:p>
        </w:tc>
        <w:tc>
          <w:tcPr>
            <w:tcW w:w="1305" w:type="dxa"/>
            <w:vAlign w:val="center"/>
          </w:tcPr>
          <w:p w:rsidR="00EA432B" w:rsidRDefault="00063B5D">
            <w:pPr>
              <w:jc w:val="center"/>
            </w:pPr>
            <w:r>
              <w:rPr>
                <w:sz w:val="24"/>
                <w:szCs w:val="24"/>
              </w:rPr>
              <w:t>101,462,541.65</w:t>
            </w:r>
          </w:p>
        </w:tc>
        <w:tc>
          <w:tcPr>
            <w:tcW w:w="1161" w:type="dxa"/>
            <w:vAlign w:val="center"/>
          </w:tcPr>
          <w:p w:rsidR="00EA432B" w:rsidRDefault="00063B5D" w:rsidP="000747D1">
            <w:pPr>
              <w:jc w:val="center"/>
            </w:pPr>
            <w:r>
              <w:rPr>
                <w:sz w:val="24"/>
                <w:szCs w:val="24"/>
              </w:rPr>
              <w:t>4.84</w:t>
            </w:r>
          </w:p>
        </w:tc>
        <w:tc>
          <w:tcPr>
            <w:tcW w:w="1301" w:type="dxa"/>
            <w:vAlign w:val="center"/>
          </w:tcPr>
          <w:p w:rsidR="00EA432B" w:rsidRDefault="00063B5D">
            <w:pPr>
              <w:jc w:val="center"/>
            </w:pPr>
            <w:r>
              <w:rPr>
                <w:sz w:val="24"/>
                <w:szCs w:val="24"/>
              </w:rPr>
              <w:t>否</w:t>
            </w:r>
          </w:p>
        </w:tc>
      </w:tr>
      <w:tr w:rsidR="00EA432B">
        <w:tc>
          <w:tcPr>
            <w:tcW w:w="835" w:type="dxa"/>
            <w:vAlign w:val="center"/>
          </w:tcPr>
          <w:p w:rsidR="00EA432B" w:rsidRDefault="00063B5D">
            <w:pPr>
              <w:jc w:val="center"/>
            </w:pPr>
            <w:r>
              <w:rPr>
                <w:sz w:val="24"/>
                <w:szCs w:val="24"/>
              </w:rPr>
              <w:t>6</w:t>
            </w:r>
          </w:p>
        </w:tc>
        <w:tc>
          <w:tcPr>
            <w:tcW w:w="1159" w:type="dxa"/>
            <w:vAlign w:val="center"/>
          </w:tcPr>
          <w:p w:rsidR="00EA432B" w:rsidRDefault="00063B5D">
            <w:pPr>
              <w:jc w:val="center"/>
            </w:pPr>
            <w:r>
              <w:rPr>
                <w:sz w:val="24"/>
                <w:szCs w:val="24"/>
              </w:rPr>
              <w:t>270044</w:t>
            </w:r>
          </w:p>
        </w:tc>
        <w:tc>
          <w:tcPr>
            <w:tcW w:w="1161" w:type="dxa"/>
            <w:vAlign w:val="center"/>
          </w:tcPr>
          <w:p w:rsidR="00EA432B" w:rsidRDefault="00063B5D">
            <w:pPr>
              <w:jc w:val="center"/>
            </w:pPr>
            <w:r>
              <w:rPr>
                <w:sz w:val="24"/>
                <w:szCs w:val="24"/>
              </w:rPr>
              <w:t>广发双债添利债券</w:t>
            </w:r>
            <w:r>
              <w:rPr>
                <w:sz w:val="24"/>
                <w:szCs w:val="24"/>
              </w:rPr>
              <w:t>A</w:t>
            </w:r>
          </w:p>
        </w:tc>
        <w:tc>
          <w:tcPr>
            <w:tcW w:w="1161" w:type="dxa"/>
            <w:vAlign w:val="center"/>
          </w:tcPr>
          <w:p w:rsidR="00EA432B" w:rsidRDefault="00063B5D">
            <w:pPr>
              <w:jc w:val="center"/>
            </w:pPr>
            <w:r>
              <w:rPr>
                <w:sz w:val="24"/>
                <w:szCs w:val="24"/>
              </w:rPr>
              <w:t>契约型开放式</w:t>
            </w:r>
          </w:p>
        </w:tc>
        <w:tc>
          <w:tcPr>
            <w:tcW w:w="1159" w:type="dxa"/>
            <w:vAlign w:val="center"/>
          </w:tcPr>
          <w:p w:rsidR="00EA432B" w:rsidRDefault="00063B5D">
            <w:pPr>
              <w:jc w:val="center"/>
            </w:pPr>
            <w:r>
              <w:rPr>
                <w:sz w:val="24"/>
                <w:szCs w:val="24"/>
              </w:rPr>
              <w:t>82,439,406.43</w:t>
            </w:r>
          </w:p>
        </w:tc>
        <w:tc>
          <w:tcPr>
            <w:tcW w:w="1305" w:type="dxa"/>
            <w:vAlign w:val="center"/>
          </w:tcPr>
          <w:p w:rsidR="00EA432B" w:rsidRDefault="00063B5D">
            <w:pPr>
              <w:jc w:val="center"/>
            </w:pPr>
            <w:r>
              <w:rPr>
                <w:sz w:val="24"/>
                <w:szCs w:val="24"/>
              </w:rPr>
              <w:t>99,388,948.39</w:t>
            </w:r>
          </w:p>
        </w:tc>
        <w:tc>
          <w:tcPr>
            <w:tcW w:w="1161" w:type="dxa"/>
            <w:vAlign w:val="center"/>
          </w:tcPr>
          <w:p w:rsidR="00EA432B" w:rsidRDefault="00063B5D" w:rsidP="000747D1">
            <w:pPr>
              <w:jc w:val="center"/>
            </w:pPr>
            <w:r>
              <w:rPr>
                <w:sz w:val="24"/>
                <w:szCs w:val="24"/>
              </w:rPr>
              <w:t>4.74</w:t>
            </w:r>
          </w:p>
        </w:tc>
        <w:tc>
          <w:tcPr>
            <w:tcW w:w="1301" w:type="dxa"/>
            <w:vAlign w:val="center"/>
          </w:tcPr>
          <w:p w:rsidR="00EA432B" w:rsidRDefault="00063B5D">
            <w:pPr>
              <w:jc w:val="center"/>
            </w:pPr>
            <w:r>
              <w:rPr>
                <w:sz w:val="24"/>
                <w:szCs w:val="24"/>
              </w:rPr>
              <w:t>否</w:t>
            </w:r>
          </w:p>
        </w:tc>
      </w:tr>
      <w:tr w:rsidR="00EA432B">
        <w:tc>
          <w:tcPr>
            <w:tcW w:w="835" w:type="dxa"/>
            <w:vAlign w:val="center"/>
          </w:tcPr>
          <w:p w:rsidR="00EA432B" w:rsidRDefault="00063B5D">
            <w:pPr>
              <w:jc w:val="center"/>
            </w:pPr>
            <w:r>
              <w:rPr>
                <w:sz w:val="24"/>
                <w:szCs w:val="24"/>
              </w:rPr>
              <w:t>7</w:t>
            </w:r>
          </w:p>
        </w:tc>
        <w:tc>
          <w:tcPr>
            <w:tcW w:w="1159" w:type="dxa"/>
            <w:vAlign w:val="center"/>
          </w:tcPr>
          <w:p w:rsidR="00EA432B" w:rsidRDefault="00063B5D">
            <w:pPr>
              <w:jc w:val="center"/>
            </w:pPr>
            <w:r>
              <w:rPr>
                <w:sz w:val="24"/>
                <w:szCs w:val="24"/>
              </w:rPr>
              <w:t>217022</w:t>
            </w:r>
          </w:p>
        </w:tc>
        <w:tc>
          <w:tcPr>
            <w:tcW w:w="1161" w:type="dxa"/>
            <w:vAlign w:val="center"/>
          </w:tcPr>
          <w:p w:rsidR="00EA432B" w:rsidRDefault="00063B5D">
            <w:pPr>
              <w:jc w:val="center"/>
            </w:pPr>
            <w:r>
              <w:rPr>
                <w:sz w:val="24"/>
                <w:szCs w:val="24"/>
              </w:rPr>
              <w:t>招商产业债券</w:t>
            </w:r>
            <w:r>
              <w:rPr>
                <w:sz w:val="24"/>
                <w:szCs w:val="24"/>
              </w:rPr>
              <w:t>A</w:t>
            </w:r>
          </w:p>
        </w:tc>
        <w:tc>
          <w:tcPr>
            <w:tcW w:w="1161" w:type="dxa"/>
            <w:vAlign w:val="center"/>
          </w:tcPr>
          <w:p w:rsidR="00EA432B" w:rsidRDefault="00063B5D">
            <w:pPr>
              <w:jc w:val="center"/>
            </w:pPr>
            <w:r>
              <w:rPr>
                <w:sz w:val="24"/>
                <w:szCs w:val="24"/>
              </w:rPr>
              <w:t>契约型开放式</w:t>
            </w:r>
          </w:p>
        </w:tc>
        <w:tc>
          <w:tcPr>
            <w:tcW w:w="1159" w:type="dxa"/>
            <w:vAlign w:val="center"/>
          </w:tcPr>
          <w:p w:rsidR="00EA432B" w:rsidRDefault="00063B5D">
            <w:pPr>
              <w:jc w:val="center"/>
            </w:pPr>
            <w:r>
              <w:rPr>
                <w:sz w:val="24"/>
                <w:szCs w:val="24"/>
              </w:rPr>
              <w:t>56,625,756.79</w:t>
            </w:r>
          </w:p>
        </w:tc>
        <w:tc>
          <w:tcPr>
            <w:tcW w:w="1305" w:type="dxa"/>
            <w:vAlign w:val="center"/>
          </w:tcPr>
          <w:p w:rsidR="00EA432B" w:rsidRDefault="00063B5D">
            <w:pPr>
              <w:jc w:val="center"/>
            </w:pPr>
            <w:r>
              <w:rPr>
                <w:sz w:val="24"/>
                <w:szCs w:val="24"/>
              </w:rPr>
              <w:t>81,541,089.78</w:t>
            </w:r>
          </w:p>
        </w:tc>
        <w:tc>
          <w:tcPr>
            <w:tcW w:w="1161" w:type="dxa"/>
            <w:vAlign w:val="center"/>
          </w:tcPr>
          <w:p w:rsidR="00EA432B" w:rsidRDefault="00063B5D" w:rsidP="000747D1">
            <w:pPr>
              <w:jc w:val="center"/>
            </w:pPr>
            <w:r>
              <w:rPr>
                <w:sz w:val="24"/>
                <w:szCs w:val="24"/>
              </w:rPr>
              <w:t>3.89</w:t>
            </w:r>
          </w:p>
        </w:tc>
        <w:tc>
          <w:tcPr>
            <w:tcW w:w="1301" w:type="dxa"/>
            <w:vAlign w:val="center"/>
          </w:tcPr>
          <w:p w:rsidR="00EA432B" w:rsidRDefault="00063B5D">
            <w:pPr>
              <w:jc w:val="center"/>
            </w:pPr>
            <w:r>
              <w:rPr>
                <w:sz w:val="24"/>
                <w:szCs w:val="24"/>
              </w:rPr>
              <w:t>否</w:t>
            </w:r>
          </w:p>
        </w:tc>
      </w:tr>
      <w:tr w:rsidR="00EA432B">
        <w:tc>
          <w:tcPr>
            <w:tcW w:w="835" w:type="dxa"/>
            <w:vAlign w:val="center"/>
          </w:tcPr>
          <w:p w:rsidR="00EA432B" w:rsidRDefault="00063B5D">
            <w:pPr>
              <w:jc w:val="center"/>
            </w:pPr>
            <w:r>
              <w:rPr>
                <w:sz w:val="24"/>
                <w:szCs w:val="24"/>
              </w:rPr>
              <w:t>8</w:t>
            </w:r>
          </w:p>
        </w:tc>
        <w:tc>
          <w:tcPr>
            <w:tcW w:w="1159" w:type="dxa"/>
            <w:vAlign w:val="center"/>
          </w:tcPr>
          <w:p w:rsidR="00EA432B" w:rsidRDefault="00063B5D">
            <w:pPr>
              <w:jc w:val="center"/>
            </w:pPr>
            <w:r>
              <w:rPr>
                <w:sz w:val="24"/>
                <w:szCs w:val="24"/>
              </w:rPr>
              <w:t>000694</w:t>
            </w:r>
          </w:p>
        </w:tc>
        <w:tc>
          <w:tcPr>
            <w:tcW w:w="1161" w:type="dxa"/>
            <w:vAlign w:val="center"/>
          </w:tcPr>
          <w:p w:rsidR="00EA432B" w:rsidRDefault="00063B5D">
            <w:pPr>
              <w:jc w:val="center"/>
            </w:pPr>
            <w:r>
              <w:rPr>
                <w:sz w:val="24"/>
                <w:szCs w:val="24"/>
              </w:rPr>
              <w:t>鑫元鸿利债券</w:t>
            </w:r>
          </w:p>
        </w:tc>
        <w:tc>
          <w:tcPr>
            <w:tcW w:w="1161" w:type="dxa"/>
            <w:vAlign w:val="center"/>
          </w:tcPr>
          <w:p w:rsidR="00EA432B" w:rsidRDefault="00063B5D">
            <w:pPr>
              <w:jc w:val="center"/>
            </w:pPr>
            <w:r>
              <w:rPr>
                <w:sz w:val="24"/>
                <w:szCs w:val="24"/>
              </w:rPr>
              <w:t>契约型开放式</w:t>
            </w:r>
          </w:p>
        </w:tc>
        <w:tc>
          <w:tcPr>
            <w:tcW w:w="1159" w:type="dxa"/>
            <w:vAlign w:val="center"/>
          </w:tcPr>
          <w:p w:rsidR="00EA432B" w:rsidRDefault="00063B5D">
            <w:pPr>
              <w:jc w:val="center"/>
            </w:pPr>
            <w:r>
              <w:rPr>
                <w:sz w:val="24"/>
                <w:szCs w:val="24"/>
              </w:rPr>
              <w:t>63,089,163.78</w:t>
            </w:r>
          </w:p>
        </w:tc>
        <w:tc>
          <w:tcPr>
            <w:tcW w:w="1305" w:type="dxa"/>
            <w:vAlign w:val="center"/>
          </w:tcPr>
          <w:p w:rsidR="00EA432B" w:rsidRDefault="00063B5D">
            <w:pPr>
              <w:jc w:val="center"/>
            </w:pPr>
            <w:r>
              <w:rPr>
                <w:sz w:val="24"/>
                <w:szCs w:val="24"/>
              </w:rPr>
              <w:t>81,271,460.78</w:t>
            </w:r>
          </w:p>
        </w:tc>
        <w:tc>
          <w:tcPr>
            <w:tcW w:w="1161" w:type="dxa"/>
            <w:vAlign w:val="center"/>
          </w:tcPr>
          <w:p w:rsidR="00EA432B" w:rsidRDefault="00063B5D" w:rsidP="000747D1">
            <w:pPr>
              <w:jc w:val="center"/>
            </w:pPr>
            <w:r>
              <w:rPr>
                <w:sz w:val="24"/>
                <w:szCs w:val="24"/>
              </w:rPr>
              <w:t>3.88</w:t>
            </w:r>
          </w:p>
        </w:tc>
        <w:tc>
          <w:tcPr>
            <w:tcW w:w="1301" w:type="dxa"/>
            <w:vAlign w:val="center"/>
          </w:tcPr>
          <w:p w:rsidR="00EA432B" w:rsidRDefault="00063B5D">
            <w:pPr>
              <w:jc w:val="center"/>
            </w:pPr>
            <w:r>
              <w:rPr>
                <w:sz w:val="24"/>
                <w:szCs w:val="24"/>
              </w:rPr>
              <w:t>否</w:t>
            </w:r>
          </w:p>
        </w:tc>
      </w:tr>
      <w:tr w:rsidR="00EA432B">
        <w:tc>
          <w:tcPr>
            <w:tcW w:w="835" w:type="dxa"/>
            <w:vAlign w:val="center"/>
          </w:tcPr>
          <w:p w:rsidR="00EA432B" w:rsidRDefault="00063B5D">
            <w:pPr>
              <w:jc w:val="center"/>
            </w:pPr>
            <w:r>
              <w:rPr>
                <w:sz w:val="24"/>
                <w:szCs w:val="24"/>
              </w:rPr>
              <w:t>9</w:t>
            </w:r>
          </w:p>
        </w:tc>
        <w:tc>
          <w:tcPr>
            <w:tcW w:w="1159" w:type="dxa"/>
            <w:vAlign w:val="center"/>
          </w:tcPr>
          <w:p w:rsidR="00EA432B" w:rsidRDefault="00063B5D">
            <w:pPr>
              <w:jc w:val="center"/>
            </w:pPr>
            <w:r>
              <w:rPr>
                <w:sz w:val="24"/>
                <w:szCs w:val="24"/>
              </w:rPr>
              <w:t>003382</w:t>
            </w:r>
          </w:p>
        </w:tc>
        <w:tc>
          <w:tcPr>
            <w:tcW w:w="1161" w:type="dxa"/>
            <w:vAlign w:val="center"/>
          </w:tcPr>
          <w:p w:rsidR="00EA432B" w:rsidRDefault="00063B5D">
            <w:pPr>
              <w:jc w:val="center"/>
            </w:pPr>
            <w:r>
              <w:rPr>
                <w:sz w:val="24"/>
                <w:szCs w:val="24"/>
              </w:rPr>
              <w:t>民生加银鑫享债券</w:t>
            </w:r>
            <w:r>
              <w:rPr>
                <w:sz w:val="24"/>
                <w:szCs w:val="24"/>
              </w:rPr>
              <w:t>A</w:t>
            </w:r>
          </w:p>
        </w:tc>
        <w:tc>
          <w:tcPr>
            <w:tcW w:w="1161" w:type="dxa"/>
            <w:vAlign w:val="center"/>
          </w:tcPr>
          <w:p w:rsidR="00EA432B" w:rsidRDefault="00063B5D">
            <w:pPr>
              <w:jc w:val="center"/>
            </w:pPr>
            <w:r>
              <w:rPr>
                <w:sz w:val="24"/>
                <w:szCs w:val="24"/>
              </w:rPr>
              <w:t>契约型开放式</w:t>
            </w:r>
          </w:p>
        </w:tc>
        <w:tc>
          <w:tcPr>
            <w:tcW w:w="1159" w:type="dxa"/>
            <w:vAlign w:val="center"/>
          </w:tcPr>
          <w:p w:rsidR="00EA432B" w:rsidRDefault="00063B5D">
            <w:pPr>
              <w:jc w:val="center"/>
            </w:pPr>
            <w:r>
              <w:rPr>
                <w:sz w:val="24"/>
                <w:szCs w:val="24"/>
              </w:rPr>
              <w:t>61,080,173.60</w:t>
            </w:r>
          </w:p>
        </w:tc>
        <w:tc>
          <w:tcPr>
            <w:tcW w:w="1305" w:type="dxa"/>
            <w:vAlign w:val="center"/>
          </w:tcPr>
          <w:p w:rsidR="00EA432B" w:rsidRDefault="00063B5D">
            <w:pPr>
              <w:jc w:val="center"/>
            </w:pPr>
            <w:r>
              <w:rPr>
                <w:sz w:val="24"/>
                <w:szCs w:val="24"/>
              </w:rPr>
              <w:t>70,150,579.38</w:t>
            </w:r>
          </w:p>
        </w:tc>
        <w:tc>
          <w:tcPr>
            <w:tcW w:w="1161" w:type="dxa"/>
            <w:vAlign w:val="center"/>
          </w:tcPr>
          <w:p w:rsidR="00EA432B" w:rsidRDefault="00063B5D" w:rsidP="000747D1">
            <w:pPr>
              <w:jc w:val="center"/>
            </w:pPr>
            <w:r>
              <w:rPr>
                <w:sz w:val="24"/>
                <w:szCs w:val="24"/>
              </w:rPr>
              <w:t>3.35</w:t>
            </w:r>
          </w:p>
        </w:tc>
        <w:tc>
          <w:tcPr>
            <w:tcW w:w="1301" w:type="dxa"/>
            <w:vAlign w:val="center"/>
          </w:tcPr>
          <w:p w:rsidR="00EA432B" w:rsidRDefault="00063B5D">
            <w:pPr>
              <w:jc w:val="center"/>
            </w:pPr>
            <w:r>
              <w:rPr>
                <w:sz w:val="24"/>
                <w:szCs w:val="24"/>
              </w:rPr>
              <w:t>否</w:t>
            </w:r>
          </w:p>
        </w:tc>
      </w:tr>
      <w:tr w:rsidR="00EA432B">
        <w:tc>
          <w:tcPr>
            <w:tcW w:w="835" w:type="dxa"/>
            <w:vAlign w:val="center"/>
          </w:tcPr>
          <w:p w:rsidR="00EA432B" w:rsidRDefault="00063B5D">
            <w:pPr>
              <w:jc w:val="center"/>
            </w:pPr>
            <w:r>
              <w:rPr>
                <w:sz w:val="24"/>
                <w:szCs w:val="24"/>
              </w:rPr>
              <w:t>10</w:t>
            </w:r>
          </w:p>
        </w:tc>
        <w:tc>
          <w:tcPr>
            <w:tcW w:w="1159" w:type="dxa"/>
            <w:vAlign w:val="center"/>
          </w:tcPr>
          <w:p w:rsidR="00EA432B" w:rsidRDefault="00063B5D">
            <w:pPr>
              <w:jc w:val="center"/>
            </w:pPr>
            <w:r>
              <w:rPr>
                <w:sz w:val="24"/>
                <w:szCs w:val="24"/>
              </w:rPr>
              <w:t>519702</w:t>
            </w:r>
          </w:p>
        </w:tc>
        <w:tc>
          <w:tcPr>
            <w:tcW w:w="1161" w:type="dxa"/>
            <w:vAlign w:val="center"/>
          </w:tcPr>
          <w:p w:rsidR="00EA432B" w:rsidRDefault="00063B5D">
            <w:pPr>
              <w:jc w:val="center"/>
            </w:pPr>
            <w:r>
              <w:rPr>
                <w:sz w:val="24"/>
                <w:szCs w:val="24"/>
              </w:rPr>
              <w:t>交银趋势优先混合</w:t>
            </w:r>
          </w:p>
        </w:tc>
        <w:tc>
          <w:tcPr>
            <w:tcW w:w="1161" w:type="dxa"/>
            <w:vAlign w:val="center"/>
          </w:tcPr>
          <w:p w:rsidR="00EA432B" w:rsidRDefault="00063B5D">
            <w:pPr>
              <w:jc w:val="center"/>
            </w:pPr>
            <w:r>
              <w:rPr>
                <w:sz w:val="24"/>
                <w:szCs w:val="24"/>
              </w:rPr>
              <w:t>契约型开放式</w:t>
            </w:r>
          </w:p>
        </w:tc>
        <w:tc>
          <w:tcPr>
            <w:tcW w:w="1159" w:type="dxa"/>
            <w:vAlign w:val="center"/>
          </w:tcPr>
          <w:p w:rsidR="00EA432B" w:rsidRDefault="00063B5D">
            <w:pPr>
              <w:jc w:val="center"/>
            </w:pPr>
            <w:r>
              <w:rPr>
                <w:sz w:val="24"/>
                <w:szCs w:val="24"/>
              </w:rPr>
              <w:t>40,479,924.61</w:t>
            </w:r>
          </w:p>
        </w:tc>
        <w:tc>
          <w:tcPr>
            <w:tcW w:w="1305" w:type="dxa"/>
            <w:vAlign w:val="center"/>
          </w:tcPr>
          <w:p w:rsidR="00EA432B" w:rsidRDefault="00063B5D">
            <w:pPr>
              <w:jc w:val="center"/>
            </w:pPr>
            <w:r>
              <w:rPr>
                <w:sz w:val="24"/>
                <w:szCs w:val="24"/>
              </w:rPr>
              <w:t>63,998,760.81</w:t>
            </w:r>
          </w:p>
        </w:tc>
        <w:tc>
          <w:tcPr>
            <w:tcW w:w="1161" w:type="dxa"/>
            <w:vAlign w:val="center"/>
          </w:tcPr>
          <w:p w:rsidR="00EA432B" w:rsidRDefault="00063B5D" w:rsidP="000747D1">
            <w:pPr>
              <w:jc w:val="center"/>
            </w:pPr>
            <w:r>
              <w:rPr>
                <w:sz w:val="24"/>
                <w:szCs w:val="24"/>
              </w:rPr>
              <w:t>3.05</w:t>
            </w:r>
          </w:p>
        </w:tc>
        <w:tc>
          <w:tcPr>
            <w:tcW w:w="1301" w:type="dxa"/>
            <w:vAlign w:val="center"/>
          </w:tcPr>
          <w:p w:rsidR="00EA432B" w:rsidRDefault="00063B5D">
            <w:pPr>
              <w:jc w:val="center"/>
            </w:pPr>
            <w:r>
              <w:rPr>
                <w:sz w:val="24"/>
                <w:szCs w:val="24"/>
              </w:rPr>
              <w:t>是</w:t>
            </w:r>
          </w:p>
        </w:tc>
      </w:tr>
    </w:tbl>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C3CE8" w:rsidRPr="004C3CE8" w:rsidRDefault="004C3CE8" w:rsidP="004C3CE8">
      <w:pPr>
        <w:adjustRightInd w:val="0"/>
        <w:snapToGrid w:val="0"/>
        <w:spacing w:line="360" w:lineRule="auto"/>
        <w:rPr>
          <w:rFonts w:eastAsiaTheme="minorEastAsia"/>
          <w:b/>
          <w:color w:val="000000" w:themeColor="text1"/>
          <w:kern w:val="0"/>
          <w:sz w:val="24"/>
          <w:szCs w:val="24"/>
        </w:rPr>
      </w:pPr>
      <w:r w:rsidRPr="004C3CE8">
        <w:rPr>
          <w:rFonts w:eastAsiaTheme="minorEastAsia" w:hint="eastAsia"/>
          <w:b/>
          <w:color w:val="000000" w:themeColor="text1"/>
          <w:kern w:val="0"/>
          <w:sz w:val="24"/>
          <w:szCs w:val="24"/>
        </w:rPr>
        <w:t xml:space="preserve">6.2 </w:t>
      </w:r>
      <w:r w:rsidRPr="004C3CE8">
        <w:rPr>
          <w:rFonts w:eastAsiaTheme="minorEastAsia" w:hint="eastAsia"/>
          <w:b/>
          <w:color w:val="000000" w:themeColor="text1"/>
          <w:kern w:val="0"/>
          <w:sz w:val="24"/>
          <w:szCs w:val="24"/>
        </w:rPr>
        <w:t>当期交易及持有基金产生的费用</w:t>
      </w:r>
    </w:p>
    <w:tbl>
      <w:tblPr>
        <w:tblW w:w="0" w:type="auto"/>
        <w:tblCellMar>
          <w:left w:w="0" w:type="dxa"/>
          <w:right w:w="0" w:type="dxa"/>
        </w:tblCellMar>
        <w:tblLook w:val="04A0" w:firstRow="1" w:lastRow="0" w:firstColumn="1" w:lastColumn="0" w:noHBand="0" w:noVBand="1"/>
      </w:tblPr>
      <w:tblGrid>
        <w:gridCol w:w="3012"/>
        <w:gridCol w:w="3012"/>
        <w:gridCol w:w="3012"/>
      </w:tblGrid>
      <w:tr w:rsidR="004C3CE8" w:rsidRPr="004C3CE8" w:rsidTr="004C3CE8">
        <w:tc>
          <w:tcPr>
            <w:tcW w:w="30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jc w:val="center"/>
              <w:rPr>
                <w:rFonts w:eastAsia="等线" w:cs="宋体"/>
                <w:color w:val="000000"/>
                <w:kern w:val="0"/>
                <w:sz w:val="24"/>
                <w:szCs w:val="24"/>
              </w:rPr>
            </w:pPr>
            <w:r w:rsidRPr="004C3CE8">
              <w:rPr>
                <w:rFonts w:cs="宋体" w:hint="eastAsia"/>
                <w:kern w:val="0"/>
                <w:sz w:val="24"/>
                <w:szCs w:val="24"/>
              </w:rPr>
              <w:t>项目</w:t>
            </w:r>
          </w:p>
        </w:tc>
        <w:tc>
          <w:tcPr>
            <w:tcW w:w="30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pacing w:line="276" w:lineRule="auto"/>
              <w:jc w:val="center"/>
              <w:rPr>
                <w:rFonts w:eastAsia="等线" w:cs="宋体" w:hint="eastAsia"/>
                <w:kern w:val="0"/>
                <w:sz w:val="24"/>
                <w:szCs w:val="24"/>
              </w:rPr>
            </w:pPr>
            <w:r w:rsidRPr="004C3CE8">
              <w:rPr>
                <w:rFonts w:cs="宋体" w:hint="eastAsia"/>
                <w:kern w:val="0"/>
                <w:sz w:val="24"/>
                <w:szCs w:val="24"/>
              </w:rPr>
              <w:t>本期费用</w:t>
            </w:r>
          </w:p>
        </w:tc>
        <w:tc>
          <w:tcPr>
            <w:tcW w:w="30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pacing w:line="276" w:lineRule="auto"/>
              <w:jc w:val="center"/>
              <w:rPr>
                <w:rFonts w:eastAsia="等线" w:cs="宋体" w:hint="eastAsia"/>
                <w:kern w:val="0"/>
                <w:sz w:val="24"/>
                <w:szCs w:val="24"/>
              </w:rPr>
            </w:pPr>
            <w:r w:rsidRPr="004C3CE8">
              <w:rPr>
                <w:rFonts w:cs="宋体" w:hint="eastAsia"/>
                <w:kern w:val="0"/>
                <w:sz w:val="24"/>
                <w:szCs w:val="24"/>
              </w:rPr>
              <w:t>其中：交易及持有基金管理人以及管理人关联方所管理基金产生的费用</w:t>
            </w:r>
          </w:p>
        </w:tc>
      </w:tr>
      <w:tr w:rsidR="004C3CE8" w:rsidRPr="004C3CE8" w:rsidTr="004C3CE8">
        <w:tc>
          <w:tcPr>
            <w:tcW w:w="3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rPr>
                <w:rFonts w:eastAsia="等线" w:cs="宋体" w:hint="eastAsia"/>
                <w:color w:val="000000"/>
                <w:kern w:val="0"/>
                <w:sz w:val="24"/>
                <w:szCs w:val="24"/>
              </w:rPr>
            </w:pPr>
            <w:r w:rsidRPr="004C3CE8">
              <w:rPr>
                <w:rFonts w:cs="宋体" w:hint="eastAsia"/>
                <w:kern w:val="0"/>
                <w:sz w:val="24"/>
                <w:szCs w:val="24"/>
              </w:rPr>
              <w:t>当期交易基金产生的申购费（元）</w:t>
            </w:r>
          </w:p>
        </w:tc>
        <w:tc>
          <w:tcPr>
            <w:tcW w:w="3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jc w:val="right"/>
              <w:rPr>
                <w:rFonts w:eastAsia="等线" w:cs="宋体" w:hint="eastAsia"/>
                <w:color w:val="000000"/>
                <w:kern w:val="0"/>
                <w:sz w:val="24"/>
                <w:szCs w:val="24"/>
              </w:rPr>
            </w:pPr>
            <w:r w:rsidRPr="004C3CE8">
              <w:rPr>
                <w:rFonts w:eastAsia="等线" w:cs="宋体" w:hint="eastAsia"/>
                <w:color w:val="000000"/>
                <w:kern w:val="0"/>
                <w:sz w:val="24"/>
                <w:szCs w:val="24"/>
              </w:rPr>
              <w:t>7,000.00</w:t>
            </w:r>
          </w:p>
        </w:tc>
        <w:tc>
          <w:tcPr>
            <w:tcW w:w="3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jc w:val="right"/>
              <w:rPr>
                <w:rFonts w:eastAsia="等线" w:cs="宋体" w:hint="eastAsia"/>
                <w:color w:val="000000"/>
                <w:kern w:val="0"/>
                <w:sz w:val="24"/>
                <w:szCs w:val="24"/>
              </w:rPr>
            </w:pPr>
            <w:r w:rsidRPr="004C3CE8">
              <w:rPr>
                <w:rFonts w:eastAsia="等线" w:cs="宋体" w:hint="eastAsia"/>
                <w:color w:val="000000"/>
                <w:kern w:val="0"/>
                <w:sz w:val="24"/>
                <w:szCs w:val="24"/>
              </w:rPr>
              <w:t>-</w:t>
            </w:r>
          </w:p>
        </w:tc>
      </w:tr>
      <w:tr w:rsidR="004C3CE8" w:rsidRPr="004C3CE8" w:rsidTr="004C3CE8">
        <w:tc>
          <w:tcPr>
            <w:tcW w:w="3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rPr>
                <w:rFonts w:eastAsia="等线" w:cs="宋体" w:hint="eastAsia"/>
                <w:color w:val="000000"/>
                <w:kern w:val="0"/>
                <w:sz w:val="24"/>
                <w:szCs w:val="24"/>
              </w:rPr>
            </w:pPr>
            <w:r w:rsidRPr="004C3CE8">
              <w:rPr>
                <w:rFonts w:cs="宋体" w:hint="eastAsia"/>
                <w:kern w:val="0"/>
                <w:sz w:val="24"/>
                <w:szCs w:val="24"/>
              </w:rPr>
              <w:t>当期交易基金产生的赎回费（元）</w:t>
            </w:r>
          </w:p>
        </w:tc>
        <w:tc>
          <w:tcPr>
            <w:tcW w:w="3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jc w:val="right"/>
              <w:rPr>
                <w:rFonts w:eastAsia="等线" w:cs="宋体" w:hint="eastAsia"/>
                <w:color w:val="000000"/>
                <w:kern w:val="0"/>
                <w:sz w:val="24"/>
                <w:szCs w:val="24"/>
              </w:rPr>
            </w:pPr>
            <w:bookmarkStart w:id="0" w:name="_GoBack"/>
            <w:bookmarkEnd w:id="0"/>
            <w:r w:rsidRPr="004C3CE8">
              <w:rPr>
                <w:rFonts w:eastAsia="等线" w:cs="宋体" w:hint="eastAsia"/>
                <w:color w:val="000000"/>
                <w:kern w:val="0"/>
                <w:sz w:val="24"/>
                <w:szCs w:val="24"/>
              </w:rPr>
              <w:t>-</w:t>
            </w:r>
          </w:p>
        </w:tc>
        <w:tc>
          <w:tcPr>
            <w:tcW w:w="3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jc w:val="right"/>
              <w:rPr>
                <w:rFonts w:eastAsia="等线" w:cs="宋体" w:hint="eastAsia"/>
                <w:color w:val="000000"/>
                <w:kern w:val="0"/>
                <w:sz w:val="24"/>
                <w:szCs w:val="24"/>
              </w:rPr>
            </w:pPr>
            <w:r w:rsidRPr="004C3CE8">
              <w:rPr>
                <w:rFonts w:eastAsia="等线" w:cs="宋体" w:hint="eastAsia"/>
                <w:color w:val="000000"/>
                <w:kern w:val="0"/>
                <w:sz w:val="24"/>
                <w:szCs w:val="24"/>
              </w:rPr>
              <w:t>-</w:t>
            </w:r>
          </w:p>
        </w:tc>
      </w:tr>
      <w:tr w:rsidR="004C3CE8" w:rsidRPr="004C3CE8" w:rsidTr="004C3CE8">
        <w:tc>
          <w:tcPr>
            <w:tcW w:w="3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rPr>
                <w:rFonts w:eastAsia="等线" w:cs="宋体" w:hint="eastAsia"/>
                <w:color w:val="000000"/>
                <w:kern w:val="0"/>
                <w:sz w:val="24"/>
                <w:szCs w:val="24"/>
              </w:rPr>
            </w:pPr>
            <w:r w:rsidRPr="004C3CE8">
              <w:rPr>
                <w:rFonts w:cs="宋体" w:hint="eastAsia"/>
                <w:kern w:val="0"/>
                <w:sz w:val="24"/>
                <w:szCs w:val="24"/>
              </w:rPr>
              <w:t>当期持有基金产生的应支付销售服务费（元）</w:t>
            </w:r>
          </w:p>
        </w:tc>
        <w:tc>
          <w:tcPr>
            <w:tcW w:w="3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jc w:val="right"/>
              <w:rPr>
                <w:rFonts w:eastAsia="等线" w:cs="宋体" w:hint="eastAsia"/>
                <w:color w:val="000000"/>
                <w:kern w:val="0"/>
                <w:sz w:val="24"/>
                <w:szCs w:val="24"/>
              </w:rPr>
            </w:pPr>
            <w:r w:rsidRPr="004C3CE8">
              <w:rPr>
                <w:rFonts w:eastAsia="等线" w:cs="宋体" w:hint="eastAsia"/>
                <w:color w:val="000000"/>
                <w:kern w:val="0"/>
                <w:sz w:val="24"/>
                <w:szCs w:val="24"/>
              </w:rPr>
              <w:t>254,409.66</w:t>
            </w:r>
          </w:p>
        </w:tc>
        <w:tc>
          <w:tcPr>
            <w:tcW w:w="3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jc w:val="right"/>
              <w:rPr>
                <w:rFonts w:eastAsia="等线" w:cs="宋体" w:hint="eastAsia"/>
                <w:color w:val="000000"/>
                <w:kern w:val="0"/>
                <w:sz w:val="24"/>
                <w:szCs w:val="24"/>
              </w:rPr>
            </w:pPr>
            <w:r w:rsidRPr="004C3CE8">
              <w:rPr>
                <w:rFonts w:eastAsia="等线" w:cs="宋体" w:hint="eastAsia"/>
                <w:color w:val="000000"/>
                <w:kern w:val="0"/>
                <w:sz w:val="24"/>
                <w:szCs w:val="24"/>
              </w:rPr>
              <w:t>52,009.71</w:t>
            </w:r>
          </w:p>
        </w:tc>
      </w:tr>
      <w:tr w:rsidR="004C3CE8" w:rsidRPr="004C3CE8" w:rsidTr="004C3CE8">
        <w:tc>
          <w:tcPr>
            <w:tcW w:w="3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rPr>
                <w:rFonts w:eastAsia="等线" w:cs="宋体" w:hint="eastAsia"/>
                <w:color w:val="000000"/>
                <w:kern w:val="0"/>
                <w:sz w:val="24"/>
                <w:szCs w:val="24"/>
              </w:rPr>
            </w:pPr>
            <w:r w:rsidRPr="004C3CE8">
              <w:rPr>
                <w:rFonts w:cs="宋体" w:hint="eastAsia"/>
                <w:kern w:val="0"/>
                <w:sz w:val="24"/>
                <w:szCs w:val="24"/>
              </w:rPr>
              <w:t>当期持有基金产生的应支付管理费（元）</w:t>
            </w:r>
          </w:p>
        </w:tc>
        <w:tc>
          <w:tcPr>
            <w:tcW w:w="3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jc w:val="right"/>
              <w:rPr>
                <w:rFonts w:eastAsia="等线" w:cs="宋体" w:hint="eastAsia"/>
                <w:color w:val="000000"/>
                <w:kern w:val="0"/>
                <w:sz w:val="24"/>
                <w:szCs w:val="24"/>
              </w:rPr>
            </w:pPr>
            <w:r w:rsidRPr="004C3CE8">
              <w:rPr>
                <w:rFonts w:eastAsia="等线" w:cs="宋体" w:hint="eastAsia"/>
                <w:color w:val="000000"/>
                <w:kern w:val="0"/>
                <w:sz w:val="24"/>
                <w:szCs w:val="24"/>
              </w:rPr>
              <w:t>2,581,825.84</w:t>
            </w:r>
          </w:p>
        </w:tc>
        <w:tc>
          <w:tcPr>
            <w:tcW w:w="3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jc w:val="right"/>
              <w:rPr>
                <w:rFonts w:eastAsia="等线" w:cs="宋体" w:hint="eastAsia"/>
                <w:color w:val="000000"/>
                <w:kern w:val="0"/>
                <w:sz w:val="24"/>
                <w:szCs w:val="24"/>
              </w:rPr>
            </w:pPr>
            <w:r w:rsidRPr="004C3CE8">
              <w:rPr>
                <w:rFonts w:eastAsia="等线" w:cs="宋体" w:hint="eastAsia"/>
                <w:color w:val="000000"/>
                <w:kern w:val="0"/>
                <w:sz w:val="24"/>
                <w:szCs w:val="24"/>
              </w:rPr>
              <w:t>896,251.13</w:t>
            </w:r>
          </w:p>
        </w:tc>
      </w:tr>
      <w:tr w:rsidR="004C3CE8" w:rsidRPr="004C3CE8" w:rsidTr="004C3CE8">
        <w:tc>
          <w:tcPr>
            <w:tcW w:w="3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rPr>
                <w:rFonts w:eastAsia="等线" w:cs="宋体" w:hint="eastAsia"/>
                <w:color w:val="000000"/>
                <w:kern w:val="0"/>
                <w:sz w:val="24"/>
                <w:szCs w:val="24"/>
              </w:rPr>
            </w:pPr>
            <w:r w:rsidRPr="004C3CE8">
              <w:rPr>
                <w:rFonts w:cs="宋体" w:hint="eastAsia"/>
                <w:kern w:val="0"/>
                <w:sz w:val="24"/>
                <w:szCs w:val="24"/>
              </w:rPr>
              <w:t>当期持有基金产生的应支付托管费（元）</w:t>
            </w:r>
          </w:p>
        </w:tc>
        <w:tc>
          <w:tcPr>
            <w:tcW w:w="3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jc w:val="right"/>
              <w:rPr>
                <w:rFonts w:eastAsia="等线" w:cs="宋体" w:hint="eastAsia"/>
                <w:color w:val="000000"/>
                <w:kern w:val="0"/>
                <w:sz w:val="24"/>
                <w:szCs w:val="24"/>
              </w:rPr>
            </w:pPr>
            <w:r w:rsidRPr="004C3CE8">
              <w:rPr>
                <w:rFonts w:eastAsia="等线" w:cs="宋体" w:hint="eastAsia"/>
                <w:color w:val="000000"/>
                <w:kern w:val="0"/>
                <w:sz w:val="24"/>
                <w:szCs w:val="24"/>
              </w:rPr>
              <w:t>729,745.07</w:t>
            </w:r>
          </w:p>
        </w:tc>
        <w:tc>
          <w:tcPr>
            <w:tcW w:w="3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snapToGrid w:val="0"/>
              <w:spacing w:beforeLines="50" w:before="156" w:line="276" w:lineRule="auto"/>
              <w:jc w:val="right"/>
              <w:rPr>
                <w:rFonts w:eastAsia="等线" w:cs="宋体" w:hint="eastAsia"/>
                <w:color w:val="000000"/>
                <w:kern w:val="0"/>
                <w:sz w:val="24"/>
                <w:szCs w:val="24"/>
              </w:rPr>
            </w:pPr>
            <w:r w:rsidRPr="004C3CE8">
              <w:rPr>
                <w:rFonts w:eastAsia="等线" w:cs="宋体" w:hint="eastAsia"/>
                <w:color w:val="000000"/>
                <w:kern w:val="0"/>
                <w:sz w:val="24"/>
                <w:szCs w:val="24"/>
              </w:rPr>
              <w:t>268,899.19</w:t>
            </w:r>
          </w:p>
        </w:tc>
      </w:tr>
      <w:tr w:rsidR="004C3CE8" w:rsidRPr="004C3CE8" w:rsidTr="004C3CE8">
        <w:trPr>
          <w:trHeight w:val="648"/>
        </w:trPr>
        <w:tc>
          <w:tcPr>
            <w:tcW w:w="3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jc w:val="left"/>
              <w:rPr>
                <w:rFonts w:eastAsia="等线" w:cs="宋体" w:hint="eastAsia"/>
                <w:kern w:val="0"/>
                <w:sz w:val="20"/>
                <w:szCs w:val="20"/>
              </w:rPr>
            </w:pPr>
            <w:r w:rsidRPr="004C3CE8">
              <w:rPr>
                <w:rFonts w:cs="宋体" w:hint="eastAsia"/>
                <w:color w:val="000000"/>
                <w:kern w:val="0"/>
                <w:sz w:val="24"/>
                <w:szCs w:val="24"/>
              </w:rPr>
              <w:t>基金交易费用</w:t>
            </w:r>
            <w:r w:rsidRPr="004C3CE8">
              <w:rPr>
                <w:rFonts w:cs="宋体" w:hint="eastAsia"/>
                <w:kern w:val="0"/>
                <w:sz w:val="24"/>
                <w:szCs w:val="24"/>
              </w:rPr>
              <w:t>（元）</w:t>
            </w:r>
          </w:p>
        </w:tc>
        <w:tc>
          <w:tcPr>
            <w:tcW w:w="3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jc w:val="right"/>
              <w:rPr>
                <w:rFonts w:eastAsia="等线" w:cs="宋体" w:hint="eastAsia"/>
                <w:kern w:val="0"/>
                <w:sz w:val="20"/>
                <w:szCs w:val="20"/>
              </w:rPr>
            </w:pPr>
            <w:r w:rsidRPr="004C3CE8">
              <w:rPr>
                <w:rFonts w:eastAsia="等线" w:cs="宋体" w:hint="eastAsia"/>
                <w:color w:val="000000"/>
                <w:kern w:val="0"/>
                <w:sz w:val="24"/>
                <w:szCs w:val="24"/>
              </w:rPr>
              <w:t>2,561.83</w:t>
            </w:r>
          </w:p>
        </w:tc>
        <w:tc>
          <w:tcPr>
            <w:tcW w:w="3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8" w:rsidRPr="004C3CE8" w:rsidRDefault="004C3CE8" w:rsidP="004C3CE8">
            <w:pPr>
              <w:widowControl/>
              <w:jc w:val="right"/>
              <w:rPr>
                <w:rFonts w:eastAsia="等线" w:cs="宋体" w:hint="eastAsia"/>
                <w:kern w:val="0"/>
                <w:sz w:val="20"/>
                <w:szCs w:val="20"/>
              </w:rPr>
            </w:pPr>
            <w:r w:rsidRPr="004C3CE8">
              <w:rPr>
                <w:rFonts w:eastAsia="等线" w:cs="宋体" w:hint="eastAsia"/>
                <w:color w:val="000000"/>
                <w:kern w:val="0"/>
                <w:sz w:val="24"/>
                <w:szCs w:val="24"/>
              </w:rPr>
              <w:t>-</w:t>
            </w:r>
          </w:p>
        </w:tc>
      </w:tr>
    </w:tbl>
    <w:p w:rsidR="004C3CE8" w:rsidRPr="004C3CE8" w:rsidRDefault="004C3CE8" w:rsidP="004C3CE8">
      <w:pPr>
        <w:widowControl/>
        <w:autoSpaceDE w:val="0"/>
        <w:autoSpaceDN w:val="0"/>
        <w:spacing w:line="360" w:lineRule="auto"/>
        <w:ind w:firstLine="480"/>
        <w:jc w:val="left"/>
        <w:rPr>
          <w:rFonts w:eastAsia="等线" w:hint="eastAsia"/>
          <w:color w:val="000000"/>
          <w:kern w:val="0"/>
          <w:sz w:val="24"/>
          <w:szCs w:val="24"/>
        </w:rPr>
      </w:pPr>
      <w:r w:rsidRPr="004C3CE8">
        <w:rPr>
          <w:rFonts w:ascii="宋体" w:hAnsi="宋体" w:cs="宋体" w:hint="eastAsia"/>
          <w:color w:val="000000"/>
          <w:kern w:val="0"/>
          <w:sz w:val="24"/>
          <w:szCs w:val="24"/>
        </w:rPr>
        <w:t>注：上述当期持有基金产生的应支付销售服务费、当期持有基金产生的应支付管理费、当期持有基金产生的应支付托管费，是根据被投资基金的实际持仓情况和被投资基金的基金合同约定费率估算得出。该三项费用根据被投资基金的基金合同约定已经作为</w:t>
      </w:r>
      <w:r w:rsidRPr="004C3CE8">
        <w:rPr>
          <w:rFonts w:ascii="宋体" w:hAnsi="宋体" w:cs="宋体" w:hint="eastAsia"/>
          <w:color w:val="000000"/>
          <w:kern w:val="0"/>
          <w:sz w:val="24"/>
          <w:szCs w:val="24"/>
        </w:rPr>
        <w:lastRenderedPageBreak/>
        <w:t>费用计入被投资基金的基金份额净值，已在本基金所持有基金的净值中体现，不构成本基金的费用。</w:t>
      </w:r>
    </w:p>
    <w:p w:rsidR="004046D7" w:rsidRPr="004C3CE8" w:rsidRDefault="004C3CE8" w:rsidP="004C3CE8">
      <w:pPr>
        <w:widowControl/>
        <w:autoSpaceDE w:val="0"/>
        <w:autoSpaceDN w:val="0"/>
        <w:spacing w:line="360" w:lineRule="auto"/>
        <w:ind w:firstLine="480"/>
        <w:jc w:val="left"/>
        <w:rPr>
          <w:rFonts w:ascii="等线" w:eastAsia="等线" w:hAnsi="等线" w:cs="宋体" w:hint="eastAsia"/>
          <w:color w:val="000000"/>
          <w:kern w:val="0"/>
          <w:sz w:val="24"/>
          <w:szCs w:val="24"/>
        </w:rPr>
      </w:pPr>
      <w:r w:rsidRPr="004C3CE8">
        <w:rPr>
          <w:rFonts w:ascii="宋体" w:hAnsi="宋体" w:cs="宋体" w:hint="eastAsia"/>
          <w:color w:val="000000"/>
          <w:kern w:val="0"/>
          <w:sz w:val="24"/>
          <w:szCs w:val="24"/>
        </w:rPr>
        <w:t>根据相关法律法规及本基金合同的约定，基金管理人不得对基金中基金财产中持有的自身管理的基金部分收取基金中基金的管理费，基金托管人不得对基金中基金财产中持有的自身托管的基金部分收取基金中基金的托管费。基金管理人运用本基金财产申购自身管理的其他基金的（</w:t>
      </w:r>
      <w:r w:rsidRPr="004C3CE8">
        <w:rPr>
          <w:rFonts w:ascii="等线" w:eastAsia="等线" w:hAnsi="等线" w:cs="宋体" w:hint="eastAsia"/>
          <w:color w:val="000000"/>
          <w:kern w:val="0"/>
          <w:sz w:val="24"/>
          <w:szCs w:val="24"/>
        </w:rPr>
        <w:t>ETF</w:t>
      </w:r>
      <w:r w:rsidRPr="004C3CE8">
        <w:rPr>
          <w:rFonts w:ascii="宋体" w:hAnsi="宋体" w:cs="宋体" w:hint="eastAsia"/>
          <w:color w:val="000000"/>
          <w:kern w:val="0"/>
          <w:sz w:val="24"/>
          <w:szCs w:val="24"/>
        </w:rPr>
        <w:t>除外），应当通过直销渠道申购且不收取申购费、赎回费（按照相关法规、基金招募说明书约定应当收取，并计入基金资产的赎回费用除外）、销售服务费等销售费用，其中申购费、赎回费在实际申购、赎回时按上述规定执行，销售服务费由本基金管理人从被投资基金收取后返还至本</w:t>
      </w:r>
      <w:proofErr w:type="gramStart"/>
      <w:r w:rsidRPr="004C3CE8">
        <w:rPr>
          <w:rFonts w:ascii="宋体" w:hAnsi="宋体" w:cs="宋体" w:hint="eastAsia"/>
          <w:color w:val="000000"/>
          <w:kern w:val="0"/>
          <w:sz w:val="24"/>
          <w:szCs w:val="24"/>
        </w:rPr>
        <w:t>基金基金</w:t>
      </w:r>
      <w:proofErr w:type="gramEnd"/>
      <w:r w:rsidRPr="004C3CE8">
        <w:rPr>
          <w:rFonts w:ascii="宋体" w:hAnsi="宋体" w:cs="宋体" w:hint="eastAsia"/>
          <w:color w:val="000000"/>
          <w:kern w:val="0"/>
          <w:sz w:val="24"/>
          <w:szCs w:val="24"/>
        </w:rPr>
        <w:t>资产。</w:t>
      </w:r>
    </w:p>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046D7" w:rsidRPr="00575270" w:rsidRDefault="004046D7" w:rsidP="004046D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4046D7" w:rsidRPr="00575270" w:rsidTr="00B32CA0">
        <w:tc>
          <w:tcPr>
            <w:tcW w:w="9036" w:type="dxa"/>
          </w:tcPr>
          <w:p w:rsidR="004046D7" w:rsidRPr="00575270" w:rsidRDefault="004046D7" w:rsidP="00B32CA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2,044,836,406.46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8,907,023.40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2,053,743,429.86</w:t>
            </w:r>
          </w:p>
        </w:tc>
      </w:tr>
    </w:tbl>
    <w:p w:rsidR="00EA432B" w:rsidRDefault="00063B5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A432B" w:rsidRDefault="00063B5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、中国证监会准予交银施罗德安享稳健养老目标一年持有期混合型基金中基金（</w:t>
      </w:r>
      <w:r>
        <w:rPr>
          <w:color w:val="000000"/>
          <w:sz w:val="24"/>
          <w:szCs w:val="24"/>
        </w:rPr>
        <w:t>FOF</w:t>
      </w:r>
      <w:r>
        <w:rPr>
          <w:color w:val="000000"/>
          <w:sz w:val="24"/>
          <w:szCs w:val="24"/>
        </w:rPr>
        <w:t>）募集注册的文件；</w:t>
      </w:r>
      <w:r>
        <w:rPr>
          <w:color w:val="000000"/>
          <w:sz w:val="24"/>
          <w:szCs w:val="24"/>
        </w:rPr>
        <w:t xml:space="preserve"> </w:t>
      </w:r>
    </w:p>
    <w:p w:rsidR="00EA432B" w:rsidRDefault="00063B5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、《交银施罗德安享稳健养老目标一年持有期混合型基金中基金（</w:t>
      </w:r>
      <w:r>
        <w:rPr>
          <w:color w:val="000000"/>
          <w:sz w:val="24"/>
          <w:szCs w:val="24"/>
        </w:rPr>
        <w:t>FOF</w:t>
      </w:r>
      <w:r>
        <w:rPr>
          <w:color w:val="000000"/>
          <w:sz w:val="24"/>
          <w:szCs w:val="24"/>
        </w:rPr>
        <w:t>）基金合同》；</w:t>
      </w:r>
      <w:r>
        <w:rPr>
          <w:color w:val="000000"/>
          <w:sz w:val="24"/>
          <w:szCs w:val="24"/>
        </w:rPr>
        <w:t xml:space="preserve"> </w:t>
      </w:r>
    </w:p>
    <w:p w:rsidR="00EA432B" w:rsidRDefault="00063B5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、《交银施罗德安享稳健养老目标一年持有期混合型基金中基金（</w:t>
      </w:r>
      <w:r>
        <w:rPr>
          <w:color w:val="000000"/>
          <w:sz w:val="24"/>
          <w:szCs w:val="24"/>
        </w:rPr>
        <w:t>FOF</w:t>
      </w:r>
      <w:r>
        <w:rPr>
          <w:color w:val="000000"/>
          <w:sz w:val="24"/>
          <w:szCs w:val="24"/>
        </w:rPr>
        <w:t>）招募说明书》；</w:t>
      </w:r>
      <w:r>
        <w:rPr>
          <w:color w:val="000000"/>
          <w:sz w:val="24"/>
          <w:szCs w:val="24"/>
        </w:rPr>
        <w:t xml:space="preserve"> </w:t>
      </w:r>
    </w:p>
    <w:p w:rsidR="00EA432B" w:rsidRDefault="00063B5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、《交银施罗德安享稳健养老目标一年持有期混合型基金中基金（</w:t>
      </w:r>
      <w:r>
        <w:rPr>
          <w:color w:val="000000"/>
          <w:sz w:val="24"/>
          <w:szCs w:val="24"/>
        </w:rPr>
        <w:t>FOF</w:t>
      </w:r>
      <w:r>
        <w:rPr>
          <w:color w:val="000000"/>
          <w:sz w:val="24"/>
          <w:szCs w:val="24"/>
        </w:rPr>
        <w:t>）托管协议》；</w:t>
      </w:r>
      <w:r>
        <w:rPr>
          <w:color w:val="000000"/>
          <w:sz w:val="24"/>
          <w:szCs w:val="24"/>
        </w:rPr>
        <w:t xml:space="preserve"> </w:t>
      </w:r>
    </w:p>
    <w:p w:rsidR="00EA432B" w:rsidRDefault="00063B5D">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、关于申请募集注册交银施罗德安享稳健养老目标一年持有期混合型基金中基金（</w:t>
      </w:r>
      <w:r>
        <w:rPr>
          <w:color w:val="000000"/>
          <w:sz w:val="24"/>
          <w:szCs w:val="24"/>
        </w:rPr>
        <w:t>FOF</w:t>
      </w:r>
      <w:r>
        <w:rPr>
          <w:color w:val="000000"/>
          <w:sz w:val="24"/>
          <w:szCs w:val="24"/>
        </w:rPr>
        <w:t>）的法律意见书；</w:t>
      </w:r>
      <w:r>
        <w:rPr>
          <w:color w:val="000000"/>
          <w:sz w:val="24"/>
          <w:szCs w:val="24"/>
        </w:rPr>
        <w:t xml:space="preserve"> </w:t>
      </w:r>
    </w:p>
    <w:p w:rsidR="00EA432B" w:rsidRDefault="00063B5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A432B" w:rsidRDefault="00063B5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、报告期内交银施罗德安享稳健养老目标一年持有期混合型基金中基金（</w:t>
      </w:r>
      <w:r w:rsidRPr="00414345">
        <w:rPr>
          <w:color w:val="000000"/>
          <w:sz w:val="24"/>
          <w:szCs w:val="24"/>
        </w:rPr>
        <w:t>FOF</w:t>
      </w:r>
      <w:r w:rsidRPr="00414345">
        <w:rPr>
          <w:color w:val="000000"/>
          <w:sz w:val="24"/>
          <w:szCs w:val="24"/>
        </w:rPr>
        <w:t>）在指定报刊上各项公告的原稿。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A432B" w:rsidRDefault="00063B5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4B" w:rsidRDefault="0051194B" w:rsidP="00876D65">
      <w:r>
        <w:separator/>
      </w:r>
    </w:p>
  </w:endnote>
  <w:endnote w:type="continuationSeparator" w:id="0">
    <w:p w:rsidR="0051194B" w:rsidRDefault="0051194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5142C1">
      <w:rPr>
        <w:noProof/>
        <w:kern w:val="0"/>
        <w:szCs w:val="21"/>
      </w:rPr>
      <w:t>14</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5142C1">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4B" w:rsidRDefault="0051194B" w:rsidP="00876D65">
      <w:r>
        <w:separator/>
      </w:r>
    </w:p>
  </w:footnote>
  <w:footnote w:type="continuationSeparator" w:id="0">
    <w:p w:rsidR="0051194B" w:rsidRDefault="0051194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交银施罗德安享稳健养老目标一年持有期混合型基金中基金（</w:t>
    </w:r>
    <w:r w:rsidRPr="003E676C">
      <w:rPr>
        <w:sz w:val="24"/>
        <w:szCs w:val="24"/>
      </w:rPr>
      <w:t>FOF</w:t>
    </w:r>
    <w:r w:rsidRPr="003E676C">
      <w:rPr>
        <w:sz w:val="24"/>
        <w:szCs w:val="24"/>
      </w:rPr>
      <w:t>）</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0CC"/>
    <w:rsid w:val="00033B8D"/>
    <w:rsid w:val="0004308C"/>
    <w:rsid w:val="00043852"/>
    <w:rsid w:val="000450DD"/>
    <w:rsid w:val="000463DE"/>
    <w:rsid w:val="0006147E"/>
    <w:rsid w:val="000625ED"/>
    <w:rsid w:val="00063B5D"/>
    <w:rsid w:val="00064D40"/>
    <w:rsid w:val="00066A97"/>
    <w:rsid w:val="000747D1"/>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2423"/>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493C"/>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74293"/>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46D7"/>
    <w:rsid w:val="004061AC"/>
    <w:rsid w:val="00406DA6"/>
    <w:rsid w:val="00410630"/>
    <w:rsid w:val="00411A61"/>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4942"/>
    <w:rsid w:val="004858E0"/>
    <w:rsid w:val="00487A40"/>
    <w:rsid w:val="004917C3"/>
    <w:rsid w:val="00491C81"/>
    <w:rsid w:val="004934E9"/>
    <w:rsid w:val="004943C2"/>
    <w:rsid w:val="004949F3"/>
    <w:rsid w:val="004A038E"/>
    <w:rsid w:val="004A0AA9"/>
    <w:rsid w:val="004A11A7"/>
    <w:rsid w:val="004A459C"/>
    <w:rsid w:val="004A7B1D"/>
    <w:rsid w:val="004B2AF4"/>
    <w:rsid w:val="004C0914"/>
    <w:rsid w:val="004C20CA"/>
    <w:rsid w:val="004C3CE8"/>
    <w:rsid w:val="004C702F"/>
    <w:rsid w:val="004D340C"/>
    <w:rsid w:val="004D495A"/>
    <w:rsid w:val="004E5975"/>
    <w:rsid w:val="004E790A"/>
    <w:rsid w:val="004F1A4E"/>
    <w:rsid w:val="004F50FD"/>
    <w:rsid w:val="00500A03"/>
    <w:rsid w:val="0051194B"/>
    <w:rsid w:val="00512200"/>
    <w:rsid w:val="005142C1"/>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076AE"/>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52C7"/>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0A87"/>
    <w:rsid w:val="00AB4DB6"/>
    <w:rsid w:val="00AB6E79"/>
    <w:rsid w:val="00AC063D"/>
    <w:rsid w:val="00AC592E"/>
    <w:rsid w:val="00AC6C10"/>
    <w:rsid w:val="00AC7BC6"/>
    <w:rsid w:val="00AD24AA"/>
    <w:rsid w:val="00AE7962"/>
    <w:rsid w:val="00AF0A7F"/>
    <w:rsid w:val="00AF1BA1"/>
    <w:rsid w:val="00AF3AB2"/>
    <w:rsid w:val="00AF6FFB"/>
    <w:rsid w:val="00B00B4D"/>
    <w:rsid w:val="00B11A78"/>
    <w:rsid w:val="00B11BE5"/>
    <w:rsid w:val="00B11F31"/>
    <w:rsid w:val="00B12B7D"/>
    <w:rsid w:val="00B16985"/>
    <w:rsid w:val="00B177CB"/>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2E1F"/>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2E14"/>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0E54"/>
    <w:rsid w:val="00D01FE6"/>
    <w:rsid w:val="00D02347"/>
    <w:rsid w:val="00D03EB3"/>
    <w:rsid w:val="00D046DB"/>
    <w:rsid w:val="00D04755"/>
    <w:rsid w:val="00D1076E"/>
    <w:rsid w:val="00D1116B"/>
    <w:rsid w:val="00D12C7E"/>
    <w:rsid w:val="00D13737"/>
    <w:rsid w:val="00D1638E"/>
    <w:rsid w:val="00D2061C"/>
    <w:rsid w:val="00D21FFF"/>
    <w:rsid w:val="00D2206B"/>
    <w:rsid w:val="00D272A5"/>
    <w:rsid w:val="00D346D9"/>
    <w:rsid w:val="00D43AFB"/>
    <w:rsid w:val="00D44EE8"/>
    <w:rsid w:val="00D45A8C"/>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A68"/>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432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74BC4"/>
    <w:rsid w:val="00F80AC3"/>
    <w:rsid w:val="00F81917"/>
    <w:rsid w:val="00F83B17"/>
    <w:rsid w:val="00F8430D"/>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48461">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9A58-1C01-41EC-83E9-59D8846A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1846</TotalTime>
  <Pages>1</Pages>
  <Words>1368</Words>
  <Characters>7800</Characters>
  <Application>Microsoft Office Word</Application>
  <DocSecurity>0</DocSecurity>
  <Lines>65</Lines>
  <Paragraphs>18</Paragraphs>
  <ScaleCrop>false</ScaleCrop>
  <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郝婷婷</dc:creator>
  <cp:lastModifiedBy>郝婷婷</cp:lastModifiedBy>
  <cp:revision>620</cp:revision>
  <cp:lastPrinted>2019-10-21T08:53:00Z</cp:lastPrinted>
  <dcterms:created xsi:type="dcterms:W3CDTF">2012-10-16T06:07:00Z</dcterms:created>
  <dcterms:modified xsi:type="dcterms:W3CDTF">2019-10-21T08:53:00Z</dcterms:modified>
</cp:coreProperties>
</file>