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635,881,371.28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635,536,405.03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344,966.25</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交银裕盈纯债债券A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交银裕盈纯债债券C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6,528,189.39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3,633.64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5,728,343.97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3,303.14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0.0097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0.0096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683,711,280.07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389,676.44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1.0758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1.1296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交银裕盈纯债债券A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0.92%</w:t>
            </w:r>
          </w:p>
        </w:tc>
        <w:tc>
          <w:tcPr>
            <w:vAlign w:val="center"/>
          </w:tcPr>
          <w:p>
            <w:pPr>
              <w:jc w:val="center"/>
            </w:pPr>
            <w:r>
              <w:rPr>
                <w:color w:val="000000"/>
                <w:sz w:val="24"/>
              </w:rPr>
              <w:t>0.03%</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0.47%</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交银裕盈纯债债券C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0.86%</w:t>
            </w:r>
          </w:p>
        </w:tc>
        <w:tc>
          <w:tcPr>
            <w:vAlign w:val="center"/>
          </w:tcPr>
          <w:p>
            <w:pPr>
              <w:jc w:val="center"/>
            </w:pPr>
            <w:r>
              <w:rPr>
                <w:color w:val="000000"/>
                <w:sz w:val="24"/>
              </w:rPr>
              <w:t>0.03%</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0.41%</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交银施罗德裕盈纯债债券型证券投资基金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2016年11月4日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交银裕盈纯债债券C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三季度，国内经济继续放缓。受中美贸易战硝烟再起及美欧等发达经济体衰退预期加强等影响，三季度中采制造业PMI依然在荣枯线以下。三季度尽管基建投资略有回升，但是受制造业FAI持续下行且房地产FAI高位下行影响，FAI同比增速继续下行承压。受汽车销售降幅扩大等影响，7-8月社会消费品零售同比增速降至低位。7-8月PPI同比在三年后再次步入负增长状态，但是受猪肉与鲜果等大幅上涨推动，CPI持续攀升。三季度中美贸易战曾一度升级，但九月有所缓和。货币政策上，受经济下行与中美贸易战不确定性等影响，央行加强逆周期调节力度， 九月上旬宣布全面降准0.5个百分点且定向降准1个百分点，努力疏通货币传导机制，八月人行宣布改革完善贷款市场报价利率（LPR）形成机制。</w:t>
      </w:r>
    </w:p>
    <w:p>
      <w:pPr>
        <w:spacing w:before="29" w:line="288" w:lineRule="auto"/>
        <w:ind w:firstLine="480" w:firstLineChars="200"/>
        <w:rPr>
          <w:color w:val="000000"/>
          <w:sz w:val="24"/>
        </w:rPr>
      </w:pPr>
      <w:r>
        <w:rPr>
          <w:color w:val="000000"/>
          <w:sz w:val="24"/>
        </w:rPr>
        <w:t>资金面上，三季度央行加强了公开市场回笼力度，维护货币市场资金面稳定，银行间货币市场资金面除九月中下旬有些趋紧之外，大部分交易日保持相对宽松格局，但三季度货币市场资金价格较二季度显著上涨。三季度存单与存款收益率中枢继续下移。三季度债市处于先上涨后回调的震荡格局，受经济下行预期增强，及中美贸易战不确定性上升等影响，七月至八月中旬债市一路上涨，但随后货币政策宽松不及市场预期，八月中下旬开始债市进入回调状态。</w:t>
      </w:r>
    </w:p>
    <w:p>
      <w:pPr>
        <w:spacing w:before="29" w:line="288" w:lineRule="auto"/>
        <w:ind w:firstLine="480" w:firstLineChars="200"/>
        <w:rPr>
          <w:color w:val="000000"/>
          <w:sz w:val="24"/>
        </w:rPr>
      </w:pPr>
      <w:r>
        <w:rPr>
          <w:color w:val="000000"/>
          <w:sz w:val="24"/>
        </w:rPr>
        <w:t>基金操作方面，报告期内本基金把握市场走势，择机调整组合杠杆与久期，动态调整持仓债券，管控信用风险，为持有人创造稳健的回报。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国内经济继续放缓风险依然存在，但是考虑稳增长与逆周期调节政策的逐步推进等因素，边际放缓幅度可能趋于收敛。我们推测短期内人行货币政策将维持中性偏松，保持逆周期调节作用。我们将密切关注中美贸易谈判的进展以及中央经济政策动态。组合管理方面，本基金将紧密跟踪研判宏观经济走势与央行货币政策操作，管控风险，积极跟踪把握市场机会，努力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690,410,910.00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690,410,910.00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616,071.02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11,631,285.81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702,658,266.83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10,434,910.00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1.53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394,955,000.00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57.73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394,955,000.00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57.73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12,168,000.00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1.78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272,853,000.00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39.88</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690,410,910.00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100.92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700,000</w:t>
            </w:r>
          </w:p>
        </w:tc>
        <w:tc>
          <w:tcPr>
            <w:vAlign w:val="center"/>
          </w:tcPr>
          <w:p>
            <w:pPr>
              <w:jc w:val="right"/>
            </w:pPr>
            <w:r>
              <w:rPr>
                <w:color w:val="000000"/>
                <w:sz w:val="24"/>
              </w:rPr>
              <w:t>70,938,000.00</w:t>
            </w:r>
          </w:p>
        </w:tc>
        <w:tc>
          <w:tcPr>
            <w:vAlign w:val="center"/>
          </w:tcPr>
          <w:p>
            <w:pPr>
              <w:jc w:val="right"/>
            </w:pPr>
            <w:r>
              <w:rPr>
                <w:color w:val="000000"/>
                <w:sz w:val="24"/>
              </w:rPr>
              <w:t>10.37</w:t>
            </w:r>
          </w:p>
        </w:tc>
      </w:tr>
      <w:tr>
        <w:tc>
          <w:tcPr>
            <w:vAlign w:val="center"/>
          </w:tcPr>
          <w:p>
            <w:pPr>
              <w:jc w:val="center"/>
            </w:pPr>
            <w:r>
              <w:rPr>
                <w:color w:val="000000"/>
                <w:sz w:val="24"/>
              </w:rPr>
              <w:t>2</w:t>
            </w:r>
          </w:p>
        </w:tc>
        <w:tc>
          <w:tcPr>
            <w:vAlign w:val="center"/>
          </w:tcPr>
          <w:p>
            <w:pPr>
              <w:jc w:val="center"/>
            </w:pPr>
            <w:r>
              <w:rPr>
                <w:color w:val="000000"/>
                <w:sz w:val="24"/>
              </w:rPr>
              <w:t>180211</w:t>
            </w:r>
          </w:p>
        </w:tc>
        <w:tc>
          <w:tcPr>
            <w:vAlign w:val="center"/>
          </w:tcPr>
          <w:p>
            <w:pPr>
              <w:jc w:val="center"/>
            </w:pPr>
            <w:r>
              <w:rPr>
                <w:color w:val="000000"/>
                <w:sz w:val="24"/>
              </w:rPr>
              <w:t>18国开11</w:t>
            </w:r>
          </w:p>
        </w:tc>
        <w:tc>
          <w:tcPr>
            <w:vAlign w:val="center"/>
          </w:tcPr>
          <w:p>
            <w:pPr>
              <w:jc w:val="right"/>
            </w:pPr>
            <w:r>
              <w:rPr>
                <w:color w:val="000000"/>
                <w:sz w:val="24"/>
              </w:rPr>
              <w:t>500,000</w:t>
            </w:r>
          </w:p>
        </w:tc>
        <w:tc>
          <w:tcPr>
            <w:vAlign w:val="center"/>
          </w:tcPr>
          <w:p>
            <w:pPr>
              <w:jc w:val="right"/>
            </w:pPr>
            <w:r>
              <w:rPr>
                <w:color w:val="000000"/>
                <w:sz w:val="24"/>
              </w:rPr>
              <w:t>50,760,000.00</w:t>
            </w:r>
          </w:p>
        </w:tc>
        <w:tc>
          <w:tcPr>
            <w:vAlign w:val="center"/>
          </w:tcPr>
          <w:p>
            <w:pPr>
              <w:jc w:val="right"/>
            </w:pPr>
            <w:r>
              <w:rPr>
                <w:color w:val="000000"/>
                <w:sz w:val="24"/>
              </w:rPr>
              <w:t>7.42</w:t>
            </w:r>
          </w:p>
        </w:tc>
      </w:tr>
      <w:tr>
        <w:tc>
          <w:tcPr>
            <w:vAlign w:val="center"/>
          </w:tcPr>
          <w:p>
            <w:pPr>
              <w:jc w:val="center"/>
            </w:pPr>
            <w:r>
              <w:rPr>
                <w:color w:val="000000"/>
                <w:sz w:val="24"/>
              </w:rPr>
              <w:t>3</w:t>
            </w:r>
          </w:p>
        </w:tc>
        <w:tc>
          <w:tcPr>
            <w:vAlign w:val="center"/>
          </w:tcPr>
          <w:p>
            <w:pPr>
              <w:jc w:val="center"/>
            </w:pPr>
            <w:r>
              <w:rPr>
                <w:color w:val="000000"/>
                <w:sz w:val="24"/>
              </w:rPr>
              <w:t>190403</w:t>
            </w:r>
          </w:p>
        </w:tc>
        <w:tc>
          <w:tcPr>
            <w:vAlign w:val="center"/>
          </w:tcPr>
          <w:p>
            <w:pPr>
              <w:jc w:val="center"/>
            </w:pPr>
            <w:r>
              <w:rPr>
                <w:color w:val="000000"/>
                <w:sz w:val="24"/>
              </w:rPr>
              <w:t>19农发03</w:t>
            </w:r>
          </w:p>
        </w:tc>
        <w:tc>
          <w:tcPr>
            <w:vAlign w:val="center"/>
          </w:tcPr>
          <w:p>
            <w:pPr>
              <w:jc w:val="right"/>
            </w:pPr>
            <w:r>
              <w:rPr>
                <w:color w:val="000000"/>
                <w:sz w:val="24"/>
              </w:rPr>
              <w:t>500,000</w:t>
            </w:r>
          </w:p>
        </w:tc>
        <w:tc>
          <w:tcPr>
            <w:vAlign w:val="center"/>
          </w:tcPr>
          <w:p>
            <w:pPr>
              <w:jc w:val="right"/>
            </w:pPr>
            <w:r>
              <w:rPr>
                <w:color w:val="000000"/>
                <w:sz w:val="24"/>
              </w:rPr>
              <w:t>50,140,000.00</w:t>
            </w:r>
          </w:p>
        </w:tc>
        <w:tc>
          <w:tcPr>
            <w:vAlign w:val="center"/>
          </w:tcPr>
          <w:p>
            <w:pPr>
              <w:jc w:val="right"/>
            </w:pPr>
            <w:r>
              <w:rPr>
                <w:color w:val="000000"/>
                <w:sz w:val="24"/>
              </w:rPr>
              <w:t>7.33</w:t>
            </w:r>
          </w:p>
        </w:tc>
      </w:tr>
      <w:tr>
        <w:tc>
          <w:tcPr>
            <w:vAlign w:val="center"/>
          </w:tcPr>
          <w:p>
            <w:pPr>
              <w:jc w:val="center"/>
            </w:pPr>
            <w:r>
              <w:rPr>
                <w:color w:val="000000"/>
                <w:sz w:val="24"/>
              </w:rPr>
              <w:t>4</w:t>
            </w:r>
          </w:p>
        </w:tc>
        <w:tc>
          <w:tcPr>
            <w:vAlign w:val="center"/>
          </w:tcPr>
          <w:p>
            <w:pPr>
              <w:jc w:val="center"/>
            </w:pPr>
            <w:r>
              <w:rPr>
                <w:color w:val="000000"/>
                <w:sz w:val="24"/>
              </w:rPr>
              <w:t>180204</w:t>
            </w:r>
          </w:p>
        </w:tc>
        <w:tc>
          <w:tcPr>
            <w:vAlign w:val="center"/>
          </w:tcPr>
          <w:p>
            <w:pPr>
              <w:jc w:val="center"/>
            </w:pPr>
            <w:r>
              <w:rPr>
                <w:color w:val="000000"/>
                <w:sz w:val="24"/>
              </w:rPr>
              <w:t>18国开04</w:t>
            </w:r>
          </w:p>
        </w:tc>
        <w:tc>
          <w:tcPr>
            <w:vAlign w:val="center"/>
          </w:tcPr>
          <w:p>
            <w:pPr>
              <w:jc w:val="right"/>
            </w:pPr>
            <w:r>
              <w:rPr>
                <w:color w:val="000000"/>
                <w:sz w:val="24"/>
              </w:rPr>
              <w:t>400,000</w:t>
            </w:r>
          </w:p>
        </w:tc>
        <w:tc>
          <w:tcPr>
            <w:vAlign w:val="center"/>
          </w:tcPr>
          <w:p>
            <w:pPr>
              <w:jc w:val="right"/>
            </w:pPr>
            <w:r>
              <w:rPr>
                <w:color w:val="000000"/>
                <w:sz w:val="24"/>
              </w:rPr>
              <w:t>41,872,000.00</w:t>
            </w:r>
          </w:p>
        </w:tc>
        <w:tc>
          <w:tcPr>
            <w:vAlign w:val="center"/>
          </w:tcPr>
          <w:p>
            <w:pPr>
              <w:jc w:val="right"/>
            </w:pPr>
            <w:r>
              <w:rPr>
                <w:color w:val="000000"/>
                <w:sz w:val="24"/>
              </w:rPr>
              <w:t>6.12</w:t>
            </w:r>
          </w:p>
        </w:tc>
      </w:tr>
      <w:tr>
        <w:tc>
          <w:tcPr>
            <w:vAlign w:val="center"/>
          </w:tcPr>
          <w:p>
            <w:pPr>
              <w:jc w:val="center"/>
            </w:pPr>
            <w:r>
              <w:rPr>
                <w:color w:val="000000"/>
                <w:sz w:val="24"/>
              </w:rPr>
              <w:t>5</w:t>
            </w:r>
          </w:p>
        </w:tc>
        <w:tc>
          <w:tcPr>
            <w:vAlign w:val="center"/>
          </w:tcPr>
          <w:p>
            <w:pPr>
              <w:jc w:val="center"/>
            </w:pPr>
            <w:r>
              <w:rPr>
                <w:color w:val="000000"/>
                <w:sz w:val="24"/>
              </w:rPr>
              <w:t>101560020</w:t>
            </w:r>
          </w:p>
        </w:tc>
        <w:tc>
          <w:tcPr>
            <w:vAlign w:val="center"/>
          </w:tcPr>
          <w:p>
            <w:pPr>
              <w:jc w:val="center"/>
            </w:pPr>
            <w:r>
              <w:rPr>
                <w:color w:val="000000"/>
                <w:sz w:val="24"/>
              </w:rPr>
              <w:t>15公控MTN001</w:t>
            </w:r>
          </w:p>
        </w:tc>
        <w:tc>
          <w:tcPr>
            <w:vAlign w:val="center"/>
          </w:tcPr>
          <w:p>
            <w:pPr>
              <w:jc w:val="right"/>
            </w:pPr>
            <w:r>
              <w:rPr>
                <w:color w:val="000000"/>
                <w:sz w:val="24"/>
              </w:rPr>
              <w:t>400,000</w:t>
            </w:r>
          </w:p>
        </w:tc>
        <w:tc>
          <w:tcPr>
            <w:vAlign w:val="center"/>
          </w:tcPr>
          <w:p>
            <w:pPr>
              <w:jc w:val="right"/>
            </w:pPr>
            <w:r>
              <w:rPr>
                <w:color w:val="000000"/>
                <w:sz w:val="24"/>
              </w:rPr>
              <w:t>40,672,000.00</w:t>
            </w:r>
          </w:p>
        </w:tc>
        <w:tc>
          <w:tcPr>
            <w:vAlign w:val="center"/>
          </w:tcPr>
          <w:p>
            <w:pPr>
              <w:jc w:val="right"/>
            </w:pPr>
            <w:r>
              <w:rPr>
                <w:color w:val="000000"/>
                <w:sz w:val="24"/>
              </w:rPr>
              <w:t>5.95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30.52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10,768,067.33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842,278.64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20,909.32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11,631,285.81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交银裕盈纯债债券A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交银裕盈纯债债券C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554,090,067.37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352,822.82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93,031,943.32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100,896.33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11,585,605.66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108,752.90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635,536,405.03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344,966.25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78.13%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本基金管理人于2019年5月28日起至2019年7月1日17：00止以通讯方式召开本基金的基金份额持有人大会，就本基金基金合同修改有关事项的议案进行表决。根据基金份额持有人大会的决议，本基金管理人调整了基金赎回费率、增加了自动清盘条款、调整了基金份额净值小数点后保留位数，并相应修改了相关基金法律文件。本次基金份额持有人大会决议于2019年7月2日生效，自本次基金份额持有人大会决议公告之日即2019年7月3日起，本基金修改后的法律文件生效。详情请查阅本基金管理人于2019年7月3日发布的《交银施罗德基金管理有限公司关于交银施罗德裕盈纯债债券型证券投资基金基金份额持有人大会表决结果暨决议生效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1、中国证监会准予交银施罗德裕盈纯债债券型证券投资基金募集注册的文件；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2、《交银施罗德裕盈纯债债券型证券投资基金基金合同》；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3、《交银施罗德裕盈纯债债券型证券投资基金招募说明书》；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4、《交银施罗德裕盈纯债债券型证券投资基金托管协议》；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5、关于申请募集注册交银施罗德裕盈纯债债券型证券投资基金的法律意见书；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8、报告期内交银施罗德裕盈纯债债券型证券投资基金在指定报刊上各项公告的原稿。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交银施罗德裕盈纯债债券型证券投资基金2019年第3季度报告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