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交银施罗德恒益灵活配置混合型证券投资基金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交银恒益灵活配置混合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004975</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004975</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2017年9月15日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360,835,696.24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本基金在有效控制投资风险的前提下，通过积极主动的投资管理，力争获取超越业绩比较基准的投资收益，追求基金资产的长期稳定增值。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沪深300指数收益率×40%+中证综合债券指数收益率×60%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12,782,477.39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11,598,023.80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0.0332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381,313,391.02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1.0568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3.24%</w:t>
            </w:r>
          </w:p>
        </w:tc>
        <w:tc>
          <w:tcPr>
            <w:vAlign w:val="center"/>
          </w:tcPr>
          <w:p>
            <w:pPr>
              <w:jc w:val="center"/>
            </w:pPr>
            <w:r>
              <w:rPr>
                <w:color w:val="000000"/>
                <w:sz w:val="24"/>
                <w:szCs w:val="24"/>
              </w:rPr>
              <w:t>0.25%</w:t>
            </w:r>
          </w:p>
        </w:tc>
        <w:tc>
          <w:tcPr>
            <w:vAlign w:val="center"/>
          </w:tcPr>
          <w:p>
            <w:pPr>
              <w:jc w:val="center"/>
            </w:pPr>
            <w:r>
              <w:rPr>
                <w:color w:val="000000"/>
                <w:sz w:val="24"/>
                <w:szCs w:val="24"/>
              </w:rPr>
              <w:t>0.79%</w:t>
            </w:r>
          </w:p>
        </w:tc>
        <w:tc>
          <w:tcPr>
            <w:vAlign w:val="center"/>
          </w:tcPr>
          <w:p>
            <w:pPr>
              <w:jc w:val="center"/>
            </w:pPr>
            <w:r>
              <w:rPr>
                <w:color w:val="000000"/>
                <w:sz w:val="24"/>
                <w:szCs w:val="24"/>
              </w:rPr>
              <w:t>0.38%</w:t>
            </w:r>
          </w:p>
        </w:tc>
        <w:tc>
          <w:tcPr>
            <w:vAlign w:val="center"/>
          </w:tcPr>
          <w:p>
            <w:pPr>
              <w:jc w:val="center"/>
            </w:pPr>
            <w:r>
              <w:rPr>
                <w:color w:val="000000"/>
                <w:sz w:val="24"/>
                <w:szCs w:val="24"/>
              </w:rPr>
              <w:t>2.45%</w:t>
            </w:r>
          </w:p>
        </w:tc>
        <w:tc>
          <w:tcPr>
            <w:vAlign w:val="center"/>
          </w:tcPr>
          <w:p>
            <w:pPr>
              <w:jc w:val="center"/>
            </w:pPr>
            <w:r>
              <w:rPr>
                <w:color w:val="000000"/>
                <w:sz w:val="24"/>
                <w:szCs w:val="24"/>
              </w:rPr>
              <w:t>-0.13%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交银施罗德恒益灵活配置混合型证券投资基金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2017年9月15日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王少成</w:t>
            </w:r>
          </w:p>
        </w:tc>
        <w:tc>
          <w:tcPr>
            <w:vAlign w:val="center"/>
          </w:tcPr>
          <w:p>
            <w:pPr>
              <w:jc w:val="center"/>
            </w:pPr>
            <w:r>
              <w:rPr>
                <w:color w:val="000000"/>
                <w:sz w:val="24"/>
                <w:szCs w:val="24"/>
              </w:rPr>
              <w:t>交银成长混合、交银蓝筹混合的基金经理，公司权益投资总监</w:t>
            </w:r>
          </w:p>
        </w:tc>
        <w:tc>
          <w:tcPr>
            <w:vAlign w:val="center"/>
          </w:tcPr>
          <w:p>
            <w:pPr>
              <w:jc w:val="center"/>
            </w:pPr>
            <w:r>
              <w:rPr>
                <w:color w:val="000000"/>
                <w:sz w:val="24"/>
                <w:szCs w:val="24"/>
              </w:rPr>
              <w:t>2018-08-24</w:t>
            </w:r>
          </w:p>
        </w:tc>
        <w:tc>
          <w:tcPr>
            <w:vAlign w:val="center"/>
          </w:tcPr>
          <w:p>
            <w:pPr>
              <w:jc w:val="center"/>
            </w:pPr>
            <w:r>
              <w:rPr>
                <w:color w:val="000000"/>
                <w:sz w:val="24"/>
                <w:szCs w:val="24"/>
              </w:rPr>
              <w:t>2019-08-29</w:t>
            </w:r>
          </w:p>
        </w:tc>
        <w:tc>
          <w:tcPr>
            <w:vAlign w:val="center"/>
          </w:tcPr>
          <w:p>
            <w:pPr>
              <w:jc w:val="center"/>
            </w:pPr>
            <w:r>
              <w:rPr>
                <w:color w:val="000000"/>
                <w:sz w:val="24"/>
                <w:szCs w:val="24"/>
              </w:rPr>
              <w:t>15年</w:t>
            </w:r>
          </w:p>
        </w:tc>
        <w:tc>
          <w:tcPr>
            <w:vAlign w:val="center"/>
          </w:tcPr>
          <w:p>
            <w:pPr>
              <w:jc w:val="both"/>
            </w:pPr>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的基金经理，2015年11月7日至2018年6月7日担任交银施罗德策略回报灵活配置混合型证券投资基金的基金经理。2013年7月2日至2019年6月17日担任交银施罗德成长30混合型证券投资基金的基金经理。2018年8月24日至2019年8月28日担任交银施罗德恒益灵活配置混合型证券投资基金的基金经理。</w:t>
            </w:r>
          </w:p>
        </w:tc>
      </w:tr>
      <w:tr>
        <w:tc>
          <w:tcPr>
            <w:vAlign w:val="center"/>
          </w:tcPr>
          <w:p>
            <w:pPr>
              <w:jc w:val="center"/>
            </w:pPr>
            <w:r>
              <w:rPr>
                <w:color w:val="000000"/>
                <w:sz w:val="24"/>
                <w:szCs w:val="24"/>
              </w:rPr>
              <w:t>李娜</w:t>
            </w:r>
          </w:p>
        </w:tc>
        <w:tc>
          <w:tcPr>
            <w:vAlign w:val="center"/>
          </w:tcPr>
          <w:p>
            <w:pPr>
              <w:jc w:val="center"/>
            </w:pPr>
            <w:r>
              <w:rPr>
                <w:color w:val="000000"/>
                <w:sz w:val="24"/>
                <w:szCs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szCs w:val="24"/>
              </w:rPr>
              <w:t>2019-06-18</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szCs w:val="24"/>
              </w:rPr>
              <w:t>2019-07-20</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以及人民币汇率破7等事件催化下，债券市场收益率呈现快速下行，十年国债一度破3%。九月后，随着稳增长预期升温、通胀担忧加剧以及资金面紧平衡等因素出现，债券市场小幅调整。截至九月底，活跃十年国债收益率自七月初一路走低，八月中旬破3%，后再度小幅上行。</w:t>
      </w:r>
    </w:p>
    <w:p>
      <w:pPr>
        <w:spacing w:before="29" w:line="288" w:lineRule="auto"/>
        <w:ind w:firstLine="480" w:firstLineChars="200"/>
        <w:rPr>
          <w:color w:val="000000"/>
          <w:sz w:val="24"/>
          <w:szCs w:val="24"/>
        </w:rPr>
      </w:pPr>
      <w:r>
        <w:rPr>
          <w:color w:val="000000"/>
          <w:sz w:val="24"/>
          <w:szCs w:val="24"/>
        </w:rPr>
        <w:t>权益市场三季度呈现明显分化，大盘指数三季度收跌，但创业板指数季度上涨逾7%。从行业看，TMT、医药及白酒板块明显上行，强周期板块则在报告期内收跌。</w:t>
      </w:r>
    </w:p>
    <w:p>
      <w:pPr>
        <w:spacing w:before="29" w:line="288" w:lineRule="auto"/>
        <w:ind w:firstLine="480" w:firstLineChars="200"/>
        <w:rPr>
          <w:color w:val="000000"/>
          <w:sz w:val="24"/>
          <w:szCs w:val="24"/>
        </w:rPr>
      </w:pPr>
      <w:r>
        <w:rPr>
          <w:color w:val="000000"/>
          <w:sz w:val="24"/>
          <w:szCs w:val="24"/>
        </w:rPr>
        <w:t>我们认为，三季度在经济下行压力下，债市存在配置机会，因此在季度初期的基金操作中，根据申赎及债市收益率变化积极增加底仓久期，底仓品种以中短久期高等级信用品种为主。八月中后期，由于中短久期信用债收益率较低，融资成本有所抬升，基金适当放缓配置节奏。权益方面，基金积极关注新股发行动态，进行权益一级市场投资，同时也关注二级市场的投资机会，在成长股估值偏高后减持部分高弹性品种，置换为高股息及低估值品种，以控制基金回撤。</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四季度，经济基本面下行压力仍然存在，经济内生企稳动力不强，而尽管宏观逆周期调控政策底线思维，但地产和基建发力始终受到种种限制。不过，我们担心通胀四季度上行压力会边际掣肘货币政策宽松。因此，我们认为四季度债券市场以震荡为主。基金方面，我们将视融资成本及市场收益率变动情况择机增配中短久期高等级信用品种，长端利率择机做波段操作，以提升基金静态收益。权益方面，我们将继续积极关注权益市场一级投资机会，同时关注低估细分行业配置机会，以及中长期成长个股，努力为投资人取得稳定业绩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80,398,845.38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15.93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80,398,845.38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15.93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334,453,200.00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66.26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334,453,200.00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66.26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80,300,438.20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15.91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4,202,388.47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0.83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5,433,261.31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504,788,133.36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13,706,354.98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1,840,230.00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2,917,811.00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1,831,789.00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0.48</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223,129.40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42,395,331.00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8,405,540.00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9,078,660.00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80,398,845.38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21.08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2,453,900</w:t>
            </w:r>
          </w:p>
        </w:tc>
        <w:tc>
          <w:tcPr>
            <w:vAlign w:val="center"/>
          </w:tcPr>
          <w:p>
            <w:pPr>
              <w:jc w:val="right"/>
            </w:pPr>
            <w:r>
              <w:rPr>
                <w:color w:val="000000"/>
                <w:sz w:val="24"/>
                <w:szCs w:val="24"/>
              </w:rPr>
              <w:t>13,570,067.00</w:t>
            </w:r>
          </w:p>
        </w:tc>
        <w:tc>
          <w:tcPr>
            <w:vAlign w:val="center"/>
          </w:tcPr>
          <w:p>
            <w:pPr>
              <w:jc w:val="right"/>
            </w:pPr>
            <w:r>
              <w:rPr>
                <w:color w:val="000000"/>
                <w:sz w:val="24"/>
                <w:szCs w:val="24"/>
              </w:rPr>
              <w:t>3.56</w:t>
            </w:r>
          </w:p>
        </w:tc>
      </w:tr>
      <w:tr>
        <w:tc>
          <w:tcPr>
            <w:vAlign w:val="center"/>
          </w:tcPr>
          <w:p>
            <w:pPr>
              <w:jc w:val="center"/>
            </w:pPr>
            <w:r>
              <w:rPr>
                <w:color w:val="000000"/>
                <w:sz w:val="24"/>
                <w:szCs w:val="24"/>
              </w:rPr>
              <w:t>2</w:t>
            </w:r>
          </w:p>
        </w:tc>
        <w:tc>
          <w:tcPr>
            <w:vAlign w:val="center"/>
          </w:tcPr>
          <w:p>
            <w:pPr>
              <w:jc w:val="center"/>
            </w:pPr>
            <w:r>
              <w:rPr>
                <w:color w:val="000000"/>
                <w:sz w:val="24"/>
                <w:szCs w:val="24"/>
              </w:rPr>
              <w:t>601939</w:t>
            </w:r>
          </w:p>
        </w:tc>
        <w:tc>
          <w:tcPr>
            <w:vAlign w:val="center"/>
          </w:tcPr>
          <w:p>
            <w:pPr>
              <w:jc w:val="center"/>
            </w:pPr>
            <w:r>
              <w:rPr>
                <w:color w:val="000000"/>
                <w:sz w:val="24"/>
                <w:szCs w:val="24"/>
              </w:rPr>
              <w:t>建设银行</w:t>
            </w:r>
          </w:p>
        </w:tc>
        <w:tc>
          <w:tcPr>
            <w:vAlign w:val="center"/>
          </w:tcPr>
          <w:p>
            <w:pPr>
              <w:jc w:val="right"/>
            </w:pPr>
            <w:r>
              <w:rPr>
                <w:color w:val="000000"/>
                <w:sz w:val="24"/>
                <w:szCs w:val="24"/>
              </w:rPr>
              <w:t>1,538,100</w:t>
            </w:r>
          </w:p>
        </w:tc>
        <w:tc>
          <w:tcPr>
            <w:vAlign w:val="center"/>
          </w:tcPr>
          <w:p>
            <w:pPr>
              <w:jc w:val="right"/>
            </w:pPr>
            <w:r>
              <w:rPr>
                <w:color w:val="000000"/>
                <w:sz w:val="24"/>
                <w:szCs w:val="24"/>
              </w:rPr>
              <w:t>10,751,319.00</w:t>
            </w:r>
          </w:p>
        </w:tc>
        <w:tc>
          <w:tcPr>
            <w:vAlign w:val="center"/>
          </w:tcPr>
          <w:p>
            <w:pPr>
              <w:jc w:val="right"/>
            </w:pPr>
            <w:r>
              <w:rPr>
                <w:color w:val="000000"/>
                <w:sz w:val="24"/>
                <w:szCs w:val="24"/>
              </w:rPr>
              <w:t>2.82</w:t>
            </w:r>
          </w:p>
        </w:tc>
      </w:tr>
      <w:tr>
        <w:tc>
          <w:tcPr>
            <w:vAlign w:val="center"/>
          </w:tcPr>
          <w:p>
            <w:pPr>
              <w:jc w:val="center"/>
            </w:pPr>
            <w:r>
              <w:rPr>
                <w:color w:val="000000"/>
                <w:sz w:val="24"/>
                <w:szCs w:val="24"/>
              </w:rPr>
              <w:t>3</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558,000</w:t>
            </w:r>
          </w:p>
        </w:tc>
        <w:tc>
          <w:tcPr>
            <w:vAlign w:val="center"/>
          </w:tcPr>
          <w:p>
            <w:pPr>
              <w:jc w:val="right"/>
            </w:pPr>
            <w:r>
              <w:rPr>
                <w:color w:val="000000"/>
                <w:sz w:val="24"/>
                <w:szCs w:val="24"/>
              </w:rPr>
              <w:t>9,078,660.00</w:t>
            </w:r>
          </w:p>
        </w:tc>
        <w:tc>
          <w:tcPr>
            <w:vAlign w:val="center"/>
          </w:tcPr>
          <w:p>
            <w:pPr>
              <w:jc w:val="right"/>
            </w:pPr>
            <w:r>
              <w:rPr>
                <w:color w:val="000000"/>
                <w:sz w:val="24"/>
                <w:szCs w:val="24"/>
              </w:rPr>
              <w:t>2.38</w:t>
            </w:r>
          </w:p>
        </w:tc>
      </w:tr>
      <w:tr>
        <w:tc>
          <w:tcPr>
            <w:vAlign w:val="center"/>
          </w:tcPr>
          <w:p>
            <w:pPr>
              <w:jc w:val="center"/>
            </w:pPr>
            <w:r>
              <w:rPr>
                <w:color w:val="000000"/>
                <w:sz w:val="24"/>
                <w:szCs w:val="24"/>
              </w:rPr>
              <w:t>4</w:t>
            </w:r>
          </w:p>
        </w:tc>
        <w:tc>
          <w:tcPr>
            <w:vAlign w:val="center"/>
          </w:tcPr>
          <w:p>
            <w:pPr>
              <w:jc w:val="center"/>
            </w:pPr>
            <w:r>
              <w:rPr>
                <w:color w:val="000000"/>
                <w:sz w:val="24"/>
                <w:szCs w:val="24"/>
              </w:rPr>
              <w:t>601988</w:t>
            </w:r>
          </w:p>
        </w:tc>
        <w:tc>
          <w:tcPr>
            <w:vAlign w:val="center"/>
          </w:tcPr>
          <w:p>
            <w:pPr>
              <w:jc w:val="center"/>
            </w:pPr>
            <w:r>
              <w:rPr>
                <w:color w:val="000000"/>
                <w:sz w:val="24"/>
                <w:szCs w:val="24"/>
              </w:rPr>
              <w:t>中国银行</w:t>
            </w:r>
          </w:p>
        </w:tc>
        <w:tc>
          <w:tcPr>
            <w:vAlign w:val="center"/>
          </w:tcPr>
          <w:p>
            <w:pPr>
              <w:jc w:val="right"/>
            </w:pPr>
            <w:r>
              <w:rPr>
                <w:color w:val="000000"/>
                <w:sz w:val="24"/>
                <w:szCs w:val="24"/>
              </w:rPr>
              <w:t>2,394,800</w:t>
            </w:r>
          </w:p>
        </w:tc>
        <w:tc>
          <w:tcPr>
            <w:vAlign w:val="center"/>
          </w:tcPr>
          <w:p>
            <w:pPr>
              <w:jc w:val="right"/>
            </w:pPr>
            <w:r>
              <w:rPr>
                <w:color w:val="000000"/>
                <w:sz w:val="24"/>
                <w:szCs w:val="24"/>
              </w:rPr>
              <w:t>8,573,384.00</w:t>
            </w:r>
          </w:p>
        </w:tc>
        <w:tc>
          <w:tcPr>
            <w:vAlign w:val="center"/>
          </w:tcPr>
          <w:p>
            <w:pPr>
              <w:jc w:val="right"/>
            </w:pPr>
            <w:r>
              <w:rPr>
                <w:color w:val="000000"/>
                <w:sz w:val="24"/>
                <w:szCs w:val="24"/>
              </w:rPr>
              <w:t>2.25</w:t>
            </w:r>
          </w:p>
        </w:tc>
      </w:tr>
      <w:tr>
        <w:tc>
          <w:tcPr>
            <w:vAlign w:val="center"/>
          </w:tcPr>
          <w:p>
            <w:pPr>
              <w:jc w:val="center"/>
            </w:pPr>
            <w:r>
              <w:rPr>
                <w:color w:val="000000"/>
                <w:sz w:val="24"/>
                <w:szCs w:val="24"/>
              </w:rPr>
              <w:t>5</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587,800</w:t>
            </w:r>
          </w:p>
        </w:tc>
        <w:tc>
          <w:tcPr>
            <w:vAlign w:val="center"/>
          </w:tcPr>
          <w:p>
            <w:pPr>
              <w:jc w:val="right"/>
            </w:pPr>
            <w:r>
              <w:rPr>
                <w:color w:val="000000"/>
                <w:sz w:val="24"/>
                <w:szCs w:val="24"/>
              </w:rPr>
              <w:t>8,405,540.00</w:t>
            </w:r>
          </w:p>
        </w:tc>
        <w:tc>
          <w:tcPr>
            <w:vAlign w:val="center"/>
          </w:tcPr>
          <w:p>
            <w:pPr>
              <w:jc w:val="right"/>
            </w:pPr>
            <w:r>
              <w:rPr>
                <w:color w:val="000000"/>
                <w:sz w:val="24"/>
                <w:szCs w:val="24"/>
              </w:rPr>
              <w:t>2.20</w:t>
            </w:r>
          </w:p>
        </w:tc>
      </w:tr>
      <w:tr>
        <w:tc>
          <w:tcPr>
            <w:vAlign w:val="center"/>
          </w:tcPr>
          <w:p>
            <w:pPr>
              <w:jc w:val="center"/>
            </w:pPr>
            <w:r>
              <w:rPr>
                <w:color w:val="000000"/>
                <w:sz w:val="24"/>
                <w:szCs w:val="24"/>
              </w:rPr>
              <w:t>6</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866,080</w:t>
            </w:r>
          </w:p>
        </w:tc>
        <w:tc>
          <w:tcPr>
            <w:vAlign w:val="center"/>
          </w:tcPr>
          <w:p>
            <w:pPr>
              <w:jc w:val="right"/>
            </w:pPr>
            <w:r>
              <w:rPr>
                <w:color w:val="000000"/>
                <w:sz w:val="24"/>
                <w:szCs w:val="24"/>
              </w:rPr>
              <w:t>8,374,993.60</w:t>
            </w:r>
          </w:p>
        </w:tc>
        <w:tc>
          <w:tcPr>
            <w:vAlign w:val="center"/>
          </w:tcPr>
          <w:p>
            <w:pPr>
              <w:jc w:val="right"/>
            </w:pPr>
            <w:r>
              <w:rPr>
                <w:color w:val="000000"/>
                <w:sz w:val="24"/>
                <w:szCs w:val="24"/>
              </w:rPr>
              <w:t>2.20</w:t>
            </w:r>
          </w:p>
        </w:tc>
      </w:tr>
      <w:tr>
        <w:tc>
          <w:tcPr>
            <w:vAlign w:val="center"/>
          </w:tcPr>
          <w:p>
            <w:pPr>
              <w:jc w:val="center"/>
            </w:pPr>
            <w:r>
              <w:rPr>
                <w:color w:val="000000"/>
                <w:sz w:val="24"/>
                <w:szCs w:val="24"/>
              </w:rPr>
              <w:t>7</w:t>
            </w:r>
          </w:p>
        </w:tc>
        <w:tc>
          <w:tcPr>
            <w:vAlign w:val="center"/>
          </w:tcPr>
          <w:p>
            <w:pPr>
              <w:jc w:val="center"/>
            </w:pPr>
            <w:r>
              <w:rPr>
                <w:color w:val="000000"/>
                <w:sz w:val="24"/>
                <w:szCs w:val="24"/>
              </w:rPr>
              <w:t>601336</w:t>
            </w:r>
          </w:p>
        </w:tc>
        <w:tc>
          <w:tcPr>
            <w:vAlign w:val="center"/>
          </w:tcPr>
          <w:p>
            <w:pPr>
              <w:jc w:val="center"/>
            </w:pPr>
            <w:r>
              <w:rPr>
                <w:color w:val="000000"/>
                <w:sz w:val="24"/>
                <w:szCs w:val="24"/>
              </w:rPr>
              <w:t>新华保险</w:t>
            </w:r>
          </w:p>
        </w:tc>
        <w:tc>
          <w:tcPr>
            <w:vAlign w:val="center"/>
          </w:tcPr>
          <w:p>
            <w:pPr>
              <w:jc w:val="right"/>
            </w:pPr>
            <w:r>
              <w:rPr>
                <w:color w:val="000000"/>
                <w:sz w:val="24"/>
                <w:szCs w:val="24"/>
              </w:rPr>
              <w:t>104,300</w:t>
            </w:r>
          </w:p>
        </w:tc>
        <w:tc>
          <w:tcPr>
            <w:vAlign w:val="center"/>
          </w:tcPr>
          <w:p>
            <w:pPr>
              <w:jc w:val="right"/>
            </w:pPr>
            <w:r>
              <w:rPr>
                <w:color w:val="000000"/>
                <w:sz w:val="24"/>
                <w:szCs w:val="24"/>
              </w:rPr>
              <w:t>5,076,281.00</w:t>
            </w:r>
          </w:p>
        </w:tc>
        <w:tc>
          <w:tcPr>
            <w:vAlign w:val="center"/>
          </w:tcPr>
          <w:p>
            <w:pPr>
              <w:jc w:val="right"/>
            </w:pPr>
            <w:r>
              <w:rPr>
                <w:color w:val="000000"/>
                <w:sz w:val="24"/>
                <w:szCs w:val="24"/>
              </w:rPr>
              <w:t>1.33</w:t>
            </w:r>
          </w:p>
        </w:tc>
      </w:tr>
      <w:tr>
        <w:tc>
          <w:tcPr>
            <w:vAlign w:val="center"/>
          </w:tcPr>
          <w:p>
            <w:pPr>
              <w:jc w:val="center"/>
            </w:pPr>
            <w:r>
              <w:rPr>
                <w:color w:val="000000"/>
                <w:sz w:val="24"/>
                <w:szCs w:val="24"/>
              </w:rPr>
              <w:t>8</w:t>
            </w:r>
          </w:p>
        </w:tc>
        <w:tc>
          <w:tcPr>
            <w:vAlign w:val="center"/>
          </w:tcPr>
          <w:p>
            <w:pPr>
              <w:jc w:val="center"/>
            </w:pPr>
            <w:r>
              <w:rPr>
                <w:color w:val="000000"/>
                <w:sz w:val="24"/>
                <w:szCs w:val="24"/>
              </w:rPr>
              <w:t>601628</w:t>
            </w:r>
          </w:p>
        </w:tc>
        <w:tc>
          <w:tcPr>
            <w:vAlign w:val="center"/>
          </w:tcPr>
          <w:p>
            <w:pPr>
              <w:jc w:val="center"/>
            </w:pPr>
            <w:r>
              <w:rPr>
                <w:color w:val="000000"/>
                <w:sz w:val="24"/>
                <w:szCs w:val="24"/>
              </w:rPr>
              <w:t>中国人寿</w:t>
            </w:r>
          </w:p>
        </w:tc>
        <w:tc>
          <w:tcPr>
            <w:vAlign w:val="center"/>
          </w:tcPr>
          <w:p>
            <w:pPr>
              <w:jc w:val="right"/>
            </w:pPr>
            <w:r>
              <w:rPr>
                <w:color w:val="000000"/>
                <w:sz w:val="24"/>
                <w:szCs w:val="24"/>
              </w:rPr>
              <w:t>161,000</w:t>
            </w:r>
          </w:p>
        </w:tc>
        <w:tc>
          <w:tcPr>
            <w:vAlign w:val="center"/>
          </w:tcPr>
          <w:p>
            <w:pPr>
              <w:jc w:val="right"/>
            </w:pPr>
            <w:r>
              <w:rPr>
                <w:color w:val="000000"/>
                <w:sz w:val="24"/>
                <w:szCs w:val="24"/>
              </w:rPr>
              <w:t>4,424,280.00</w:t>
            </w:r>
          </w:p>
        </w:tc>
        <w:tc>
          <w:tcPr>
            <w:vAlign w:val="center"/>
          </w:tcPr>
          <w:p>
            <w:pPr>
              <w:jc w:val="right"/>
            </w:pPr>
            <w:r>
              <w:rPr>
                <w:color w:val="000000"/>
                <w:sz w:val="24"/>
                <w:szCs w:val="24"/>
              </w:rPr>
              <w:t>1.16</w:t>
            </w:r>
          </w:p>
        </w:tc>
      </w:tr>
      <w:tr>
        <w:tc>
          <w:tcPr>
            <w:vAlign w:val="center"/>
          </w:tcPr>
          <w:p>
            <w:pPr>
              <w:jc w:val="center"/>
            </w:pPr>
            <w:r>
              <w:rPr>
                <w:color w:val="000000"/>
                <w:sz w:val="24"/>
                <w:szCs w:val="24"/>
              </w:rPr>
              <w:t>9</w:t>
            </w:r>
          </w:p>
        </w:tc>
        <w:tc>
          <w:tcPr>
            <w:vAlign w:val="center"/>
          </w:tcPr>
          <w:p>
            <w:pPr>
              <w:jc w:val="center"/>
            </w:pPr>
            <w:r>
              <w:rPr>
                <w:color w:val="000000"/>
                <w:sz w:val="24"/>
                <w:szCs w:val="24"/>
              </w:rPr>
              <w:t>601238</w:t>
            </w:r>
          </w:p>
        </w:tc>
        <w:tc>
          <w:tcPr>
            <w:vAlign w:val="center"/>
          </w:tcPr>
          <w:p>
            <w:pPr>
              <w:jc w:val="center"/>
            </w:pPr>
            <w:r>
              <w:rPr>
                <w:color w:val="000000"/>
                <w:sz w:val="24"/>
                <w:szCs w:val="24"/>
              </w:rPr>
              <w:t>广汽集团</w:t>
            </w:r>
          </w:p>
        </w:tc>
        <w:tc>
          <w:tcPr>
            <w:vAlign w:val="center"/>
          </w:tcPr>
          <w:p>
            <w:pPr>
              <w:jc w:val="right"/>
            </w:pPr>
            <w:r>
              <w:rPr>
                <w:color w:val="000000"/>
                <w:sz w:val="24"/>
                <w:szCs w:val="24"/>
              </w:rPr>
              <w:t>310,100</w:t>
            </w:r>
          </w:p>
        </w:tc>
        <w:tc>
          <w:tcPr>
            <w:vAlign w:val="center"/>
          </w:tcPr>
          <w:p>
            <w:pPr>
              <w:jc w:val="right"/>
            </w:pPr>
            <w:r>
              <w:rPr>
                <w:color w:val="000000"/>
                <w:sz w:val="24"/>
                <w:szCs w:val="24"/>
              </w:rPr>
              <w:t>3,804,927.00</w:t>
            </w:r>
          </w:p>
        </w:tc>
        <w:tc>
          <w:tcPr>
            <w:vAlign w:val="center"/>
          </w:tcPr>
          <w:p>
            <w:pPr>
              <w:jc w:val="right"/>
            </w:pPr>
            <w:r>
              <w:rPr>
                <w:color w:val="000000"/>
                <w:sz w:val="24"/>
                <w:szCs w:val="24"/>
              </w:rPr>
              <w:t>1.00</w:t>
            </w:r>
          </w:p>
        </w:tc>
      </w:tr>
      <w:tr>
        <w:tc>
          <w:tcPr>
            <w:vAlign w:val="center"/>
          </w:tcPr>
          <w:p>
            <w:pPr>
              <w:jc w:val="center"/>
            </w:pPr>
            <w:r>
              <w:rPr>
                <w:color w:val="000000"/>
                <w:sz w:val="24"/>
                <w:szCs w:val="24"/>
              </w:rPr>
              <w:t>10</w:t>
            </w:r>
          </w:p>
        </w:tc>
        <w:tc>
          <w:tcPr>
            <w:vAlign w:val="center"/>
          </w:tcPr>
          <w:p>
            <w:pPr>
              <w:jc w:val="center"/>
            </w:pPr>
            <w:r>
              <w:rPr>
                <w:color w:val="000000"/>
                <w:sz w:val="24"/>
                <w:szCs w:val="24"/>
              </w:rPr>
              <w:t>601933</w:t>
            </w:r>
          </w:p>
        </w:tc>
        <w:tc>
          <w:tcPr>
            <w:vAlign w:val="center"/>
          </w:tcPr>
          <w:p>
            <w:pPr>
              <w:jc w:val="center"/>
            </w:pPr>
            <w:r>
              <w:rPr>
                <w:color w:val="000000"/>
                <w:sz w:val="24"/>
                <w:szCs w:val="24"/>
              </w:rPr>
              <w:t>永辉超市</w:t>
            </w:r>
          </w:p>
        </w:tc>
        <w:tc>
          <w:tcPr>
            <w:vAlign w:val="center"/>
          </w:tcPr>
          <w:p>
            <w:pPr>
              <w:jc w:val="right"/>
            </w:pPr>
            <w:r>
              <w:rPr>
                <w:color w:val="000000"/>
                <w:sz w:val="24"/>
                <w:szCs w:val="24"/>
              </w:rPr>
              <w:t>207,000</w:t>
            </w:r>
          </w:p>
        </w:tc>
        <w:tc>
          <w:tcPr>
            <w:vAlign w:val="center"/>
          </w:tcPr>
          <w:p>
            <w:pPr>
              <w:jc w:val="right"/>
            </w:pPr>
            <w:r>
              <w:rPr>
                <w:color w:val="000000"/>
                <w:sz w:val="24"/>
                <w:szCs w:val="24"/>
              </w:rPr>
              <w:t>1,840,230.00</w:t>
            </w:r>
          </w:p>
        </w:tc>
        <w:tc>
          <w:tcPr>
            <w:vAlign w:val="center"/>
          </w:tcPr>
          <w:p>
            <w:pPr>
              <w:jc w:val="right"/>
            </w:pPr>
            <w:r>
              <w:rPr>
                <w:color w:val="000000"/>
                <w:sz w:val="24"/>
                <w:szCs w:val="24"/>
              </w:rPr>
              <w:t>0.48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20,341,200.00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20,341,200.00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181,834,000.00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47.69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132,217,000.00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34.67</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0.02</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334,453,200.00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87.71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101800522</w:t>
            </w:r>
          </w:p>
        </w:tc>
        <w:tc>
          <w:tcPr>
            <w:vAlign w:val="center"/>
          </w:tcPr>
          <w:p>
            <w:pPr>
              <w:jc w:val="center"/>
            </w:pPr>
            <w:r>
              <w:rPr>
                <w:color w:val="000000"/>
                <w:sz w:val="24"/>
                <w:szCs w:val="24"/>
              </w:rPr>
              <w:t>18苏交通MTN001</w:t>
            </w:r>
          </w:p>
        </w:tc>
        <w:tc>
          <w:tcPr>
            <w:vAlign w:val="center"/>
          </w:tcPr>
          <w:p>
            <w:pPr>
              <w:jc w:val="right"/>
            </w:pPr>
            <w:r>
              <w:rPr>
                <w:color w:val="000000"/>
                <w:sz w:val="24"/>
                <w:szCs w:val="24"/>
              </w:rPr>
              <w:t>200,000</w:t>
            </w:r>
          </w:p>
        </w:tc>
        <w:tc>
          <w:tcPr>
            <w:vAlign w:val="center"/>
          </w:tcPr>
          <w:p>
            <w:pPr>
              <w:jc w:val="right"/>
            </w:pPr>
            <w:r>
              <w:rPr>
                <w:color w:val="000000"/>
                <w:sz w:val="24"/>
                <w:szCs w:val="24"/>
              </w:rPr>
              <w:t>20,500,000.00</w:t>
            </w:r>
          </w:p>
        </w:tc>
        <w:tc>
          <w:tcPr>
            <w:vAlign w:val="center"/>
          </w:tcPr>
          <w:p>
            <w:pPr>
              <w:jc w:val="right"/>
            </w:pPr>
            <w:r>
              <w:rPr>
                <w:color w:val="000000"/>
                <w:sz w:val="24"/>
                <w:szCs w:val="24"/>
              </w:rPr>
              <w:t>5.38</w:t>
            </w:r>
          </w:p>
        </w:tc>
      </w:tr>
      <w:tr>
        <w:tc>
          <w:tcPr>
            <w:vAlign w:val="center"/>
          </w:tcPr>
          <w:p>
            <w:pPr>
              <w:jc w:val="center"/>
            </w:pPr>
            <w:r>
              <w:rPr>
                <w:color w:val="000000"/>
                <w:sz w:val="24"/>
                <w:szCs w:val="24"/>
              </w:rPr>
              <w:t>2</w:t>
            </w:r>
          </w:p>
        </w:tc>
        <w:tc>
          <w:tcPr>
            <w:vAlign w:val="center"/>
          </w:tcPr>
          <w:p>
            <w:pPr>
              <w:jc w:val="center"/>
            </w:pPr>
            <w:r>
              <w:rPr>
                <w:color w:val="000000"/>
                <w:sz w:val="24"/>
                <w:szCs w:val="24"/>
              </w:rPr>
              <w:t>018007</w:t>
            </w:r>
          </w:p>
        </w:tc>
        <w:tc>
          <w:tcPr>
            <w:vAlign w:val="center"/>
          </w:tcPr>
          <w:p>
            <w:pPr>
              <w:jc w:val="center"/>
            </w:pPr>
            <w:r>
              <w:rPr>
                <w:color w:val="000000"/>
                <w:sz w:val="24"/>
                <w:szCs w:val="24"/>
              </w:rPr>
              <w:t>国开1801</w:t>
            </w:r>
          </w:p>
        </w:tc>
        <w:tc>
          <w:tcPr>
            <w:vAlign w:val="center"/>
          </w:tcPr>
          <w:p>
            <w:pPr>
              <w:jc w:val="right"/>
            </w:pPr>
            <w:r>
              <w:rPr>
                <w:color w:val="000000"/>
                <w:sz w:val="24"/>
                <w:szCs w:val="24"/>
              </w:rPr>
              <w:t>201,000</w:t>
            </w:r>
          </w:p>
        </w:tc>
        <w:tc>
          <w:tcPr>
            <w:vAlign w:val="center"/>
          </w:tcPr>
          <w:p>
            <w:pPr>
              <w:jc w:val="right"/>
            </w:pPr>
            <w:r>
              <w:rPr>
                <w:color w:val="000000"/>
                <w:sz w:val="24"/>
                <w:szCs w:val="24"/>
              </w:rPr>
              <w:t>20,341,200.00</w:t>
            </w:r>
          </w:p>
        </w:tc>
        <w:tc>
          <w:tcPr>
            <w:vAlign w:val="center"/>
          </w:tcPr>
          <w:p>
            <w:pPr>
              <w:jc w:val="right"/>
            </w:pPr>
            <w:r>
              <w:rPr>
                <w:color w:val="000000"/>
                <w:sz w:val="24"/>
                <w:szCs w:val="24"/>
              </w:rPr>
              <w:t>5.33</w:t>
            </w:r>
          </w:p>
        </w:tc>
      </w:tr>
      <w:tr>
        <w:tc>
          <w:tcPr>
            <w:vAlign w:val="center"/>
          </w:tcPr>
          <w:p>
            <w:pPr>
              <w:jc w:val="center"/>
            </w:pPr>
            <w:r>
              <w:rPr>
                <w:color w:val="000000"/>
                <w:sz w:val="24"/>
                <w:szCs w:val="24"/>
              </w:rPr>
              <w:t>3</w:t>
            </w:r>
          </w:p>
        </w:tc>
        <w:tc>
          <w:tcPr>
            <w:vAlign w:val="center"/>
          </w:tcPr>
          <w:p>
            <w:pPr>
              <w:jc w:val="center"/>
            </w:pPr>
            <w:r>
              <w:rPr>
                <w:color w:val="000000"/>
                <w:sz w:val="24"/>
                <w:szCs w:val="24"/>
              </w:rPr>
              <w:t>143273</w:t>
            </w:r>
          </w:p>
        </w:tc>
        <w:tc>
          <w:tcPr>
            <w:vAlign w:val="center"/>
          </w:tcPr>
          <w:p>
            <w:pPr>
              <w:jc w:val="center"/>
            </w:pPr>
            <w:r>
              <w:rPr>
                <w:color w:val="000000"/>
                <w:sz w:val="24"/>
                <w:szCs w:val="24"/>
              </w:rPr>
              <w:t>17两江01</w:t>
            </w:r>
          </w:p>
        </w:tc>
        <w:tc>
          <w:tcPr>
            <w:vAlign w:val="center"/>
          </w:tcPr>
          <w:p>
            <w:pPr>
              <w:jc w:val="right"/>
            </w:pPr>
            <w:r>
              <w:rPr>
                <w:color w:val="000000"/>
                <w:sz w:val="24"/>
                <w:szCs w:val="24"/>
              </w:rPr>
              <w:t>200,000</w:t>
            </w:r>
          </w:p>
        </w:tc>
        <w:tc>
          <w:tcPr>
            <w:vAlign w:val="center"/>
          </w:tcPr>
          <w:p>
            <w:pPr>
              <w:jc w:val="right"/>
            </w:pPr>
            <w:r>
              <w:rPr>
                <w:color w:val="000000"/>
                <w:sz w:val="24"/>
                <w:szCs w:val="24"/>
              </w:rPr>
              <w:t>20,262,000.00</w:t>
            </w:r>
          </w:p>
        </w:tc>
        <w:tc>
          <w:tcPr>
            <w:vAlign w:val="center"/>
          </w:tcPr>
          <w:p>
            <w:pPr>
              <w:jc w:val="right"/>
            </w:pPr>
            <w:r>
              <w:rPr>
                <w:color w:val="000000"/>
                <w:sz w:val="24"/>
                <w:szCs w:val="24"/>
              </w:rPr>
              <w:t>5.31</w:t>
            </w:r>
          </w:p>
        </w:tc>
      </w:tr>
      <w:tr>
        <w:tc>
          <w:tcPr>
            <w:vAlign w:val="center"/>
          </w:tcPr>
          <w:p>
            <w:pPr>
              <w:jc w:val="center"/>
            </w:pPr>
            <w:r>
              <w:rPr>
                <w:color w:val="000000"/>
                <w:sz w:val="24"/>
                <w:szCs w:val="24"/>
              </w:rPr>
              <w:t>4</w:t>
            </w:r>
          </w:p>
        </w:tc>
        <w:tc>
          <w:tcPr>
            <w:vAlign w:val="center"/>
          </w:tcPr>
          <w:p>
            <w:pPr>
              <w:jc w:val="center"/>
            </w:pPr>
            <w:r>
              <w:rPr>
                <w:color w:val="000000"/>
                <w:sz w:val="24"/>
                <w:szCs w:val="24"/>
              </w:rPr>
              <w:t>101900125</w:t>
            </w:r>
          </w:p>
        </w:tc>
        <w:tc>
          <w:tcPr>
            <w:vAlign w:val="center"/>
          </w:tcPr>
          <w:p>
            <w:pPr>
              <w:jc w:val="center"/>
            </w:pPr>
            <w:r>
              <w:rPr>
                <w:color w:val="000000"/>
                <w:sz w:val="24"/>
                <w:szCs w:val="24"/>
              </w:rPr>
              <w:t>19国电MTN001</w:t>
            </w:r>
          </w:p>
        </w:tc>
        <w:tc>
          <w:tcPr>
            <w:vAlign w:val="center"/>
          </w:tcPr>
          <w:p>
            <w:pPr>
              <w:jc w:val="right"/>
            </w:pPr>
            <w:r>
              <w:rPr>
                <w:color w:val="000000"/>
                <w:sz w:val="24"/>
                <w:szCs w:val="24"/>
              </w:rPr>
              <w:t>200,000</w:t>
            </w:r>
          </w:p>
        </w:tc>
        <w:tc>
          <w:tcPr>
            <w:vAlign w:val="center"/>
          </w:tcPr>
          <w:p>
            <w:pPr>
              <w:jc w:val="right"/>
            </w:pPr>
            <w:r>
              <w:rPr>
                <w:color w:val="000000"/>
                <w:sz w:val="24"/>
                <w:szCs w:val="24"/>
              </w:rPr>
              <w:t>20,166,000.00</w:t>
            </w:r>
          </w:p>
        </w:tc>
        <w:tc>
          <w:tcPr>
            <w:vAlign w:val="center"/>
          </w:tcPr>
          <w:p>
            <w:pPr>
              <w:jc w:val="right"/>
            </w:pPr>
            <w:r>
              <w:rPr>
                <w:color w:val="000000"/>
                <w:sz w:val="24"/>
                <w:szCs w:val="24"/>
              </w:rPr>
              <w:t>5.29</w:t>
            </w:r>
          </w:p>
        </w:tc>
      </w:tr>
      <w:tr>
        <w:tc>
          <w:tcPr>
            <w:vAlign w:val="center"/>
          </w:tcPr>
          <w:p>
            <w:pPr>
              <w:jc w:val="center"/>
            </w:pPr>
            <w:r>
              <w:rPr>
                <w:color w:val="000000"/>
                <w:sz w:val="24"/>
                <w:szCs w:val="24"/>
              </w:rPr>
              <w:t>5</w:t>
            </w:r>
          </w:p>
        </w:tc>
        <w:tc>
          <w:tcPr>
            <w:vAlign w:val="center"/>
          </w:tcPr>
          <w:p>
            <w:pPr>
              <w:jc w:val="center"/>
            </w:pPr>
            <w:r>
              <w:rPr>
                <w:color w:val="000000"/>
                <w:sz w:val="24"/>
                <w:szCs w:val="24"/>
              </w:rPr>
              <w:t>136270</w:t>
            </w:r>
          </w:p>
        </w:tc>
        <w:tc>
          <w:tcPr>
            <w:vAlign w:val="center"/>
          </w:tcPr>
          <w:p>
            <w:pPr>
              <w:jc w:val="center"/>
            </w:pPr>
            <w:r>
              <w:rPr>
                <w:color w:val="000000"/>
                <w:sz w:val="24"/>
                <w:szCs w:val="24"/>
              </w:rPr>
              <w:t>16南网01</w:t>
            </w:r>
          </w:p>
        </w:tc>
        <w:tc>
          <w:tcPr>
            <w:vAlign w:val="center"/>
          </w:tcPr>
          <w:p>
            <w:pPr>
              <w:jc w:val="right"/>
            </w:pPr>
            <w:r>
              <w:rPr>
                <w:color w:val="000000"/>
                <w:sz w:val="24"/>
                <w:szCs w:val="24"/>
              </w:rPr>
              <w:t>200,000</w:t>
            </w:r>
          </w:p>
        </w:tc>
        <w:tc>
          <w:tcPr>
            <w:vAlign w:val="center"/>
          </w:tcPr>
          <w:p>
            <w:pPr>
              <w:jc w:val="right"/>
            </w:pPr>
            <w:r>
              <w:rPr>
                <w:color w:val="000000"/>
                <w:sz w:val="24"/>
                <w:szCs w:val="24"/>
              </w:rPr>
              <w:t>19,978,000.00</w:t>
            </w:r>
          </w:p>
        </w:tc>
        <w:tc>
          <w:tcPr>
            <w:vAlign w:val="center"/>
          </w:tcPr>
          <w:p>
            <w:pPr>
              <w:jc w:val="right"/>
            </w:pPr>
            <w:r>
              <w:rPr>
                <w:color w:val="000000"/>
                <w:sz w:val="24"/>
                <w:szCs w:val="24"/>
              </w:rPr>
              <w:t>5.24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77,166.38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857,111.35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4,496,701.75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2,281.83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5,433,261.31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306,452,768.25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74,627,833.06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20,244,905.07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360,835,696.24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2019/7/1-2019/9/30</w:t>
            </w:r>
          </w:p>
        </w:tc>
        <w:tc>
          <w:tcPr>
            <w:vAlign w:val="center"/>
          </w:tcPr>
          <w:p>
            <w:pPr>
              <w:jc w:val="center"/>
            </w:pPr>
            <w:r>
              <w:rPr>
                <w:rFonts w:ascii="宋体" w:hAnsi="宋体"/>
                <w:color w:val="000000"/>
                <w:kern w:val="0"/>
              </w:rPr>
              <w:t>98,589,174.80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98,589,174.80</w:t>
            </w:r>
          </w:p>
        </w:tc>
        <w:tc>
          <w:tcPr>
            <w:vAlign w:val="center"/>
          </w:tcPr>
          <w:p>
            <w:pPr>
              <w:jc w:val="center"/>
            </w:pPr>
            <w:r>
              <w:rPr>
                <w:rFonts w:ascii="宋体" w:hAnsi="宋体"/>
                <w:color w:val="000000"/>
                <w:kern w:val="0"/>
              </w:rPr>
              <w:t>27.32%</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2019/7/1-2019/9/30</w:t>
            </w:r>
          </w:p>
        </w:tc>
        <w:tc>
          <w:tcPr>
            <w:vAlign w:val="center"/>
          </w:tcPr>
          <w:p>
            <w:pPr>
              <w:jc w:val="center"/>
            </w:pPr>
            <w:r>
              <w:rPr>
                <w:rFonts w:ascii="宋体" w:hAnsi="宋体"/>
                <w:color w:val="000000"/>
                <w:kern w:val="0"/>
              </w:rPr>
              <w:t>98,589,174.80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98,589,174.80</w:t>
            </w:r>
          </w:p>
        </w:tc>
        <w:tc>
          <w:tcPr>
            <w:vAlign w:val="center"/>
          </w:tcPr>
          <w:p>
            <w:pPr>
              <w:jc w:val="center"/>
            </w:pPr>
            <w:r>
              <w:rPr>
                <w:rFonts w:ascii="宋体" w:hAnsi="宋体"/>
                <w:color w:val="000000"/>
                <w:kern w:val="0"/>
              </w:rPr>
              <w:t>27.32%</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1、中国证监会准予交银施罗德恒益灵活配置混合型证券投资基金募集注册的文件；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2、《交银施罗德恒益灵活配置混合型证券投资基金基金合同》；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3、《交银施罗德恒益灵活配置混合型证券投资基金招募说明书》；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4、《交银施罗德恒益灵活配置混合型证券投资基金托管协议》；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5、关于申请募集注册交银施罗德恒益灵活配置混合型证券投资基金的法律意见书；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8、报告期内交银施罗德恒益灵活配置混合型证券投资基金在指定报刊上各项公告的原稿。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交银施罗德恒益灵活配置混合型证券投资基金2019年第3季度报告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