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交银施罗德新生活力灵活配置混合型证券投资基金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交银新生活力灵活配置混合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2016年11月11日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2,369,577,211.23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本基金通过深度优选与新生力量息息相关的优质企业，分享中国因新生行业发展所带来的投资新机会，力争为基金份额持有人获得超越业绩比较基准的收益。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367,408,123.29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410,990,970.53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4,169,924,276.44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10.97%</w:t>
            </w:r>
          </w:p>
        </w:tc>
        <w:tc>
          <w:tcPr>
            <w:vAlign w:val="center"/>
          </w:tcPr>
          <w:p>
            <w:pPr>
              <w:jc w:val="center"/>
            </w:pPr>
            <w:r>
              <w:rPr>
                <w:color w:val="000000"/>
                <w:sz w:val="24"/>
                <w:szCs w:val="24"/>
              </w:rPr>
              <w:t>1.26%</w:t>
            </w:r>
          </w:p>
        </w:tc>
        <w:tc>
          <w:tcPr>
            <w:vAlign w:val="center"/>
          </w:tcPr>
          <w:p>
            <w:pPr>
              <w:jc w:val="center"/>
            </w:pPr>
            <w:r>
              <w:rPr>
                <w:color w:val="000000"/>
                <w:sz w:val="24"/>
                <w:szCs w:val="24"/>
              </w:rPr>
              <w:t>0.45%</w:t>
            </w:r>
          </w:p>
        </w:tc>
        <w:tc>
          <w:tcPr>
            <w:vAlign w:val="center"/>
          </w:tcPr>
          <w:p>
            <w:pPr>
              <w:jc w:val="center"/>
            </w:pPr>
            <w:r>
              <w:rPr>
                <w:color w:val="000000"/>
                <w:sz w:val="24"/>
                <w:szCs w:val="24"/>
              </w:rPr>
              <w:t>0.57%</w:t>
            </w:r>
          </w:p>
        </w:tc>
        <w:tc>
          <w:tcPr>
            <w:vAlign w:val="center"/>
          </w:tcPr>
          <w:p>
            <w:pPr>
              <w:jc w:val="center"/>
            </w:pPr>
            <w:r>
              <w:rPr>
                <w:color w:val="000000"/>
                <w:sz w:val="24"/>
                <w:szCs w:val="24"/>
              </w:rPr>
              <w:t>10.52%</w:t>
            </w:r>
          </w:p>
        </w:tc>
        <w:tc>
          <w:tcPr>
            <w:vAlign w:val="center"/>
          </w:tcPr>
          <w:p>
            <w:pPr>
              <w:jc w:val="center"/>
            </w:pPr>
            <w:r>
              <w:rPr>
                <w:color w:val="000000"/>
                <w:sz w:val="24"/>
                <w:szCs w:val="24"/>
              </w:rPr>
              <w:t>0.69%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交银施罗德新生活力灵活配置混合型证券投资基金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2016年11月11日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2016-11-11</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宏观上亮点不多，但科技领域表现亮眼。在华为受到美国贸易管制后，电子高阶产业链有向国内加速迁徙的迹象，同时由于5G网络加速建设，使得电子通信业形成短期供不应求的状态，同时信息安全等软件类需求旺盛。本基金在二季报中预判到该变化，在本季度初增持了科技股，获得较好的相对收益。经过三季度以电子、通信以及医药为代表的科技股快速上涨，短期科技股的估值需要进一步业绩和时间消化，中美贸易冲突仍可能造成波动。我们认为能够创新优化结构的行业不仅是首当其冲的科技行业，许多行业都可以在经济转型中找到投资机会。</w:t>
      </w:r>
    </w:p>
    <w:p>
      <w:pPr>
        <w:spacing w:before="29" w:line="288" w:lineRule="auto"/>
        <w:ind w:firstLine="480" w:firstLineChars="200"/>
        <w:rPr>
          <w:color w:val="000000"/>
          <w:sz w:val="24"/>
          <w:szCs w:val="24"/>
        </w:rPr>
      </w:pPr>
      <w:r>
        <w:rPr>
          <w:color w:val="000000"/>
          <w:sz w:val="24"/>
          <w:szCs w:val="24"/>
        </w:rPr>
        <w:t>我们在前期报告中指出：“从长期的角度，国内外政治经济的新常态仍然需要得到产业界和资本界的清醒认识，放弃对数量型发展模式的复辟预期，探索质量型发展模式的具象仍然任重道远。” 这个中长期观点在一次次的获得验证，我们始终坚持这个观点。我们的组合管理框架分为三个维度：行业景气度、产业生命周期、企业的价值观与商业模型。这三个维度分别是短、中、长的三个视角。第一个维度——行业景气度（轮动周期），如果每次都能踩准则能获得高收益率，但事实是我们观察如果单纯从行业景气度出发，很少有持续踩对节奏的基金，反而造成基金净值大幅波动。于是我们加入了第二个维度——产业生命周期，研究产业的关联度，研究中期的东西，去找到第一个维度的先行指标（定性定量的都有），对不同阶段的公司都有一定的分布投资，这样就能形成一定对冲，对冲情绪的贝塔，沥出阿尔法的投资机会。再者，我们反复琢磨这家企业为客户创造的是什么价值，它有没有好的商业模型把为客户创造的价值转换为股东创造价值。这些公司，即使短期不在轮动周期的风口上，它的回撤幅度也很小，而一旦景气度反转，则第一波预期差扭转的收益率是很好的。</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正因为我们的投资框架是三维度的，兼顾短中长期，聚焦阿尔法，尽量对冲波动回撤，所以建议长期投资，抢热点的短期波动可能并不适合，也不符合本基金的管理目标。我们将按照我们的组合管理框架继续进行中长期投资，持仓结构上看，我们持有政企软件、互联网服务、民生消费以及高端制造四个方向比较多。我们将继续寻找具备新时代背景的优秀公司投资，持续稳健地为持有人服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3,501,856,940.24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3,501,856,940.24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687,894,778.17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16,595,707.61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4,206,347,426.02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1,020,591,715.88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123,607,914.30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1,140,468,145.77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86,082.27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41,690,220.00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219,908,282.98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365,272,563.60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590,232,015.44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3,501,856,940.24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83.98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22,450,680</w:t>
            </w:r>
          </w:p>
        </w:tc>
        <w:tc>
          <w:tcPr>
            <w:vAlign w:val="center"/>
          </w:tcPr>
          <w:p>
            <w:pPr>
              <w:jc w:val="right"/>
            </w:pPr>
            <w:r>
              <w:rPr>
                <w:color w:val="000000"/>
                <w:sz w:val="24"/>
                <w:szCs w:val="24"/>
              </w:rPr>
              <w:t>365,272,563.60</w:t>
            </w:r>
          </w:p>
        </w:tc>
        <w:tc>
          <w:tcPr>
            <w:vAlign w:val="center"/>
          </w:tcPr>
          <w:p>
            <w:pPr>
              <w:jc w:val="right"/>
            </w:pPr>
            <w:r>
              <w:rPr>
                <w:color w:val="000000"/>
                <w:sz w:val="24"/>
                <w:szCs w:val="24"/>
              </w:rPr>
              <w:t>8.76</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7,692,504</w:t>
            </w:r>
          </w:p>
        </w:tc>
        <w:tc>
          <w:tcPr>
            <w:vAlign w:val="center"/>
          </w:tcPr>
          <w:p>
            <w:pPr>
              <w:jc w:val="right"/>
            </w:pPr>
            <w:r>
              <w:rPr>
                <w:color w:val="000000"/>
                <w:sz w:val="24"/>
                <w:szCs w:val="24"/>
              </w:rPr>
              <w:t>352,008,983.04</w:t>
            </w:r>
          </w:p>
        </w:tc>
        <w:tc>
          <w:tcPr>
            <w:vAlign w:val="center"/>
          </w:tcPr>
          <w:p>
            <w:pPr>
              <w:jc w:val="right"/>
            </w:pPr>
            <w:r>
              <w:rPr>
                <w:color w:val="000000"/>
                <w:sz w:val="24"/>
                <w:szCs w:val="24"/>
              </w:rPr>
              <w:t>8.44</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14,503,208</w:t>
            </w:r>
          </w:p>
        </w:tc>
        <w:tc>
          <w:tcPr>
            <w:vAlign w:val="center"/>
          </w:tcPr>
          <w:p>
            <w:pPr>
              <w:jc w:val="right"/>
            </w:pPr>
            <w:r>
              <w:rPr>
                <w:color w:val="000000"/>
                <w:sz w:val="24"/>
                <w:szCs w:val="24"/>
              </w:rPr>
              <w:t>259,272,840.24</w:t>
            </w:r>
          </w:p>
        </w:tc>
        <w:tc>
          <w:tcPr>
            <w:vAlign w:val="center"/>
          </w:tcPr>
          <w:p>
            <w:pPr>
              <w:jc w:val="right"/>
            </w:pPr>
            <w:r>
              <w:rPr>
                <w:color w:val="000000"/>
                <w:sz w:val="24"/>
                <w:szCs w:val="24"/>
              </w:rPr>
              <w:t>6.22</w:t>
            </w:r>
          </w:p>
        </w:tc>
      </w:tr>
      <w:tr>
        <w:tc>
          <w:tcPr>
            <w:vAlign w:val="center"/>
          </w:tcPr>
          <w:p>
            <w:pPr>
              <w:jc w:val="center"/>
            </w:pPr>
            <w:r>
              <w:rPr>
                <w:color w:val="000000"/>
                <w:sz w:val="24"/>
                <w:szCs w:val="24"/>
              </w:rPr>
              <w:t>4</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17,425,379</w:t>
            </w:r>
          </w:p>
        </w:tc>
        <w:tc>
          <w:tcPr>
            <w:vAlign w:val="center"/>
          </w:tcPr>
          <w:p>
            <w:pPr>
              <w:jc w:val="right"/>
            </w:pPr>
            <w:r>
              <w:rPr>
                <w:color w:val="000000"/>
                <w:sz w:val="24"/>
                <w:szCs w:val="24"/>
              </w:rPr>
              <w:t>219,908,282.98</w:t>
            </w:r>
          </w:p>
        </w:tc>
        <w:tc>
          <w:tcPr>
            <w:vAlign w:val="center"/>
          </w:tcPr>
          <w:p>
            <w:pPr>
              <w:jc w:val="right"/>
            </w:pPr>
            <w:r>
              <w:rPr>
                <w:color w:val="000000"/>
                <w:sz w:val="24"/>
                <w:szCs w:val="24"/>
              </w:rPr>
              <w:t>5.27</w:t>
            </w:r>
          </w:p>
        </w:tc>
      </w:tr>
      <w:tr>
        <w:tc>
          <w:tcPr>
            <w:vAlign w:val="center"/>
          </w:tcPr>
          <w:p>
            <w:pPr>
              <w:jc w:val="center"/>
            </w:pPr>
            <w:r>
              <w:rPr>
                <w:color w:val="000000"/>
                <w:sz w:val="24"/>
                <w:szCs w:val="24"/>
              </w:rPr>
              <w:t>5</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12,876,412</w:t>
            </w:r>
          </w:p>
        </w:tc>
        <w:tc>
          <w:tcPr>
            <w:vAlign w:val="center"/>
          </w:tcPr>
          <w:p>
            <w:pPr>
              <w:jc w:val="right"/>
            </w:pPr>
            <w:r>
              <w:rPr>
                <w:color w:val="000000"/>
                <w:sz w:val="24"/>
                <w:szCs w:val="24"/>
              </w:rPr>
              <w:t>195,077,641.80</w:t>
            </w:r>
          </w:p>
        </w:tc>
        <w:tc>
          <w:tcPr>
            <w:vAlign w:val="center"/>
          </w:tcPr>
          <w:p>
            <w:pPr>
              <w:jc w:val="right"/>
            </w:pPr>
            <w:r>
              <w:rPr>
                <w:color w:val="000000"/>
                <w:sz w:val="24"/>
                <w:szCs w:val="24"/>
              </w:rPr>
              <w:t>4.68</w:t>
            </w:r>
          </w:p>
        </w:tc>
      </w:tr>
      <w:tr>
        <w:tc>
          <w:tcPr>
            <w:vAlign w:val="center"/>
          </w:tcPr>
          <w:p>
            <w:pPr>
              <w:jc w:val="center"/>
            </w:pPr>
            <w:r>
              <w:rPr>
                <w:color w:val="000000"/>
                <w:sz w:val="24"/>
                <w:szCs w:val="24"/>
              </w:rPr>
              <w:t>6</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11,146,965</w:t>
            </w:r>
          </w:p>
        </w:tc>
        <w:tc>
          <w:tcPr>
            <w:vAlign w:val="center"/>
          </w:tcPr>
          <w:p>
            <w:pPr>
              <w:jc w:val="right"/>
            </w:pPr>
            <w:r>
              <w:rPr>
                <w:color w:val="000000"/>
                <w:sz w:val="24"/>
                <w:szCs w:val="24"/>
              </w:rPr>
              <w:t>191,058,980.10</w:t>
            </w:r>
          </w:p>
        </w:tc>
        <w:tc>
          <w:tcPr>
            <w:vAlign w:val="center"/>
          </w:tcPr>
          <w:p>
            <w:pPr>
              <w:jc w:val="right"/>
            </w:pPr>
            <w:r>
              <w:rPr>
                <w:color w:val="000000"/>
                <w:sz w:val="24"/>
                <w:szCs w:val="24"/>
              </w:rPr>
              <w:t>4.58</w:t>
            </w:r>
          </w:p>
        </w:tc>
      </w:tr>
      <w:tr>
        <w:tc>
          <w:tcPr>
            <w:vAlign w:val="center"/>
          </w:tcPr>
          <w:p>
            <w:pPr>
              <w:jc w:val="center"/>
            </w:pPr>
            <w:r>
              <w:rPr>
                <w:color w:val="000000"/>
                <w:sz w:val="24"/>
                <w:szCs w:val="24"/>
              </w:rPr>
              <w:t>7</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4,729,007</w:t>
            </w:r>
          </w:p>
        </w:tc>
        <w:tc>
          <w:tcPr>
            <w:vAlign w:val="center"/>
          </w:tcPr>
          <w:p>
            <w:pPr>
              <w:jc w:val="right"/>
            </w:pPr>
            <w:r>
              <w:rPr>
                <w:color w:val="000000"/>
                <w:sz w:val="24"/>
                <w:szCs w:val="24"/>
              </w:rPr>
              <w:t>167,832,458.43</w:t>
            </w:r>
          </w:p>
        </w:tc>
        <w:tc>
          <w:tcPr>
            <w:vAlign w:val="center"/>
          </w:tcPr>
          <w:p>
            <w:pPr>
              <w:jc w:val="right"/>
            </w:pPr>
            <w:r>
              <w:rPr>
                <w:color w:val="000000"/>
                <w:sz w:val="24"/>
                <w:szCs w:val="24"/>
              </w:rPr>
              <w:t>4.02</w:t>
            </w:r>
          </w:p>
        </w:tc>
      </w:tr>
      <w:tr>
        <w:tc>
          <w:tcPr>
            <w:vAlign w:val="center"/>
          </w:tcPr>
          <w:p>
            <w:pPr>
              <w:jc w:val="center"/>
            </w:pPr>
            <w:r>
              <w:rPr>
                <w:color w:val="000000"/>
                <w:sz w:val="24"/>
                <w:szCs w:val="24"/>
              </w:rPr>
              <w:t>8</w:t>
            </w:r>
          </w:p>
        </w:tc>
        <w:tc>
          <w:tcPr>
            <w:vAlign w:val="center"/>
          </w:tcPr>
          <w:p>
            <w:pPr>
              <w:jc w:val="center"/>
            </w:pPr>
            <w:r>
              <w:rPr>
                <w:color w:val="000000"/>
                <w:sz w:val="24"/>
                <w:szCs w:val="24"/>
              </w:rPr>
              <w:t>300251</w:t>
            </w:r>
          </w:p>
        </w:tc>
        <w:tc>
          <w:tcPr>
            <w:vAlign w:val="center"/>
          </w:tcPr>
          <w:p>
            <w:pPr>
              <w:jc w:val="center"/>
            </w:pPr>
            <w:r>
              <w:rPr>
                <w:color w:val="000000"/>
                <w:sz w:val="24"/>
                <w:szCs w:val="24"/>
              </w:rPr>
              <w:t>光线传媒</w:t>
            </w:r>
          </w:p>
        </w:tc>
        <w:tc>
          <w:tcPr>
            <w:vAlign w:val="center"/>
          </w:tcPr>
          <w:p>
            <w:pPr>
              <w:jc w:val="right"/>
            </w:pPr>
            <w:r>
              <w:rPr>
                <w:color w:val="000000"/>
                <w:sz w:val="24"/>
                <w:szCs w:val="24"/>
              </w:rPr>
              <w:t>16,376,719</w:t>
            </w:r>
          </w:p>
        </w:tc>
        <w:tc>
          <w:tcPr>
            <w:vAlign w:val="center"/>
          </w:tcPr>
          <w:p>
            <w:pPr>
              <w:jc w:val="right"/>
            </w:pPr>
            <w:r>
              <w:rPr>
                <w:color w:val="000000"/>
                <w:sz w:val="24"/>
                <w:szCs w:val="24"/>
              </w:rPr>
              <w:t>153,286,089.84</w:t>
            </w:r>
          </w:p>
        </w:tc>
        <w:tc>
          <w:tcPr>
            <w:vAlign w:val="center"/>
          </w:tcPr>
          <w:p>
            <w:pPr>
              <w:jc w:val="right"/>
            </w:pPr>
            <w:r>
              <w:rPr>
                <w:color w:val="000000"/>
                <w:sz w:val="24"/>
                <w:szCs w:val="24"/>
              </w:rPr>
              <w:t>3.68</w:t>
            </w:r>
          </w:p>
        </w:tc>
      </w:tr>
      <w:tr>
        <w:tc>
          <w:tcPr>
            <w:vAlign w:val="center"/>
          </w:tcPr>
          <w:p>
            <w:pPr>
              <w:jc w:val="center"/>
            </w:pPr>
            <w:r>
              <w:rPr>
                <w:color w:val="000000"/>
                <w:sz w:val="24"/>
                <w:szCs w:val="24"/>
              </w:rPr>
              <w:t>9</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4,662,860</w:t>
            </w:r>
          </w:p>
        </w:tc>
        <w:tc>
          <w:tcPr>
            <w:vAlign w:val="center"/>
          </w:tcPr>
          <w:p>
            <w:pPr>
              <w:jc w:val="right"/>
            </w:pPr>
            <w:r>
              <w:rPr>
                <w:color w:val="000000"/>
                <w:sz w:val="24"/>
                <w:szCs w:val="24"/>
              </w:rPr>
              <w:t>148,558,719.60</w:t>
            </w:r>
          </w:p>
        </w:tc>
        <w:tc>
          <w:tcPr>
            <w:vAlign w:val="center"/>
          </w:tcPr>
          <w:p>
            <w:pPr>
              <w:jc w:val="right"/>
            </w:pPr>
            <w:r>
              <w:rPr>
                <w:color w:val="000000"/>
                <w:sz w:val="24"/>
                <w:szCs w:val="24"/>
              </w:rPr>
              <w:t>3.56</w:t>
            </w:r>
          </w:p>
        </w:tc>
      </w:tr>
      <w:tr>
        <w:tc>
          <w:tcPr>
            <w:vAlign w:val="center"/>
          </w:tcPr>
          <w:p>
            <w:pPr>
              <w:jc w:val="center"/>
            </w:pPr>
            <w:r>
              <w:rPr>
                <w:color w:val="000000"/>
                <w:sz w:val="24"/>
                <w:szCs w:val="24"/>
              </w:rPr>
              <w:t>10</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725,578</w:t>
            </w:r>
          </w:p>
        </w:tc>
        <w:tc>
          <w:tcPr>
            <w:vAlign w:val="center"/>
          </w:tcPr>
          <w:p>
            <w:pPr>
              <w:jc w:val="right"/>
            </w:pPr>
            <w:r>
              <w:rPr>
                <w:color w:val="000000"/>
                <w:sz w:val="24"/>
                <w:szCs w:val="24"/>
              </w:rPr>
              <w:t>147,582,565.20</w:t>
            </w:r>
          </w:p>
        </w:tc>
        <w:tc>
          <w:tcPr>
            <w:vAlign w:val="center"/>
          </w:tcPr>
          <w:p>
            <w:pPr>
              <w:jc w:val="right"/>
            </w:pPr>
            <w:r>
              <w:rPr>
                <w:color w:val="000000"/>
                <w:sz w:val="24"/>
                <w:szCs w:val="24"/>
              </w:rPr>
              <w:t>3.54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3,041,070.61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131,682.54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13,422,954.46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16,595,707.61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51,870,000.00</w:t>
            </w:r>
          </w:p>
        </w:tc>
        <w:tc>
          <w:tcPr>
            <w:vAlign w:val="center"/>
          </w:tcPr>
          <w:p>
            <w:pPr>
              <w:jc w:val="right"/>
            </w:pPr>
            <w:r>
              <w:rPr>
                <w:color w:val="000000"/>
                <w:sz w:val="24"/>
                <w:szCs w:val="24"/>
              </w:rPr>
              <w:t>1.24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2,696,533,907.06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565,798,089.14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892,754,784.97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2,369,577,211.23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    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1、中国证监会准予交银施罗德新生活力灵活配置混合型证券投资基金募集注册的文件；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2、《交银施罗德新生活力灵活配置混合型证券投资基金基金合同》；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3、《交银施罗德新生活力灵活配置混合型证券投资基金招募说明书》；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4、《交银施罗德新生活力灵活配置混合型证券投资基金托管协议》；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5、关于申请募集注册交银施罗德新生活力灵活配置混合型证券投资基金的法律意见书；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8、报告期内交银施罗德新生活力灵活配置混合型证券投资基金在指定报刊上各项公告的原稿。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交银施罗德新生活力灵活配置混合型证券投资基金2019年第3季度报告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