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交银施罗德新回报灵活配置混合型证券投资基金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交银新回报灵活配置混合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5</w:t>
            </w:r>
            <w:r w:rsidRPr="008A1551">
              <w:rPr>
                <w:sz w:val="24"/>
              </w:rPr>
              <w:t>月</w:t>
            </w:r>
            <w:r w:rsidRPr="008A1551">
              <w:rPr>
                <w:sz w:val="24"/>
              </w:rPr>
              <w:t>15</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362,458,634.11</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交银新回报灵活配置混合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交银新回报灵活配置混合</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519752</w:t>
            </w:r>
          </w:p>
        </w:tc>
        <w:tc>
          <w:tcPr>
            <w:tcW w:w="2596" w:type="dxa"/>
            <w:vAlign w:val="center"/>
          </w:tcPr>
          <w:p w:rsidR="0073136C" w:rsidRPr="008A1551" w:rsidRDefault="0073136C" w:rsidP="009E1EA4">
            <w:pPr>
              <w:spacing w:before="29" w:line="288" w:lineRule="auto"/>
              <w:jc w:val="center"/>
              <w:rPr>
                <w:sz w:val="24"/>
              </w:rPr>
            </w:pPr>
            <w:r w:rsidRPr="008A1551">
              <w:rPr>
                <w:sz w:val="24"/>
              </w:rPr>
              <w:t>519760</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349,476,159.54</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12,982,474.57</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8A1551">
              <w:rPr>
                <w:sz w:val="24"/>
              </w:rPr>
              <w:t>组合久期和</w:t>
            </w:r>
            <w:proofErr w:type="gramEnd"/>
            <w:r w:rsidRPr="008A1551">
              <w:rPr>
                <w:sz w:val="24"/>
              </w:rPr>
              <w:t>债券类别配置；在严谨深入的股票和债券研究分析基础上，自下而上精选股票和债券。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w:t>
            </w:r>
            <w:proofErr w:type="gramStart"/>
            <w:r w:rsidRPr="008A1551">
              <w:rPr>
                <w:sz w:val="24"/>
              </w:rPr>
              <w:t>债综合全价指数</w:t>
            </w:r>
            <w:proofErr w:type="gramEnd"/>
            <w:r w:rsidRPr="008A1551">
              <w:rPr>
                <w:sz w:val="24"/>
              </w:rPr>
              <w:t>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roofErr w:type="gramStart"/>
            <w:r w:rsidRPr="008A1551">
              <w:rPr>
                <w:color w:val="000000"/>
                <w:kern w:val="0"/>
                <w:sz w:val="24"/>
              </w:rPr>
              <w:t>李修滨</w:t>
            </w:r>
            <w:proofErr w:type="gramEnd"/>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BB5F12">
      <w:pPr>
        <w:pStyle w:val="20"/>
        <w:spacing w:before="29" w:after="0" w:line="288" w:lineRule="auto"/>
        <w:ind w:firstLine="420"/>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交银新回报灵活配置混合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交银新回报灵活配置混合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13,949,796.07</w:t>
            </w:r>
          </w:p>
        </w:tc>
        <w:tc>
          <w:tcPr>
            <w:tcW w:w="2558" w:type="dxa"/>
            <w:vAlign w:val="center"/>
          </w:tcPr>
          <w:p w:rsidR="001548F9" w:rsidRPr="008A1551" w:rsidRDefault="001548F9" w:rsidP="009E1EA4">
            <w:pPr>
              <w:spacing w:before="29" w:line="288" w:lineRule="auto"/>
              <w:jc w:val="right"/>
              <w:rPr>
                <w:sz w:val="24"/>
              </w:rPr>
            </w:pPr>
            <w:r w:rsidRPr="008A1551">
              <w:rPr>
                <w:sz w:val="24"/>
              </w:rPr>
              <w:t>1,037,907.12</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15,862,329.78</w:t>
            </w:r>
          </w:p>
        </w:tc>
        <w:tc>
          <w:tcPr>
            <w:tcW w:w="2558" w:type="dxa"/>
            <w:vAlign w:val="center"/>
          </w:tcPr>
          <w:p w:rsidR="001548F9" w:rsidRPr="008A1551" w:rsidRDefault="001548F9" w:rsidP="009E1EA4">
            <w:pPr>
              <w:spacing w:before="29" w:line="288" w:lineRule="auto"/>
              <w:jc w:val="right"/>
              <w:rPr>
                <w:sz w:val="24"/>
              </w:rPr>
            </w:pPr>
            <w:r w:rsidRPr="008A1551">
              <w:rPr>
                <w:sz w:val="24"/>
              </w:rPr>
              <w:t>1,456,295.58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0.0386</w:t>
            </w:r>
          </w:p>
        </w:tc>
        <w:tc>
          <w:tcPr>
            <w:tcW w:w="2558" w:type="dxa"/>
            <w:vAlign w:val="center"/>
          </w:tcPr>
          <w:p w:rsidR="001548F9" w:rsidRPr="008A1551" w:rsidRDefault="001548F9" w:rsidP="009E1EA4">
            <w:pPr>
              <w:spacing w:before="29" w:line="288" w:lineRule="auto"/>
              <w:jc w:val="right"/>
              <w:rPr>
                <w:sz w:val="24"/>
              </w:rPr>
            </w:pPr>
            <w:r w:rsidRPr="008A1551">
              <w:rPr>
                <w:sz w:val="24"/>
              </w:rPr>
              <w:t>0.1464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3.57%</w:t>
            </w:r>
          </w:p>
        </w:tc>
        <w:tc>
          <w:tcPr>
            <w:tcW w:w="2558" w:type="dxa"/>
            <w:vAlign w:val="center"/>
          </w:tcPr>
          <w:p w:rsidR="001548F9" w:rsidRPr="008A1551" w:rsidRDefault="001548F9" w:rsidP="009E1EA4">
            <w:pPr>
              <w:spacing w:before="29" w:line="288" w:lineRule="auto"/>
              <w:jc w:val="right"/>
              <w:rPr>
                <w:sz w:val="24"/>
              </w:rPr>
            </w:pPr>
            <w:r w:rsidRPr="008A1551">
              <w:rPr>
                <w:sz w:val="24"/>
              </w:rPr>
              <w:t>3.65%</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交银新回报灵活配置混合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交银新回报灵活配置混合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0.180</w:t>
            </w:r>
          </w:p>
        </w:tc>
        <w:tc>
          <w:tcPr>
            <w:tcW w:w="2558" w:type="dxa"/>
            <w:vAlign w:val="center"/>
          </w:tcPr>
          <w:p w:rsidR="001548F9" w:rsidRPr="008A1551" w:rsidRDefault="001548F9" w:rsidP="009E1EA4">
            <w:pPr>
              <w:spacing w:before="29" w:line="288" w:lineRule="auto"/>
              <w:jc w:val="right"/>
              <w:rPr>
                <w:sz w:val="24"/>
              </w:rPr>
            </w:pPr>
            <w:r w:rsidRPr="008A1551">
              <w:rPr>
                <w:sz w:val="24"/>
              </w:rPr>
              <w:t>3.115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415,988,121.24</w:t>
            </w:r>
          </w:p>
        </w:tc>
        <w:tc>
          <w:tcPr>
            <w:tcW w:w="2558" w:type="dxa"/>
            <w:vAlign w:val="center"/>
          </w:tcPr>
          <w:p w:rsidR="001548F9" w:rsidRPr="008A1551" w:rsidRDefault="001548F9" w:rsidP="009E1EA4">
            <w:pPr>
              <w:spacing w:before="29" w:line="288" w:lineRule="auto"/>
              <w:jc w:val="right"/>
              <w:rPr>
                <w:sz w:val="24"/>
              </w:rPr>
            </w:pPr>
            <w:r w:rsidRPr="008A1551">
              <w:rPr>
                <w:sz w:val="24"/>
              </w:rPr>
              <w:t>53,426,533.94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1.190</w:t>
            </w:r>
          </w:p>
        </w:tc>
        <w:tc>
          <w:tcPr>
            <w:tcW w:w="2558" w:type="dxa"/>
            <w:vAlign w:val="center"/>
          </w:tcPr>
          <w:p w:rsidR="001548F9" w:rsidRPr="008A1551" w:rsidRDefault="001548F9" w:rsidP="009E1EA4">
            <w:pPr>
              <w:spacing w:before="29" w:line="288" w:lineRule="auto"/>
              <w:jc w:val="right"/>
              <w:rPr>
                <w:sz w:val="24"/>
              </w:rPr>
            </w:pPr>
            <w:r w:rsidRPr="008A1551">
              <w:rPr>
                <w:sz w:val="24"/>
              </w:rPr>
              <w:t>4.115</w:t>
            </w:r>
          </w:p>
        </w:tc>
      </w:tr>
    </w:tbl>
    <w:p w:rsidR="00C75F3A" w:rsidRDefault="00BB5F12">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proofErr w:type="gramStart"/>
      <w:r>
        <w:rPr>
          <w:kern w:val="0"/>
          <w:sz w:val="24"/>
        </w:rPr>
        <w:t>类业绩</w:t>
      </w:r>
      <w:proofErr w:type="gramEnd"/>
      <w:r>
        <w:rPr>
          <w:kern w:val="0"/>
          <w:sz w:val="24"/>
        </w:rPr>
        <w:t>指标不包括持有人认购或交易基金的各项费用，计入费用后</w:t>
      </w:r>
      <w:r>
        <w:rPr>
          <w:kern w:val="0"/>
          <w:sz w:val="24"/>
        </w:rPr>
        <w:lastRenderedPageBreak/>
        <w:t>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C75F3A">
        <w:tc>
          <w:tcPr>
            <w:tcW w:w="1497" w:type="dxa"/>
            <w:vAlign w:val="center"/>
          </w:tcPr>
          <w:p w:rsidR="00C75F3A" w:rsidRDefault="00BB5F12">
            <w:pPr>
              <w:jc w:val="left"/>
            </w:pPr>
            <w:r>
              <w:rPr>
                <w:color w:val="000000"/>
                <w:sz w:val="24"/>
              </w:rPr>
              <w:t>过去一个月</w:t>
            </w:r>
          </w:p>
        </w:tc>
        <w:tc>
          <w:tcPr>
            <w:tcW w:w="1251" w:type="dxa"/>
            <w:vAlign w:val="center"/>
          </w:tcPr>
          <w:p w:rsidR="00C75F3A" w:rsidRDefault="00BB5F12">
            <w:pPr>
              <w:jc w:val="center"/>
            </w:pPr>
            <w:r>
              <w:rPr>
                <w:color w:val="000000"/>
                <w:sz w:val="24"/>
              </w:rPr>
              <w:t>1.54%</w:t>
            </w:r>
          </w:p>
        </w:tc>
        <w:tc>
          <w:tcPr>
            <w:tcW w:w="1250" w:type="dxa"/>
            <w:vAlign w:val="center"/>
          </w:tcPr>
          <w:p w:rsidR="00C75F3A" w:rsidRDefault="00BB5F12">
            <w:pPr>
              <w:jc w:val="center"/>
            </w:pPr>
            <w:r>
              <w:rPr>
                <w:color w:val="000000"/>
                <w:sz w:val="24"/>
              </w:rPr>
              <w:t>0.16%</w:t>
            </w:r>
          </w:p>
        </w:tc>
        <w:tc>
          <w:tcPr>
            <w:tcW w:w="1250" w:type="dxa"/>
            <w:vAlign w:val="center"/>
          </w:tcPr>
          <w:p w:rsidR="00C75F3A" w:rsidRDefault="00BB5F12">
            <w:pPr>
              <w:jc w:val="center"/>
            </w:pPr>
            <w:r>
              <w:rPr>
                <w:color w:val="000000"/>
                <w:sz w:val="24"/>
              </w:rPr>
              <w:t>2.84%</w:t>
            </w:r>
          </w:p>
        </w:tc>
        <w:tc>
          <w:tcPr>
            <w:tcW w:w="1250" w:type="dxa"/>
            <w:vAlign w:val="center"/>
          </w:tcPr>
          <w:p w:rsidR="00C75F3A" w:rsidRDefault="00BB5F12">
            <w:pPr>
              <w:jc w:val="center"/>
            </w:pPr>
            <w:r>
              <w:rPr>
                <w:color w:val="000000"/>
                <w:sz w:val="24"/>
              </w:rPr>
              <w:t>0.57%</w:t>
            </w:r>
          </w:p>
        </w:tc>
        <w:tc>
          <w:tcPr>
            <w:tcW w:w="1250" w:type="dxa"/>
            <w:vAlign w:val="center"/>
          </w:tcPr>
          <w:p w:rsidR="00C75F3A" w:rsidRDefault="00BB5F12">
            <w:pPr>
              <w:jc w:val="center"/>
            </w:pPr>
            <w:r>
              <w:rPr>
                <w:color w:val="000000"/>
                <w:sz w:val="24"/>
              </w:rPr>
              <w:t>-1.30%</w:t>
            </w:r>
          </w:p>
        </w:tc>
        <w:tc>
          <w:tcPr>
            <w:tcW w:w="1250" w:type="dxa"/>
            <w:vAlign w:val="center"/>
          </w:tcPr>
          <w:p w:rsidR="00C75F3A" w:rsidRDefault="00BB5F12">
            <w:pPr>
              <w:jc w:val="center"/>
            </w:pPr>
            <w:r>
              <w:rPr>
                <w:color w:val="000000"/>
                <w:sz w:val="24"/>
              </w:rPr>
              <w:t>-0.41%</w:t>
            </w:r>
          </w:p>
        </w:tc>
      </w:tr>
      <w:tr w:rsidR="00C75F3A">
        <w:tc>
          <w:tcPr>
            <w:tcW w:w="1497" w:type="dxa"/>
            <w:vAlign w:val="center"/>
          </w:tcPr>
          <w:p w:rsidR="00C75F3A" w:rsidRDefault="00BB5F12">
            <w:pPr>
              <w:jc w:val="left"/>
            </w:pPr>
            <w:r>
              <w:rPr>
                <w:color w:val="000000"/>
                <w:sz w:val="24"/>
              </w:rPr>
              <w:t>过去三个月</w:t>
            </w:r>
          </w:p>
        </w:tc>
        <w:tc>
          <w:tcPr>
            <w:tcW w:w="1251" w:type="dxa"/>
            <w:vAlign w:val="center"/>
          </w:tcPr>
          <w:p w:rsidR="00C75F3A" w:rsidRDefault="00BB5F12">
            <w:pPr>
              <w:jc w:val="center"/>
            </w:pPr>
            <w:r>
              <w:rPr>
                <w:color w:val="000000"/>
                <w:sz w:val="24"/>
              </w:rPr>
              <w:t>1.62%</w:t>
            </w:r>
          </w:p>
        </w:tc>
        <w:tc>
          <w:tcPr>
            <w:tcW w:w="1250" w:type="dxa"/>
            <w:vAlign w:val="center"/>
          </w:tcPr>
          <w:p w:rsidR="00C75F3A" w:rsidRDefault="00BB5F12">
            <w:pPr>
              <w:jc w:val="center"/>
            </w:pPr>
            <w:r>
              <w:rPr>
                <w:color w:val="000000"/>
                <w:sz w:val="24"/>
              </w:rPr>
              <w:t>0.11%</w:t>
            </w:r>
          </w:p>
        </w:tc>
        <w:tc>
          <w:tcPr>
            <w:tcW w:w="1250" w:type="dxa"/>
            <w:vAlign w:val="center"/>
          </w:tcPr>
          <w:p w:rsidR="00C75F3A" w:rsidRDefault="00BB5F12">
            <w:pPr>
              <w:jc w:val="center"/>
            </w:pPr>
            <w:r>
              <w:rPr>
                <w:color w:val="000000"/>
                <w:sz w:val="24"/>
              </w:rPr>
              <w:t>-0.54%</w:t>
            </w:r>
          </w:p>
        </w:tc>
        <w:tc>
          <w:tcPr>
            <w:tcW w:w="1250" w:type="dxa"/>
            <w:vAlign w:val="center"/>
          </w:tcPr>
          <w:p w:rsidR="00C75F3A" w:rsidRDefault="00BB5F12">
            <w:pPr>
              <w:jc w:val="center"/>
            </w:pPr>
            <w:r>
              <w:rPr>
                <w:color w:val="000000"/>
                <w:sz w:val="24"/>
              </w:rPr>
              <w:t>0.75%</w:t>
            </w:r>
          </w:p>
        </w:tc>
        <w:tc>
          <w:tcPr>
            <w:tcW w:w="1250" w:type="dxa"/>
            <w:vAlign w:val="center"/>
          </w:tcPr>
          <w:p w:rsidR="00C75F3A" w:rsidRDefault="00BB5F12">
            <w:pPr>
              <w:jc w:val="center"/>
            </w:pPr>
            <w:r>
              <w:rPr>
                <w:color w:val="000000"/>
                <w:sz w:val="24"/>
              </w:rPr>
              <w:t>2.16%</w:t>
            </w:r>
          </w:p>
        </w:tc>
        <w:tc>
          <w:tcPr>
            <w:tcW w:w="1250" w:type="dxa"/>
            <w:vAlign w:val="center"/>
          </w:tcPr>
          <w:p w:rsidR="00C75F3A" w:rsidRDefault="00BB5F12">
            <w:pPr>
              <w:jc w:val="center"/>
            </w:pPr>
            <w:r>
              <w:rPr>
                <w:color w:val="000000"/>
                <w:sz w:val="24"/>
              </w:rPr>
              <w:t>-0.64%</w:t>
            </w:r>
          </w:p>
        </w:tc>
      </w:tr>
      <w:tr w:rsidR="00C75F3A">
        <w:tc>
          <w:tcPr>
            <w:tcW w:w="1497" w:type="dxa"/>
            <w:vAlign w:val="center"/>
          </w:tcPr>
          <w:p w:rsidR="00C75F3A" w:rsidRDefault="00BB5F12">
            <w:pPr>
              <w:jc w:val="left"/>
            </w:pPr>
            <w:r>
              <w:rPr>
                <w:color w:val="000000"/>
                <w:sz w:val="24"/>
              </w:rPr>
              <w:t>过去六个月</w:t>
            </w:r>
          </w:p>
        </w:tc>
        <w:tc>
          <w:tcPr>
            <w:tcW w:w="1251" w:type="dxa"/>
            <w:vAlign w:val="center"/>
          </w:tcPr>
          <w:p w:rsidR="00C75F3A" w:rsidRDefault="00BB5F12">
            <w:pPr>
              <w:jc w:val="center"/>
            </w:pPr>
            <w:r>
              <w:rPr>
                <w:color w:val="000000"/>
                <w:sz w:val="24"/>
              </w:rPr>
              <w:t>3.57%</w:t>
            </w:r>
          </w:p>
        </w:tc>
        <w:tc>
          <w:tcPr>
            <w:tcW w:w="1250" w:type="dxa"/>
            <w:vAlign w:val="center"/>
          </w:tcPr>
          <w:p w:rsidR="00C75F3A" w:rsidRDefault="00BB5F12">
            <w:pPr>
              <w:jc w:val="center"/>
            </w:pPr>
            <w:r>
              <w:rPr>
                <w:color w:val="000000"/>
                <w:sz w:val="24"/>
              </w:rPr>
              <w:t>0.10%</w:t>
            </w:r>
          </w:p>
        </w:tc>
        <w:tc>
          <w:tcPr>
            <w:tcW w:w="1250" w:type="dxa"/>
            <w:vAlign w:val="center"/>
          </w:tcPr>
          <w:p w:rsidR="00C75F3A" w:rsidRDefault="00BB5F12">
            <w:pPr>
              <w:jc w:val="center"/>
            </w:pPr>
            <w:r>
              <w:rPr>
                <w:color w:val="000000"/>
                <w:sz w:val="24"/>
              </w:rPr>
              <w:t>13.28%</w:t>
            </w:r>
          </w:p>
        </w:tc>
        <w:tc>
          <w:tcPr>
            <w:tcW w:w="1250" w:type="dxa"/>
            <w:vAlign w:val="center"/>
          </w:tcPr>
          <w:p w:rsidR="00C75F3A" w:rsidRDefault="00BB5F12">
            <w:pPr>
              <w:jc w:val="center"/>
            </w:pPr>
            <w:r>
              <w:rPr>
                <w:color w:val="000000"/>
                <w:sz w:val="24"/>
              </w:rPr>
              <w:t>0.77%</w:t>
            </w:r>
          </w:p>
        </w:tc>
        <w:tc>
          <w:tcPr>
            <w:tcW w:w="1250" w:type="dxa"/>
            <w:vAlign w:val="center"/>
          </w:tcPr>
          <w:p w:rsidR="00C75F3A" w:rsidRDefault="00BB5F12">
            <w:pPr>
              <w:jc w:val="center"/>
            </w:pPr>
            <w:r>
              <w:rPr>
                <w:color w:val="000000"/>
                <w:sz w:val="24"/>
              </w:rPr>
              <w:t>-9.71%</w:t>
            </w:r>
          </w:p>
        </w:tc>
        <w:tc>
          <w:tcPr>
            <w:tcW w:w="1250" w:type="dxa"/>
            <w:vAlign w:val="center"/>
          </w:tcPr>
          <w:p w:rsidR="00C75F3A" w:rsidRDefault="00BB5F12">
            <w:pPr>
              <w:jc w:val="center"/>
            </w:pPr>
            <w:r>
              <w:rPr>
                <w:color w:val="000000"/>
                <w:sz w:val="24"/>
              </w:rPr>
              <w:t>-0.67%</w:t>
            </w:r>
          </w:p>
        </w:tc>
      </w:tr>
      <w:tr w:rsidR="00C75F3A">
        <w:tc>
          <w:tcPr>
            <w:tcW w:w="1497" w:type="dxa"/>
            <w:vAlign w:val="center"/>
          </w:tcPr>
          <w:p w:rsidR="00C75F3A" w:rsidRDefault="00BB5F12">
            <w:pPr>
              <w:jc w:val="left"/>
            </w:pPr>
            <w:r>
              <w:rPr>
                <w:color w:val="000000"/>
                <w:sz w:val="24"/>
              </w:rPr>
              <w:t>过去一年</w:t>
            </w:r>
          </w:p>
        </w:tc>
        <w:tc>
          <w:tcPr>
            <w:tcW w:w="1251" w:type="dxa"/>
            <w:vAlign w:val="center"/>
          </w:tcPr>
          <w:p w:rsidR="00C75F3A" w:rsidRDefault="00BB5F12">
            <w:pPr>
              <w:jc w:val="center"/>
            </w:pPr>
            <w:r>
              <w:rPr>
                <w:color w:val="000000"/>
                <w:sz w:val="24"/>
              </w:rPr>
              <w:t>3.75%</w:t>
            </w:r>
          </w:p>
        </w:tc>
        <w:tc>
          <w:tcPr>
            <w:tcW w:w="1250" w:type="dxa"/>
            <w:vAlign w:val="center"/>
          </w:tcPr>
          <w:p w:rsidR="00C75F3A" w:rsidRDefault="00BB5F12">
            <w:pPr>
              <w:jc w:val="center"/>
            </w:pPr>
            <w:r>
              <w:rPr>
                <w:color w:val="000000"/>
                <w:sz w:val="24"/>
              </w:rPr>
              <w:t>0.15%</w:t>
            </w:r>
          </w:p>
        </w:tc>
        <w:tc>
          <w:tcPr>
            <w:tcW w:w="1250" w:type="dxa"/>
            <w:vAlign w:val="center"/>
          </w:tcPr>
          <w:p w:rsidR="00C75F3A" w:rsidRDefault="00BB5F12">
            <w:pPr>
              <w:jc w:val="center"/>
            </w:pPr>
            <w:r>
              <w:rPr>
                <w:color w:val="000000"/>
                <w:sz w:val="24"/>
              </w:rPr>
              <w:t>6.62%</w:t>
            </w:r>
          </w:p>
        </w:tc>
        <w:tc>
          <w:tcPr>
            <w:tcW w:w="1250" w:type="dxa"/>
            <w:vAlign w:val="center"/>
          </w:tcPr>
          <w:p w:rsidR="00C75F3A" w:rsidRDefault="00BB5F12">
            <w:pPr>
              <w:jc w:val="center"/>
            </w:pPr>
            <w:r>
              <w:rPr>
                <w:color w:val="000000"/>
                <w:sz w:val="24"/>
              </w:rPr>
              <w:t>0.76%</w:t>
            </w:r>
          </w:p>
        </w:tc>
        <w:tc>
          <w:tcPr>
            <w:tcW w:w="1250" w:type="dxa"/>
            <w:vAlign w:val="center"/>
          </w:tcPr>
          <w:p w:rsidR="00C75F3A" w:rsidRDefault="00BB5F12">
            <w:pPr>
              <w:jc w:val="center"/>
            </w:pPr>
            <w:r>
              <w:rPr>
                <w:color w:val="000000"/>
                <w:sz w:val="24"/>
              </w:rPr>
              <w:t>-2.87%</w:t>
            </w:r>
          </w:p>
        </w:tc>
        <w:tc>
          <w:tcPr>
            <w:tcW w:w="1250" w:type="dxa"/>
            <w:vAlign w:val="center"/>
          </w:tcPr>
          <w:p w:rsidR="00C75F3A" w:rsidRDefault="00BB5F12">
            <w:pPr>
              <w:jc w:val="center"/>
            </w:pPr>
            <w:r>
              <w:rPr>
                <w:color w:val="000000"/>
                <w:sz w:val="24"/>
              </w:rPr>
              <w:t>-0.61%</w:t>
            </w:r>
          </w:p>
        </w:tc>
      </w:tr>
      <w:tr w:rsidR="00C75F3A">
        <w:tc>
          <w:tcPr>
            <w:tcW w:w="1497" w:type="dxa"/>
            <w:vAlign w:val="center"/>
          </w:tcPr>
          <w:p w:rsidR="00C75F3A" w:rsidRDefault="00BB5F12">
            <w:pPr>
              <w:jc w:val="left"/>
            </w:pPr>
            <w:r>
              <w:rPr>
                <w:color w:val="000000"/>
                <w:sz w:val="24"/>
              </w:rPr>
              <w:t>过去三年</w:t>
            </w:r>
          </w:p>
        </w:tc>
        <w:tc>
          <w:tcPr>
            <w:tcW w:w="1251" w:type="dxa"/>
            <w:vAlign w:val="center"/>
          </w:tcPr>
          <w:p w:rsidR="00C75F3A" w:rsidRDefault="00BB5F12">
            <w:pPr>
              <w:jc w:val="center"/>
            </w:pPr>
            <w:r>
              <w:rPr>
                <w:color w:val="000000"/>
                <w:sz w:val="24"/>
              </w:rPr>
              <w:t>16.86%</w:t>
            </w:r>
          </w:p>
        </w:tc>
        <w:tc>
          <w:tcPr>
            <w:tcW w:w="1250" w:type="dxa"/>
            <w:vAlign w:val="center"/>
          </w:tcPr>
          <w:p w:rsidR="00C75F3A" w:rsidRDefault="00BB5F12">
            <w:pPr>
              <w:jc w:val="center"/>
            </w:pPr>
            <w:r>
              <w:rPr>
                <w:color w:val="000000"/>
                <w:sz w:val="24"/>
              </w:rPr>
              <w:t>0.17%</w:t>
            </w:r>
          </w:p>
        </w:tc>
        <w:tc>
          <w:tcPr>
            <w:tcW w:w="1250" w:type="dxa"/>
            <w:vAlign w:val="center"/>
          </w:tcPr>
          <w:p w:rsidR="00C75F3A" w:rsidRDefault="00BB5F12">
            <w:pPr>
              <w:jc w:val="center"/>
            </w:pPr>
            <w:r>
              <w:rPr>
                <w:color w:val="000000"/>
                <w:sz w:val="24"/>
              </w:rPr>
              <w:t>11.43%</w:t>
            </w:r>
          </w:p>
        </w:tc>
        <w:tc>
          <w:tcPr>
            <w:tcW w:w="1250" w:type="dxa"/>
            <w:vAlign w:val="center"/>
          </w:tcPr>
          <w:p w:rsidR="00C75F3A" w:rsidRDefault="00BB5F12">
            <w:pPr>
              <w:jc w:val="center"/>
            </w:pPr>
            <w:r>
              <w:rPr>
                <w:color w:val="000000"/>
                <w:sz w:val="24"/>
              </w:rPr>
              <w:t>0.55%</w:t>
            </w:r>
          </w:p>
        </w:tc>
        <w:tc>
          <w:tcPr>
            <w:tcW w:w="1250" w:type="dxa"/>
            <w:vAlign w:val="center"/>
          </w:tcPr>
          <w:p w:rsidR="00C75F3A" w:rsidRDefault="00BB5F12">
            <w:pPr>
              <w:jc w:val="center"/>
            </w:pPr>
            <w:r>
              <w:rPr>
                <w:color w:val="000000"/>
                <w:sz w:val="24"/>
              </w:rPr>
              <w:t>5.43%</w:t>
            </w:r>
          </w:p>
        </w:tc>
        <w:tc>
          <w:tcPr>
            <w:tcW w:w="1250" w:type="dxa"/>
            <w:vAlign w:val="center"/>
          </w:tcPr>
          <w:p w:rsidR="00C75F3A" w:rsidRDefault="00BB5F12">
            <w:pPr>
              <w:jc w:val="center"/>
            </w:pPr>
            <w:r>
              <w:rPr>
                <w:color w:val="000000"/>
                <w:sz w:val="24"/>
              </w:rPr>
              <w:t>-0.38%</w:t>
            </w:r>
          </w:p>
        </w:tc>
      </w:tr>
      <w:tr w:rsidR="00C75F3A">
        <w:tc>
          <w:tcPr>
            <w:tcW w:w="1497" w:type="dxa"/>
            <w:vAlign w:val="center"/>
          </w:tcPr>
          <w:p w:rsidR="00C75F3A" w:rsidRDefault="00BB5F12">
            <w:pPr>
              <w:jc w:val="left"/>
            </w:pPr>
            <w:r>
              <w:rPr>
                <w:color w:val="000000"/>
                <w:sz w:val="24"/>
              </w:rPr>
              <w:t>自基金合同生效起至今</w:t>
            </w:r>
          </w:p>
        </w:tc>
        <w:tc>
          <w:tcPr>
            <w:tcW w:w="1251" w:type="dxa"/>
            <w:vAlign w:val="center"/>
          </w:tcPr>
          <w:p w:rsidR="00C75F3A" w:rsidRDefault="00BB5F12">
            <w:pPr>
              <w:jc w:val="center"/>
            </w:pPr>
            <w:r>
              <w:rPr>
                <w:color w:val="000000"/>
                <w:sz w:val="24"/>
              </w:rPr>
              <w:t>21.30%</w:t>
            </w:r>
          </w:p>
        </w:tc>
        <w:tc>
          <w:tcPr>
            <w:tcW w:w="1250" w:type="dxa"/>
            <w:vAlign w:val="center"/>
          </w:tcPr>
          <w:p w:rsidR="00C75F3A" w:rsidRDefault="00BB5F12">
            <w:pPr>
              <w:jc w:val="center"/>
            </w:pPr>
            <w:r>
              <w:rPr>
                <w:color w:val="000000"/>
                <w:sz w:val="24"/>
              </w:rPr>
              <w:t>0.15%</w:t>
            </w:r>
          </w:p>
        </w:tc>
        <w:tc>
          <w:tcPr>
            <w:tcW w:w="1250" w:type="dxa"/>
            <w:vAlign w:val="center"/>
          </w:tcPr>
          <w:p w:rsidR="00C75F3A" w:rsidRDefault="00BB5F12">
            <w:pPr>
              <w:jc w:val="center"/>
            </w:pPr>
            <w:r>
              <w:rPr>
                <w:color w:val="000000"/>
                <w:sz w:val="24"/>
              </w:rPr>
              <w:t>-5.74%</w:t>
            </w:r>
          </w:p>
        </w:tc>
        <w:tc>
          <w:tcPr>
            <w:tcW w:w="1250" w:type="dxa"/>
            <w:vAlign w:val="center"/>
          </w:tcPr>
          <w:p w:rsidR="00C75F3A" w:rsidRDefault="00BB5F12">
            <w:pPr>
              <w:jc w:val="center"/>
            </w:pPr>
            <w:r>
              <w:rPr>
                <w:color w:val="000000"/>
                <w:sz w:val="24"/>
              </w:rPr>
              <w:t>0.79%</w:t>
            </w:r>
          </w:p>
        </w:tc>
        <w:tc>
          <w:tcPr>
            <w:tcW w:w="1250" w:type="dxa"/>
            <w:vAlign w:val="center"/>
          </w:tcPr>
          <w:p w:rsidR="00C75F3A" w:rsidRDefault="00BB5F12">
            <w:pPr>
              <w:jc w:val="center"/>
            </w:pPr>
            <w:r>
              <w:rPr>
                <w:color w:val="000000"/>
                <w:sz w:val="24"/>
              </w:rPr>
              <w:t>27.04%</w:t>
            </w:r>
          </w:p>
        </w:tc>
        <w:tc>
          <w:tcPr>
            <w:tcW w:w="1250" w:type="dxa"/>
            <w:vAlign w:val="center"/>
          </w:tcPr>
          <w:p w:rsidR="00C75F3A" w:rsidRDefault="00BB5F12">
            <w:pPr>
              <w:jc w:val="center"/>
            </w:pPr>
            <w:r>
              <w:rPr>
                <w:color w:val="000000"/>
                <w:sz w:val="24"/>
              </w:rPr>
              <w:t>-0.64%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w:t>
      </w:r>
      <w:proofErr w:type="gramStart"/>
      <w:r w:rsidRPr="008A1551">
        <w:rPr>
          <w:kern w:val="0"/>
          <w:sz w:val="24"/>
        </w:rPr>
        <w:t>债综合全价指数</w:t>
      </w:r>
      <w:proofErr w:type="gramEnd"/>
      <w:r w:rsidRPr="008A1551">
        <w:rPr>
          <w:kern w:val="0"/>
          <w:sz w:val="24"/>
        </w:rPr>
        <w:t>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C75F3A">
        <w:tc>
          <w:tcPr>
            <w:tcW w:w="1497" w:type="dxa"/>
            <w:vAlign w:val="center"/>
          </w:tcPr>
          <w:p w:rsidR="00C75F3A" w:rsidRDefault="00BB5F12">
            <w:pPr>
              <w:jc w:val="left"/>
            </w:pPr>
            <w:r>
              <w:rPr>
                <w:color w:val="000000"/>
                <w:sz w:val="24"/>
              </w:rPr>
              <w:t>过去一个月</w:t>
            </w:r>
          </w:p>
        </w:tc>
        <w:tc>
          <w:tcPr>
            <w:tcW w:w="1251" w:type="dxa"/>
            <w:vAlign w:val="center"/>
          </w:tcPr>
          <w:p w:rsidR="00C75F3A" w:rsidRDefault="00BB5F12">
            <w:pPr>
              <w:jc w:val="center"/>
            </w:pPr>
            <w:r>
              <w:rPr>
                <w:color w:val="000000"/>
                <w:sz w:val="24"/>
              </w:rPr>
              <w:t>1.50%</w:t>
            </w:r>
          </w:p>
        </w:tc>
        <w:tc>
          <w:tcPr>
            <w:tcW w:w="1250" w:type="dxa"/>
            <w:vAlign w:val="center"/>
          </w:tcPr>
          <w:p w:rsidR="00C75F3A" w:rsidRDefault="00BB5F12">
            <w:pPr>
              <w:jc w:val="center"/>
            </w:pPr>
            <w:r>
              <w:rPr>
                <w:color w:val="000000"/>
                <w:sz w:val="24"/>
              </w:rPr>
              <w:t>0.15%</w:t>
            </w:r>
          </w:p>
        </w:tc>
        <w:tc>
          <w:tcPr>
            <w:tcW w:w="1250" w:type="dxa"/>
            <w:vAlign w:val="center"/>
          </w:tcPr>
          <w:p w:rsidR="00C75F3A" w:rsidRDefault="00BB5F12">
            <w:pPr>
              <w:jc w:val="center"/>
            </w:pPr>
            <w:r>
              <w:rPr>
                <w:color w:val="000000"/>
                <w:sz w:val="24"/>
              </w:rPr>
              <w:t>2.84%</w:t>
            </w:r>
          </w:p>
        </w:tc>
        <w:tc>
          <w:tcPr>
            <w:tcW w:w="1250" w:type="dxa"/>
            <w:vAlign w:val="center"/>
          </w:tcPr>
          <w:p w:rsidR="00C75F3A" w:rsidRDefault="00BB5F12">
            <w:pPr>
              <w:jc w:val="center"/>
            </w:pPr>
            <w:r>
              <w:rPr>
                <w:color w:val="000000"/>
                <w:sz w:val="24"/>
              </w:rPr>
              <w:t>0.57%</w:t>
            </w:r>
          </w:p>
        </w:tc>
        <w:tc>
          <w:tcPr>
            <w:tcW w:w="1250" w:type="dxa"/>
            <w:vAlign w:val="center"/>
          </w:tcPr>
          <w:p w:rsidR="00C75F3A" w:rsidRDefault="00BB5F12">
            <w:pPr>
              <w:jc w:val="center"/>
            </w:pPr>
            <w:r>
              <w:rPr>
                <w:color w:val="000000"/>
                <w:sz w:val="24"/>
              </w:rPr>
              <w:t>-1.34%</w:t>
            </w:r>
          </w:p>
        </w:tc>
        <w:tc>
          <w:tcPr>
            <w:tcW w:w="1250" w:type="dxa"/>
            <w:vAlign w:val="center"/>
          </w:tcPr>
          <w:p w:rsidR="00C75F3A" w:rsidRDefault="00BB5F12">
            <w:pPr>
              <w:jc w:val="center"/>
            </w:pPr>
            <w:r>
              <w:rPr>
                <w:color w:val="000000"/>
                <w:sz w:val="24"/>
              </w:rPr>
              <w:t>-0.42%</w:t>
            </w:r>
          </w:p>
        </w:tc>
      </w:tr>
      <w:tr w:rsidR="00C75F3A">
        <w:tc>
          <w:tcPr>
            <w:tcW w:w="1497" w:type="dxa"/>
            <w:vAlign w:val="center"/>
          </w:tcPr>
          <w:p w:rsidR="00C75F3A" w:rsidRDefault="00BB5F12">
            <w:pPr>
              <w:jc w:val="left"/>
            </w:pPr>
            <w:r>
              <w:rPr>
                <w:color w:val="000000"/>
                <w:sz w:val="24"/>
              </w:rPr>
              <w:t>过去三个月</w:t>
            </w:r>
          </w:p>
        </w:tc>
        <w:tc>
          <w:tcPr>
            <w:tcW w:w="1251" w:type="dxa"/>
            <w:vAlign w:val="center"/>
          </w:tcPr>
          <w:p w:rsidR="00C75F3A" w:rsidRDefault="00BB5F12">
            <w:pPr>
              <w:jc w:val="center"/>
            </w:pPr>
            <w:r>
              <w:rPr>
                <w:color w:val="000000"/>
                <w:sz w:val="24"/>
              </w:rPr>
              <w:t>1.66%</w:t>
            </w:r>
          </w:p>
        </w:tc>
        <w:tc>
          <w:tcPr>
            <w:tcW w:w="1250" w:type="dxa"/>
            <w:vAlign w:val="center"/>
          </w:tcPr>
          <w:p w:rsidR="00C75F3A" w:rsidRDefault="00BB5F12">
            <w:pPr>
              <w:jc w:val="center"/>
            </w:pPr>
            <w:r>
              <w:rPr>
                <w:color w:val="000000"/>
                <w:sz w:val="24"/>
              </w:rPr>
              <w:t>0.11%</w:t>
            </w:r>
          </w:p>
        </w:tc>
        <w:tc>
          <w:tcPr>
            <w:tcW w:w="1250" w:type="dxa"/>
            <w:vAlign w:val="center"/>
          </w:tcPr>
          <w:p w:rsidR="00C75F3A" w:rsidRDefault="00BB5F12">
            <w:pPr>
              <w:jc w:val="center"/>
            </w:pPr>
            <w:r>
              <w:rPr>
                <w:color w:val="000000"/>
                <w:sz w:val="24"/>
              </w:rPr>
              <w:t>-0.54%</w:t>
            </w:r>
          </w:p>
        </w:tc>
        <w:tc>
          <w:tcPr>
            <w:tcW w:w="1250" w:type="dxa"/>
            <w:vAlign w:val="center"/>
          </w:tcPr>
          <w:p w:rsidR="00C75F3A" w:rsidRDefault="00BB5F12">
            <w:pPr>
              <w:jc w:val="center"/>
            </w:pPr>
            <w:r>
              <w:rPr>
                <w:color w:val="000000"/>
                <w:sz w:val="24"/>
              </w:rPr>
              <w:t>0.75%</w:t>
            </w:r>
          </w:p>
        </w:tc>
        <w:tc>
          <w:tcPr>
            <w:tcW w:w="1250" w:type="dxa"/>
            <w:vAlign w:val="center"/>
          </w:tcPr>
          <w:p w:rsidR="00C75F3A" w:rsidRDefault="00BB5F12">
            <w:pPr>
              <w:jc w:val="center"/>
            </w:pPr>
            <w:r>
              <w:rPr>
                <w:color w:val="000000"/>
                <w:sz w:val="24"/>
              </w:rPr>
              <w:t>2.20%</w:t>
            </w:r>
          </w:p>
        </w:tc>
        <w:tc>
          <w:tcPr>
            <w:tcW w:w="1250" w:type="dxa"/>
            <w:vAlign w:val="center"/>
          </w:tcPr>
          <w:p w:rsidR="00C75F3A" w:rsidRDefault="00BB5F12">
            <w:pPr>
              <w:jc w:val="center"/>
            </w:pPr>
            <w:r>
              <w:rPr>
                <w:color w:val="000000"/>
                <w:sz w:val="24"/>
              </w:rPr>
              <w:t>-0.64%</w:t>
            </w:r>
          </w:p>
        </w:tc>
      </w:tr>
      <w:tr w:rsidR="00C75F3A">
        <w:tc>
          <w:tcPr>
            <w:tcW w:w="1497" w:type="dxa"/>
            <w:vAlign w:val="center"/>
          </w:tcPr>
          <w:p w:rsidR="00C75F3A" w:rsidRDefault="00BB5F12">
            <w:pPr>
              <w:jc w:val="left"/>
            </w:pPr>
            <w:r>
              <w:rPr>
                <w:color w:val="000000"/>
                <w:sz w:val="24"/>
              </w:rPr>
              <w:t>过去六个月</w:t>
            </w:r>
          </w:p>
        </w:tc>
        <w:tc>
          <w:tcPr>
            <w:tcW w:w="1251" w:type="dxa"/>
            <w:vAlign w:val="center"/>
          </w:tcPr>
          <w:p w:rsidR="00C75F3A" w:rsidRDefault="00BB5F12">
            <w:pPr>
              <w:jc w:val="center"/>
            </w:pPr>
            <w:r>
              <w:rPr>
                <w:color w:val="000000"/>
                <w:sz w:val="24"/>
              </w:rPr>
              <w:t>3.65%</w:t>
            </w:r>
          </w:p>
        </w:tc>
        <w:tc>
          <w:tcPr>
            <w:tcW w:w="1250" w:type="dxa"/>
            <w:vAlign w:val="center"/>
          </w:tcPr>
          <w:p w:rsidR="00C75F3A" w:rsidRDefault="00BB5F12">
            <w:pPr>
              <w:jc w:val="center"/>
            </w:pPr>
            <w:r>
              <w:rPr>
                <w:color w:val="000000"/>
                <w:sz w:val="24"/>
              </w:rPr>
              <w:t>0.10%</w:t>
            </w:r>
          </w:p>
        </w:tc>
        <w:tc>
          <w:tcPr>
            <w:tcW w:w="1250" w:type="dxa"/>
            <w:vAlign w:val="center"/>
          </w:tcPr>
          <w:p w:rsidR="00C75F3A" w:rsidRDefault="00BB5F12">
            <w:pPr>
              <w:jc w:val="center"/>
            </w:pPr>
            <w:r>
              <w:rPr>
                <w:color w:val="000000"/>
                <w:sz w:val="24"/>
              </w:rPr>
              <w:t>13.28%</w:t>
            </w:r>
          </w:p>
        </w:tc>
        <w:tc>
          <w:tcPr>
            <w:tcW w:w="1250" w:type="dxa"/>
            <w:vAlign w:val="center"/>
          </w:tcPr>
          <w:p w:rsidR="00C75F3A" w:rsidRDefault="00BB5F12">
            <w:pPr>
              <w:jc w:val="center"/>
            </w:pPr>
            <w:r>
              <w:rPr>
                <w:color w:val="000000"/>
                <w:sz w:val="24"/>
              </w:rPr>
              <w:t>0.77%</w:t>
            </w:r>
          </w:p>
        </w:tc>
        <w:tc>
          <w:tcPr>
            <w:tcW w:w="1250" w:type="dxa"/>
            <w:vAlign w:val="center"/>
          </w:tcPr>
          <w:p w:rsidR="00C75F3A" w:rsidRDefault="00BB5F12">
            <w:pPr>
              <w:jc w:val="center"/>
            </w:pPr>
            <w:r>
              <w:rPr>
                <w:color w:val="000000"/>
                <w:sz w:val="24"/>
              </w:rPr>
              <w:t>-9.63%</w:t>
            </w:r>
          </w:p>
        </w:tc>
        <w:tc>
          <w:tcPr>
            <w:tcW w:w="1250" w:type="dxa"/>
            <w:vAlign w:val="center"/>
          </w:tcPr>
          <w:p w:rsidR="00C75F3A" w:rsidRDefault="00BB5F12">
            <w:pPr>
              <w:jc w:val="center"/>
            </w:pPr>
            <w:r>
              <w:rPr>
                <w:color w:val="000000"/>
                <w:sz w:val="24"/>
              </w:rPr>
              <w:t>-0.67%</w:t>
            </w:r>
          </w:p>
        </w:tc>
      </w:tr>
      <w:tr w:rsidR="00C75F3A">
        <w:tc>
          <w:tcPr>
            <w:tcW w:w="1497" w:type="dxa"/>
            <w:vAlign w:val="center"/>
          </w:tcPr>
          <w:p w:rsidR="00C75F3A" w:rsidRDefault="00BB5F12">
            <w:pPr>
              <w:jc w:val="left"/>
            </w:pPr>
            <w:r>
              <w:rPr>
                <w:color w:val="000000"/>
                <w:sz w:val="24"/>
              </w:rPr>
              <w:t>过去一年</w:t>
            </w:r>
          </w:p>
        </w:tc>
        <w:tc>
          <w:tcPr>
            <w:tcW w:w="1251" w:type="dxa"/>
            <w:vAlign w:val="center"/>
          </w:tcPr>
          <w:p w:rsidR="00C75F3A" w:rsidRDefault="00BB5F12">
            <w:pPr>
              <w:jc w:val="center"/>
            </w:pPr>
            <w:r>
              <w:rPr>
                <w:color w:val="000000"/>
                <w:sz w:val="24"/>
              </w:rPr>
              <w:t>3.91%</w:t>
            </w:r>
          </w:p>
        </w:tc>
        <w:tc>
          <w:tcPr>
            <w:tcW w:w="1250" w:type="dxa"/>
            <w:vAlign w:val="center"/>
          </w:tcPr>
          <w:p w:rsidR="00C75F3A" w:rsidRDefault="00BB5F12">
            <w:pPr>
              <w:jc w:val="center"/>
            </w:pPr>
            <w:r>
              <w:rPr>
                <w:color w:val="000000"/>
                <w:sz w:val="24"/>
              </w:rPr>
              <w:t>0.15%</w:t>
            </w:r>
          </w:p>
        </w:tc>
        <w:tc>
          <w:tcPr>
            <w:tcW w:w="1250" w:type="dxa"/>
            <w:vAlign w:val="center"/>
          </w:tcPr>
          <w:p w:rsidR="00C75F3A" w:rsidRDefault="00BB5F12">
            <w:pPr>
              <w:jc w:val="center"/>
            </w:pPr>
            <w:r>
              <w:rPr>
                <w:color w:val="000000"/>
                <w:sz w:val="24"/>
              </w:rPr>
              <w:t>6.62%</w:t>
            </w:r>
          </w:p>
        </w:tc>
        <w:tc>
          <w:tcPr>
            <w:tcW w:w="1250" w:type="dxa"/>
            <w:vAlign w:val="center"/>
          </w:tcPr>
          <w:p w:rsidR="00C75F3A" w:rsidRDefault="00BB5F12">
            <w:pPr>
              <w:jc w:val="center"/>
            </w:pPr>
            <w:r>
              <w:rPr>
                <w:color w:val="000000"/>
                <w:sz w:val="24"/>
              </w:rPr>
              <w:t>0.76%</w:t>
            </w:r>
          </w:p>
        </w:tc>
        <w:tc>
          <w:tcPr>
            <w:tcW w:w="1250" w:type="dxa"/>
            <w:vAlign w:val="center"/>
          </w:tcPr>
          <w:p w:rsidR="00C75F3A" w:rsidRDefault="00BB5F12">
            <w:pPr>
              <w:jc w:val="center"/>
            </w:pPr>
            <w:r>
              <w:rPr>
                <w:color w:val="000000"/>
                <w:sz w:val="24"/>
              </w:rPr>
              <w:t>-2.71%</w:t>
            </w:r>
          </w:p>
        </w:tc>
        <w:tc>
          <w:tcPr>
            <w:tcW w:w="1250" w:type="dxa"/>
            <w:vAlign w:val="center"/>
          </w:tcPr>
          <w:p w:rsidR="00C75F3A" w:rsidRDefault="00BB5F12">
            <w:pPr>
              <w:jc w:val="center"/>
            </w:pPr>
            <w:r>
              <w:rPr>
                <w:color w:val="000000"/>
                <w:sz w:val="24"/>
              </w:rPr>
              <w:t>-0.61%</w:t>
            </w:r>
          </w:p>
        </w:tc>
      </w:tr>
      <w:tr w:rsidR="00C75F3A">
        <w:tc>
          <w:tcPr>
            <w:tcW w:w="1497" w:type="dxa"/>
            <w:vAlign w:val="center"/>
          </w:tcPr>
          <w:p w:rsidR="00C75F3A" w:rsidRDefault="00BB5F12">
            <w:pPr>
              <w:jc w:val="left"/>
            </w:pPr>
            <w:r>
              <w:rPr>
                <w:color w:val="000000"/>
                <w:sz w:val="24"/>
              </w:rPr>
              <w:lastRenderedPageBreak/>
              <w:t>过去三年</w:t>
            </w:r>
          </w:p>
        </w:tc>
        <w:tc>
          <w:tcPr>
            <w:tcW w:w="1251" w:type="dxa"/>
            <w:vAlign w:val="center"/>
          </w:tcPr>
          <w:p w:rsidR="00C75F3A" w:rsidRDefault="00BB5F12">
            <w:pPr>
              <w:jc w:val="center"/>
            </w:pPr>
            <w:r>
              <w:rPr>
                <w:color w:val="000000"/>
                <w:sz w:val="24"/>
              </w:rPr>
              <w:t>304.61%</w:t>
            </w:r>
          </w:p>
        </w:tc>
        <w:tc>
          <w:tcPr>
            <w:tcW w:w="1250" w:type="dxa"/>
            <w:vAlign w:val="center"/>
          </w:tcPr>
          <w:p w:rsidR="00C75F3A" w:rsidRDefault="00BB5F12">
            <w:pPr>
              <w:jc w:val="center"/>
            </w:pPr>
            <w:r>
              <w:rPr>
                <w:color w:val="000000"/>
                <w:sz w:val="24"/>
              </w:rPr>
              <w:t>9.18%</w:t>
            </w:r>
          </w:p>
        </w:tc>
        <w:tc>
          <w:tcPr>
            <w:tcW w:w="1250" w:type="dxa"/>
            <w:vAlign w:val="center"/>
          </w:tcPr>
          <w:p w:rsidR="00C75F3A" w:rsidRDefault="00BB5F12">
            <w:pPr>
              <w:jc w:val="center"/>
            </w:pPr>
            <w:r>
              <w:rPr>
                <w:color w:val="000000"/>
                <w:sz w:val="24"/>
              </w:rPr>
              <w:t>11.43%</w:t>
            </w:r>
          </w:p>
        </w:tc>
        <w:tc>
          <w:tcPr>
            <w:tcW w:w="1250" w:type="dxa"/>
            <w:vAlign w:val="center"/>
          </w:tcPr>
          <w:p w:rsidR="00C75F3A" w:rsidRDefault="00BB5F12">
            <w:pPr>
              <w:jc w:val="center"/>
            </w:pPr>
            <w:r>
              <w:rPr>
                <w:color w:val="000000"/>
                <w:sz w:val="24"/>
              </w:rPr>
              <w:t>0.55%</w:t>
            </w:r>
          </w:p>
        </w:tc>
        <w:tc>
          <w:tcPr>
            <w:tcW w:w="1250" w:type="dxa"/>
            <w:vAlign w:val="center"/>
          </w:tcPr>
          <w:p w:rsidR="00C75F3A" w:rsidRDefault="00BB5F12">
            <w:pPr>
              <w:jc w:val="center"/>
            </w:pPr>
            <w:r>
              <w:rPr>
                <w:color w:val="000000"/>
                <w:sz w:val="24"/>
              </w:rPr>
              <w:t>293.18%</w:t>
            </w:r>
          </w:p>
        </w:tc>
        <w:tc>
          <w:tcPr>
            <w:tcW w:w="1250" w:type="dxa"/>
            <w:vAlign w:val="center"/>
          </w:tcPr>
          <w:p w:rsidR="00C75F3A" w:rsidRDefault="00BB5F12">
            <w:pPr>
              <w:jc w:val="center"/>
            </w:pPr>
            <w:r>
              <w:rPr>
                <w:color w:val="000000"/>
                <w:sz w:val="24"/>
              </w:rPr>
              <w:t>8.63%</w:t>
            </w:r>
          </w:p>
        </w:tc>
      </w:tr>
      <w:tr w:rsidR="00C75F3A">
        <w:tc>
          <w:tcPr>
            <w:tcW w:w="1497" w:type="dxa"/>
            <w:vAlign w:val="center"/>
          </w:tcPr>
          <w:p w:rsidR="00C75F3A" w:rsidRDefault="00BB5F12">
            <w:pPr>
              <w:jc w:val="left"/>
            </w:pPr>
            <w:r>
              <w:rPr>
                <w:color w:val="000000"/>
                <w:sz w:val="24"/>
              </w:rPr>
              <w:t>自基金合同生效起至今</w:t>
            </w:r>
          </w:p>
        </w:tc>
        <w:tc>
          <w:tcPr>
            <w:tcW w:w="1251" w:type="dxa"/>
            <w:vAlign w:val="center"/>
          </w:tcPr>
          <w:p w:rsidR="00C75F3A" w:rsidRDefault="00BB5F12">
            <w:pPr>
              <w:jc w:val="center"/>
            </w:pPr>
            <w:r>
              <w:rPr>
                <w:color w:val="000000"/>
                <w:sz w:val="24"/>
              </w:rPr>
              <w:t>311.76%</w:t>
            </w:r>
          </w:p>
        </w:tc>
        <w:tc>
          <w:tcPr>
            <w:tcW w:w="1250" w:type="dxa"/>
            <w:vAlign w:val="center"/>
          </w:tcPr>
          <w:p w:rsidR="00C75F3A" w:rsidRDefault="00BB5F12">
            <w:pPr>
              <w:jc w:val="center"/>
            </w:pPr>
            <w:r>
              <w:rPr>
                <w:color w:val="000000"/>
                <w:sz w:val="24"/>
              </w:rPr>
              <w:t>8.37%</w:t>
            </w:r>
          </w:p>
        </w:tc>
        <w:tc>
          <w:tcPr>
            <w:tcW w:w="1250" w:type="dxa"/>
            <w:vAlign w:val="center"/>
          </w:tcPr>
          <w:p w:rsidR="00C75F3A" w:rsidRDefault="00BB5F12">
            <w:pPr>
              <w:jc w:val="center"/>
            </w:pPr>
            <w:r>
              <w:rPr>
                <w:color w:val="000000"/>
                <w:sz w:val="24"/>
              </w:rPr>
              <w:t>3.15%</w:t>
            </w:r>
          </w:p>
        </w:tc>
        <w:tc>
          <w:tcPr>
            <w:tcW w:w="1250" w:type="dxa"/>
            <w:vAlign w:val="center"/>
          </w:tcPr>
          <w:p w:rsidR="00C75F3A" w:rsidRDefault="00BB5F12">
            <w:pPr>
              <w:jc w:val="center"/>
            </w:pPr>
            <w:r>
              <w:rPr>
                <w:color w:val="000000"/>
                <w:sz w:val="24"/>
              </w:rPr>
              <w:t>0.63%</w:t>
            </w:r>
          </w:p>
        </w:tc>
        <w:tc>
          <w:tcPr>
            <w:tcW w:w="1250" w:type="dxa"/>
            <w:vAlign w:val="center"/>
          </w:tcPr>
          <w:p w:rsidR="00C75F3A" w:rsidRDefault="00BB5F12">
            <w:pPr>
              <w:jc w:val="center"/>
            </w:pPr>
            <w:r>
              <w:rPr>
                <w:color w:val="000000"/>
                <w:sz w:val="24"/>
              </w:rPr>
              <w:t>308.61%</w:t>
            </w:r>
          </w:p>
        </w:tc>
        <w:tc>
          <w:tcPr>
            <w:tcW w:w="1250" w:type="dxa"/>
            <w:vAlign w:val="center"/>
          </w:tcPr>
          <w:p w:rsidR="00C75F3A" w:rsidRDefault="00BB5F12">
            <w:pPr>
              <w:jc w:val="center"/>
            </w:pPr>
            <w:r>
              <w:rPr>
                <w:color w:val="000000"/>
                <w:sz w:val="24"/>
              </w:rPr>
              <w:t>7.74%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w:t>
      </w:r>
      <w:proofErr w:type="gramStart"/>
      <w:r w:rsidRPr="008A1551">
        <w:rPr>
          <w:kern w:val="0"/>
          <w:sz w:val="24"/>
        </w:rPr>
        <w:t>债综合全价指数</w:t>
      </w:r>
      <w:proofErr w:type="gramEnd"/>
      <w:r w:rsidRPr="008A1551">
        <w:rPr>
          <w:kern w:val="0"/>
          <w:sz w:val="24"/>
        </w:rPr>
        <w:t>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交银施罗德新回报灵活配置混合型证券投资基金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5</w:t>
      </w:r>
      <w:r w:rsidR="001548F9" w:rsidRPr="008A1551">
        <w:rPr>
          <w:rFonts w:ascii="Times New Roman" w:hAnsi="Times New Roman"/>
          <w:sz w:val="24"/>
          <w:szCs w:val="24"/>
        </w:rPr>
        <w:t>月</w:t>
      </w:r>
      <w:r w:rsidR="001548F9" w:rsidRPr="008A1551">
        <w:rPr>
          <w:rFonts w:ascii="Times New Roman" w:hAnsi="Times New Roman"/>
          <w:sz w:val="24"/>
          <w:szCs w:val="24"/>
        </w:rPr>
        <w:t>15</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交银新回报灵活配置混合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2015</w:t>
      </w:r>
      <w:r w:rsidRPr="008A1551">
        <w:rPr>
          <w:kern w:val="0"/>
          <w:sz w:val="24"/>
        </w:rPr>
        <w:t>年</w:t>
      </w:r>
      <w:r w:rsidRPr="008A1551">
        <w:rPr>
          <w:kern w:val="0"/>
          <w:sz w:val="24"/>
        </w:rPr>
        <w:t>5</w:t>
      </w:r>
      <w:r w:rsidRPr="008A1551">
        <w:rPr>
          <w:kern w:val="0"/>
          <w:sz w:val="24"/>
        </w:rPr>
        <w:t>月</w:t>
      </w:r>
      <w:r w:rsidRPr="008A1551">
        <w:rPr>
          <w:kern w:val="0"/>
          <w:sz w:val="24"/>
        </w:rPr>
        <w:t>15</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926E81" w:rsidRPr="008A1551" w:rsidRDefault="00926E81" w:rsidP="009E1EA4">
      <w:pPr>
        <w:tabs>
          <w:tab w:val="left" w:pos="426"/>
        </w:tabs>
        <w:spacing w:before="29" w:line="288" w:lineRule="auto"/>
        <w:jc w:val="left"/>
        <w:rPr>
          <w:rFonts w:hint="eastAsia"/>
          <w:kern w:val="0"/>
          <w:sz w:val="24"/>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C75F3A" w:rsidRDefault="00BB5F12">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C75F3A">
        <w:tc>
          <w:tcPr>
            <w:tcW w:w="1033" w:type="dxa"/>
            <w:vAlign w:val="center"/>
          </w:tcPr>
          <w:p w:rsidR="00C75F3A" w:rsidRDefault="00BB5F12">
            <w:pPr>
              <w:jc w:val="center"/>
            </w:pPr>
            <w:r>
              <w:rPr>
                <w:color w:val="000000"/>
                <w:sz w:val="24"/>
              </w:rPr>
              <w:t>李娜</w:t>
            </w:r>
          </w:p>
        </w:tc>
        <w:tc>
          <w:tcPr>
            <w:tcW w:w="1416" w:type="dxa"/>
            <w:vAlign w:val="center"/>
          </w:tcPr>
          <w:p w:rsidR="00C75F3A" w:rsidRDefault="00BB5F12">
            <w:pPr>
              <w:jc w:val="center"/>
            </w:pPr>
            <w:r>
              <w:rPr>
                <w:color w:val="000000"/>
                <w:sz w:val="24"/>
              </w:rPr>
              <w:t>交银周期回报灵活配置混合、交银新回报灵活配置混合、交银多策略回报灵活配置混合、交银优选回报灵活配置混合、交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定期开放灵活配置混合、交银裕</w:t>
            </w:r>
            <w:proofErr w:type="gramStart"/>
            <w:r>
              <w:rPr>
                <w:color w:val="000000"/>
                <w:sz w:val="24"/>
              </w:rPr>
              <w:t>祥纯债</w:t>
            </w:r>
            <w:proofErr w:type="gramEnd"/>
            <w:r>
              <w:rPr>
                <w:color w:val="000000"/>
                <w:sz w:val="24"/>
              </w:rPr>
              <w:t>债券、</w:t>
            </w:r>
            <w:proofErr w:type="gramStart"/>
            <w:r>
              <w:rPr>
                <w:color w:val="000000"/>
                <w:sz w:val="24"/>
              </w:rPr>
              <w:t>交银恒益</w:t>
            </w:r>
            <w:proofErr w:type="gramEnd"/>
            <w:r>
              <w:rPr>
                <w:color w:val="000000"/>
                <w:sz w:val="24"/>
              </w:rPr>
              <w:t>灵活配置混合的基金经理</w:t>
            </w:r>
          </w:p>
        </w:tc>
        <w:tc>
          <w:tcPr>
            <w:tcW w:w="1126" w:type="dxa"/>
            <w:vAlign w:val="center"/>
          </w:tcPr>
          <w:p w:rsidR="00C75F3A" w:rsidRDefault="00BB5F12">
            <w:pPr>
              <w:jc w:val="center"/>
            </w:pPr>
            <w:r>
              <w:rPr>
                <w:color w:val="000000"/>
                <w:sz w:val="24"/>
              </w:rPr>
              <w:t>2015-08-04</w:t>
            </w:r>
          </w:p>
        </w:tc>
        <w:tc>
          <w:tcPr>
            <w:tcW w:w="1192" w:type="dxa"/>
            <w:vAlign w:val="center"/>
          </w:tcPr>
          <w:p w:rsidR="00C75F3A" w:rsidRDefault="00BB5F12">
            <w:pPr>
              <w:jc w:val="center"/>
            </w:pPr>
            <w:r>
              <w:rPr>
                <w:color w:val="000000"/>
                <w:sz w:val="24"/>
              </w:rPr>
              <w:t>-</w:t>
            </w:r>
          </w:p>
        </w:tc>
        <w:tc>
          <w:tcPr>
            <w:tcW w:w="1169" w:type="dxa"/>
            <w:vAlign w:val="center"/>
          </w:tcPr>
          <w:p w:rsidR="00C75F3A" w:rsidRDefault="00BB5F12">
            <w:pPr>
              <w:jc w:val="center"/>
            </w:pPr>
            <w:r>
              <w:rPr>
                <w:color w:val="000000"/>
                <w:sz w:val="24"/>
              </w:rPr>
              <w:t>9</w:t>
            </w:r>
            <w:r>
              <w:rPr>
                <w:color w:val="000000"/>
                <w:sz w:val="24"/>
              </w:rPr>
              <w:t>年</w:t>
            </w:r>
          </w:p>
        </w:tc>
        <w:tc>
          <w:tcPr>
            <w:tcW w:w="3062" w:type="dxa"/>
            <w:vAlign w:val="center"/>
          </w:tcPr>
          <w:p w:rsidR="00C75F3A" w:rsidRDefault="00BB5F12">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w:t>
            </w:r>
            <w:proofErr w:type="gramStart"/>
            <w:r>
              <w:rPr>
                <w:color w:val="000000"/>
                <w:sz w:val="24"/>
              </w:rPr>
              <w:t>期开放</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C75F3A">
        <w:tc>
          <w:tcPr>
            <w:tcW w:w="1033" w:type="dxa"/>
            <w:vAlign w:val="center"/>
          </w:tcPr>
          <w:p w:rsidR="00C75F3A" w:rsidRDefault="00BB5F12">
            <w:pPr>
              <w:jc w:val="center"/>
            </w:pPr>
            <w:r>
              <w:rPr>
                <w:color w:val="000000"/>
                <w:sz w:val="24"/>
              </w:rPr>
              <w:t>王艺伟</w:t>
            </w:r>
          </w:p>
        </w:tc>
        <w:tc>
          <w:tcPr>
            <w:tcW w:w="1416" w:type="dxa"/>
            <w:vAlign w:val="center"/>
          </w:tcPr>
          <w:p w:rsidR="00C75F3A" w:rsidRDefault="00BB5F12">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债券、交银双轮动债券、交银定期支付月月丰债券、交</w:t>
            </w:r>
            <w:proofErr w:type="gramStart"/>
            <w:r>
              <w:rPr>
                <w:color w:val="000000"/>
                <w:sz w:val="24"/>
              </w:rPr>
              <w:t>银增强</w:t>
            </w:r>
            <w:proofErr w:type="gramEnd"/>
            <w:r>
              <w:rPr>
                <w:color w:val="000000"/>
                <w:sz w:val="24"/>
              </w:rPr>
              <w:t>收益债</w:t>
            </w:r>
            <w:r>
              <w:rPr>
                <w:color w:val="000000"/>
                <w:sz w:val="24"/>
              </w:rPr>
              <w:lastRenderedPageBreak/>
              <w:t>券、交银强化回报债券、交银周期回报灵活配置混合、交银新回报灵活配置混合、交银多策略回报灵活配置混合、交</w:t>
            </w:r>
            <w:proofErr w:type="gramStart"/>
            <w:r>
              <w:rPr>
                <w:color w:val="000000"/>
                <w:sz w:val="24"/>
              </w:rPr>
              <w:t>银裕通纯债</w:t>
            </w:r>
            <w:proofErr w:type="gramEnd"/>
            <w:r>
              <w:rPr>
                <w:color w:val="000000"/>
                <w:sz w:val="24"/>
              </w:rPr>
              <w:t>债券、交银荣鑫灵活配置混合、交银优选回报灵活配置混合、交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交银恒益</w:t>
            </w:r>
            <w:proofErr w:type="gramEnd"/>
            <w:r>
              <w:rPr>
                <w:color w:val="000000"/>
                <w:sz w:val="24"/>
              </w:rPr>
              <w:t>灵活配置混合、交银安心收益债券、交银裕</w:t>
            </w:r>
            <w:proofErr w:type="gramStart"/>
            <w:r>
              <w:rPr>
                <w:color w:val="000000"/>
                <w:sz w:val="24"/>
              </w:rPr>
              <w:t>祥纯债</w:t>
            </w:r>
            <w:proofErr w:type="gramEnd"/>
            <w:r>
              <w:rPr>
                <w:color w:val="000000"/>
                <w:sz w:val="24"/>
              </w:rPr>
              <w:t>债券、交银稳固收益债券的</w:t>
            </w:r>
            <w:proofErr w:type="gramStart"/>
            <w:r>
              <w:rPr>
                <w:color w:val="000000"/>
                <w:sz w:val="24"/>
              </w:rPr>
              <w:t>的</w:t>
            </w:r>
            <w:proofErr w:type="gramEnd"/>
            <w:r>
              <w:rPr>
                <w:color w:val="000000"/>
                <w:sz w:val="24"/>
              </w:rPr>
              <w:t>基金经理助理</w:t>
            </w:r>
          </w:p>
        </w:tc>
        <w:tc>
          <w:tcPr>
            <w:tcW w:w="1126" w:type="dxa"/>
            <w:vAlign w:val="center"/>
          </w:tcPr>
          <w:p w:rsidR="00C75F3A" w:rsidRDefault="00BB5F12">
            <w:pPr>
              <w:jc w:val="center"/>
            </w:pPr>
            <w:r>
              <w:rPr>
                <w:color w:val="000000"/>
                <w:sz w:val="24"/>
              </w:rPr>
              <w:lastRenderedPageBreak/>
              <w:t>2019-06-27</w:t>
            </w:r>
          </w:p>
        </w:tc>
        <w:tc>
          <w:tcPr>
            <w:tcW w:w="1192" w:type="dxa"/>
            <w:vAlign w:val="center"/>
          </w:tcPr>
          <w:p w:rsidR="00C75F3A" w:rsidRDefault="00BB5F12">
            <w:pPr>
              <w:jc w:val="center"/>
            </w:pPr>
            <w:r>
              <w:rPr>
                <w:color w:val="000000"/>
                <w:sz w:val="24"/>
              </w:rPr>
              <w:t>-</w:t>
            </w:r>
          </w:p>
        </w:tc>
        <w:tc>
          <w:tcPr>
            <w:tcW w:w="1169" w:type="dxa"/>
            <w:vAlign w:val="center"/>
          </w:tcPr>
          <w:p w:rsidR="00C75F3A" w:rsidRDefault="00BB5F12">
            <w:pPr>
              <w:jc w:val="center"/>
            </w:pPr>
            <w:r>
              <w:rPr>
                <w:color w:val="000000"/>
                <w:sz w:val="24"/>
              </w:rPr>
              <w:t>7</w:t>
            </w:r>
            <w:r>
              <w:rPr>
                <w:color w:val="000000"/>
                <w:sz w:val="24"/>
              </w:rPr>
              <w:t>年</w:t>
            </w:r>
          </w:p>
        </w:tc>
        <w:tc>
          <w:tcPr>
            <w:tcW w:w="3062" w:type="dxa"/>
            <w:vAlign w:val="center"/>
          </w:tcPr>
          <w:p w:rsidR="00C75F3A" w:rsidRDefault="00BB5F12">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C75F3A" w:rsidRDefault="00BB5F1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75F3A" w:rsidRDefault="00BB5F1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w:t>
      </w:r>
      <w:r w:rsidRPr="008A1551">
        <w:rPr>
          <w:color w:val="000000"/>
          <w:sz w:val="24"/>
        </w:rPr>
        <w:lastRenderedPageBreak/>
        <w:t>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C75F3A" w:rsidRDefault="00BB5F1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75F3A" w:rsidRDefault="00BB5F1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75F3A" w:rsidRDefault="00BB5F1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w:t>
      </w:r>
      <w:proofErr w:type="gramStart"/>
      <w:r w:rsidRPr="008A1551">
        <w:rPr>
          <w:color w:val="000000"/>
          <w:sz w:val="24"/>
        </w:rPr>
        <w:t>组合因</w:t>
      </w:r>
      <w:proofErr w:type="gramEnd"/>
      <w:r w:rsidRPr="008A1551">
        <w:rPr>
          <w:color w:val="000000"/>
          <w:sz w:val="24"/>
        </w:rPr>
        <w:t>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C75F3A" w:rsidRDefault="00BB5F12">
      <w:pPr>
        <w:spacing w:before="29" w:line="288" w:lineRule="auto"/>
        <w:ind w:firstLineChars="200" w:firstLine="480"/>
        <w:rPr>
          <w:color w:val="000000"/>
          <w:sz w:val="24"/>
        </w:rPr>
      </w:pPr>
      <w:r>
        <w:rPr>
          <w:color w:val="000000"/>
          <w:sz w:val="24"/>
        </w:rPr>
        <w:t>本报告期内，</w:t>
      </w:r>
      <w:proofErr w:type="gramStart"/>
      <w:r>
        <w:rPr>
          <w:color w:val="000000"/>
          <w:sz w:val="24"/>
        </w:rPr>
        <w:t>2019</w:t>
      </w:r>
      <w:r>
        <w:rPr>
          <w:color w:val="000000"/>
          <w:sz w:val="24"/>
        </w:rPr>
        <w:t>年初社融拐点</w:t>
      </w:r>
      <w:proofErr w:type="gramEnd"/>
      <w:r>
        <w:rPr>
          <w:color w:val="000000"/>
          <w:sz w:val="24"/>
        </w:rPr>
        <w:t>及春节错位令经济增长预期一度过高，后在</w:t>
      </w:r>
      <w:proofErr w:type="gramStart"/>
      <w:r>
        <w:rPr>
          <w:color w:val="000000"/>
          <w:sz w:val="24"/>
        </w:rPr>
        <w:t>经济环</w:t>
      </w:r>
      <w:proofErr w:type="gramEnd"/>
      <w:r>
        <w:rPr>
          <w:color w:val="000000"/>
          <w:sz w:val="24"/>
        </w:rPr>
        <w:t>比自然回落、海外风险以及资金面三个因素的影响下，债市短端收益率基本回到三月底低位，长端呈现上行后震荡走平的格局。五月伴随季末来临，银行间流动性中性分化，</w:t>
      </w:r>
      <w:proofErr w:type="gramStart"/>
      <w:r>
        <w:rPr>
          <w:color w:val="000000"/>
          <w:sz w:val="24"/>
        </w:rPr>
        <w:t>短久期</w:t>
      </w:r>
      <w:proofErr w:type="gramEnd"/>
      <w:r>
        <w:rPr>
          <w:color w:val="000000"/>
          <w:sz w:val="24"/>
        </w:rPr>
        <w:t>债券收益率上行，信用传导预期受阻，信用利差明显走廓。随着跨季资金流动性走宽，短端收益率下行，中高等级信用债收益率也出现回落，但中低等级信用</w:t>
      </w:r>
      <w:proofErr w:type="gramStart"/>
      <w:r>
        <w:rPr>
          <w:color w:val="000000"/>
          <w:sz w:val="24"/>
        </w:rPr>
        <w:t>债成交</w:t>
      </w:r>
      <w:proofErr w:type="gramEnd"/>
      <w:r>
        <w:rPr>
          <w:color w:val="000000"/>
          <w:sz w:val="24"/>
        </w:rPr>
        <w:t>依然不多。</w:t>
      </w:r>
    </w:p>
    <w:p w:rsidR="00C75F3A" w:rsidRDefault="00BB5F12">
      <w:pPr>
        <w:spacing w:before="29" w:line="288" w:lineRule="auto"/>
        <w:ind w:firstLineChars="200" w:firstLine="480"/>
        <w:rPr>
          <w:color w:val="000000"/>
          <w:sz w:val="24"/>
        </w:rPr>
      </w:pPr>
      <w:r>
        <w:rPr>
          <w:color w:val="000000"/>
          <w:sz w:val="24"/>
        </w:rPr>
        <w:lastRenderedPageBreak/>
        <w:t>权益市场年初受益</w:t>
      </w:r>
      <w:proofErr w:type="gramStart"/>
      <w:r>
        <w:rPr>
          <w:color w:val="000000"/>
          <w:sz w:val="24"/>
        </w:rPr>
        <w:t>于社融向上</w:t>
      </w:r>
      <w:proofErr w:type="gramEnd"/>
      <w:r>
        <w:rPr>
          <w:color w:val="000000"/>
          <w:sz w:val="24"/>
        </w:rPr>
        <w:t>拐点确立及流动性宽松，普遍上行，小盘股涨幅更为明显。至三月底，多数板块估值相对偏高。在经济增速环比回落，中美贸易争端再度演绎等事件影响下，大盘自四月中下旬震荡下行。行业层面看，部分消费及金融有一定绝对收益，</w:t>
      </w:r>
      <w:r>
        <w:rPr>
          <w:color w:val="000000"/>
          <w:sz w:val="24"/>
        </w:rPr>
        <w:t>TMT</w:t>
      </w:r>
      <w:r>
        <w:rPr>
          <w:color w:val="000000"/>
          <w:sz w:val="24"/>
        </w:rPr>
        <w:t>及强周期等板块表现偏弱。</w:t>
      </w:r>
    </w:p>
    <w:p w:rsidR="00C02A8F" w:rsidRPr="008A1551" w:rsidRDefault="00C02A8F" w:rsidP="009E1EA4">
      <w:pPr>
        <w:spacing w:before="29" w:line="288" w:lineRule="auto"/>
        <w:ind w:firstLineChars="200" w:firstLine="480"/>
        <w:rPr>
          <w:color w:val="000000"/>
          <w:sz w:val="24"/>
        </w:rPr>
      </w:pPr>
      <w:r w:rsidRPr="008A1551">
        <w:rPr>
          <w:color w:val="000000"/>
          <w:sz w:val="24"/>
        </w:rPr>
        <w:t>组合操作层面，我们主要以中性</w:t>
      </w:r>
      <w:proofErr w:type="gramStart"/>
      <w:r w:rsidRPr="008A1551">
        <w:rPr>
          <w:color w:val="000000"/>
          <w:sz w:val="24"/>
        </w:rPr>
        <w:t>久期高</w:t>
      </w:r>
      <w:proofErr w:type="gramEnd"/>
      <w:r w:rsidRPr="008A1551">
        <w:rPr>
          <w:color w:val="000000"/>
          <w:sz w:val="24"/>
        </w:rPr>
        <w:t>等级信用品种作为底仓配置品种。权益方面，二季度组合积极关注新股发行动态，进行权益一级市场投资，同时也关注二级市场的投资机会，五月适当增配盈利较为稳定，估值接近历史底部的权益持仓，以期增厚组合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w:t>
      </w:r>
      <w:proofErr w:type="gramStart"/>
      <w:r w:rsidRPr="008A1551">
        <w:rPr>
          <w:color w:val="000000"/>
          <w:sz w:val="24"/>
        </w:rPr>
        <w:t>短久期高</w:t>
      </w:r>
      <w:proofErr w:type="gramEnd"/>
      <w:r w:rsidRPr="008A1551">
        <w:rPr>
          <w:color w:val="000000"/>
          <w:sz w:val="24"/>
        </w:rPr>
        <w:t>等级信用品种，长</w:t>
      </w:r>
      <w:proofErr w:type="gramStart"/>
      <w:r w:rsidRPr="008A1551">
        <w:rPr>
          <w:color w:val="000000"/>
          <w:sz w:val="24"/>
        </w:rPr>
        <w:t>端利率择</w:t>
      </w:r>
      <w:proofErr w:type="gramEnd"/>
      <w:r w:rsidRPr="008A1551">
        <w:rPr>
          <w:color w:val="000000"/>
          <w:sz w:val="24"/>
        </w:rPr>
        <w:t>机做波段操作。权益方面，我们将继续积极关注权益市场一级投资机会，同时密切跟踪个股业绩和行业景气变化，通过行业轮动及个股精选，力求控制组合回撤，努力为投资人取得稳定业绩回报。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C75F3A" w:rsidRDefault="00BB5F12">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75F3A" w:rsidRDefault="00BB5F1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lastRenderedPageBreak/>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作为本基金的托管人，中信银行严格遵守了《证券投资基金法》及其他有关法律法规、基金合同和托管协议的规定，对交银施罗德新回报灵活配置混合型证券投资基金</w:t>
      </w:r>
      <w:r w:rsidRPr="008A1551">
        <w:rPr>
          <w:color w:val="000000"/>
          <w:sz w:val="24"/>
        </w:rPr>
        <w:t>2019</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本托管人认为，交银施罗德基金管理有限公司的信息披露事务符合《证券投资基金信息披露管理办法》及其他相关法律法规的规定，基金管理人所编制和披露的交银施罗德新回报灵活配置混合型证券投资基金</w:t>
      </w:r>
      <w:r w:rsidRPr="008A1551">
        <w:rPr>
          <w:color w:val="000000"/>
          <w:sz w:val="24"/>
        </w:rPr>
        <w:t>2019</w:t>
      </w:r>
      <w:r w:rsidRPr="008A1551">
        <w:rPr>
          <w:color w:val="000000"/>
          <w:sz w:val="24"/>
        </w:rPr>
        <w:t>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会计主体：交银施罗德新回报灵活配置混合型证券投资基金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lastRenderedPageBreak/>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1,419,024.97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2,375,808.70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1,390,872.94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416,374.12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68,856.12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51,433.34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484,348,650.36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501,592,357.71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81,126,820.36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67,050,157.71</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403,221,830.00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434,542,200.00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6,164,207.67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8,769,125.11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480,465.65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85,270.39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493,872,077.71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514,990,369.37</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23,200,000.00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406,207.39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259,647.91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167,423.25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306,322.91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336,478.83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76,580.74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84,119.73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4,363.00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1,463.30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57,638.66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54,933.28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48,584.95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22,590.67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15,534.25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98,076.97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329,316.39</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24,457,422.53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19,511,859.70</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362,458,634.11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419,732,536.88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106,956,021.07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75,745,972.79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469,414,655.18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495,478,509.67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493,872,077.71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514,990,369.37</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1.190</w:t>
      </w:r>
      <w:r w:rsidRPr="008A1551">
        <w:rPr>
          <w:kern w:val="0"/>
          <w:sz w:val="24"/>
        </w:rPr>
        <w:t>元，</w:t>
      </w:r>
      <w:r w:rsidRPr="008A1551">
        <w:rPr>
          <w:kern w:val="0"/>
          <w:sz w:val="24"/>
        </w:rPr>
        <w:t>C</w:t>
      </w:r>
      <w:r w:rsidRPr="008A1551">
        <w:rPr>
          <w:kern w:val="0"/>
          <w:sz w:val="24"/>
        </w:rPr>
        <w:t>类基金份额净值</w:t>
      </w:r>
      <w:r w:rsidRPr="008A1551">
        <w:rPr>
          <w:kern w:val="0"/>
          <w:sz w:val="24"/>
        </w:rPr>
        <w:t>4.115</w:t>
      </w:r>
      <w:r w:rsidRPr="008A1551">
        <w:rPr>
          <w:kern w:val="0"/>
          <w:sz w:val="24"/>
        </w:rPr>
        <w:t>元，基金份额总额</w:t>
      </w:r>
      <w:r w:rsidRPr="008A1551">
        <w:rPr>
          <w:kern w:val="0"/>
          <w:sz w:val="24"/>
        </w:rPr>
        <w:t>362,458,634.11</w:t>
      </w:r>
      <w:r w:rsidRPr="008A1551">
        <w:rPr>
          <w:kern w:val="0"/>
          <w:sz w:val="24"/>
        </w:rPr>
        <w:t>份，其中</w:t>
      </w:r>
      <w:r w:rsidRPr="008A1551">
        <w:rPr>
          <w:kern w:val="0"/>
          <w:sz w:val="24"/>
        </w:rPr>
        <w:t>A</w:t>
      </w:r>
      <w:r w:rsidRPr="008A1551">
        <w:rPr>
          <w:kern w:val="0"/>
          <w:sz w:val="24"/>
        </w:rPr>
        <w:t>类基金份额</w:t>
      </w:r>
      <w:r w:rsidRPr="008A1551">
        <w:rPr>
          <w:kern w:val="0"/>
          <w:sz w:val="24"/>
        </w:rPr>
        <w:t>349,476,159.54</w:t>
      </w:r>
      <w:r w:rsidRPr="008A1551">
        <w:rPr>
          <w:kern w:val="0"/>
          <w:sz w:val="24"/>
        </w:rPr>
        <w:t>份，</w:t>
      </w:r>
      <w:r w:rsidRPr="008A1551">
        <w:rPr>
          <w:kern w:val="0"/>
          <w:sz w:val="24"/>
        </w:rPr>
        <w:t>C</w:t>
      </w:r>
      <w:r w:rsidRPr="008A1551">
        <w:rPr>
          <w:kern w:val="0"/>
          <w:sz w:val="24"/>
        </w:rPr>
        <w:t>类基金份额</w:t>
      </w:r>
      <w:r w:rsidRPr="008A1551">
        <w:rPr>
          <w:kern w:val="0"/>
          <w:sz w:val="24"/>
        </w:rPr>
        <w:t>12,982,474.57</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交银施罗德新回报灵活配置混合型证券投资基金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20,713,882.70</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17,499,900.49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9,470,360.88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13,086,589.48</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54,540.55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42,696.66</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9,336,477.64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12,901,459.19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79,342.69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142,433.63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lastRenderedPageBreak/>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8,817,752.76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16,187,142.06</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5,280,722.21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15,604,050.84</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2,773,788.33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-295,343.57</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763,242.22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878,434.79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2,330,922.17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-11,817,840.27</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94,846.89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44,009.22</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3,395,257.34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4,079,222.05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2,066,980.42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2,809,640.73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516,745.21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702,410.16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19,947.24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1,435.44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178,193.55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118,510.91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472,568.21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210,659.59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472,568.21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210,659.59</w:t>
            </w:r>
          </w:p>
        </w:tc>
      </w:tr>
      <w:tr w:rsidR="00207C2A" w:rsidRPr="00207C2A" w:rsidTr="00207C2A">
        <w:tc>
          <w:tcPr>
            <w:tcW w:w="3420" w:type="dxa"/>
            <w:vAlign w:val="center"/>
          </w:tcPr>
          <w:p w:rsidR="00207C2A" w:rsidRPr="00207C2A" w:rsidRDefault="00207C2A" w:rsidP="00926E81">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926E81">
            <w:pPr>
              <w:pStyle w:val="af6"/>
              <w:jc w:val="center"/>
              <w:rPr>
                <w:rFonts w:ascii="Times New Roman" w:eastAsiaTheme="minorEastAsia" w:hAnsi="Times New Roman"/>
                <w:color w:val="000000"/>
              </w:rPr>
            </w:pPr>
          </w:p>
        </w:tc>
        <w:tc>
          <w:tcPr>
            <w:tcW w:w="2250" w:type="dxa"/>
            <w:vAlign w:val="bottom"/>
          </w:tcPr>
          <w:p w:rsidR="00207C2A" w:rsidRPr="00207C2A" w:rsidRDefault="00207C2A" w:rsidP="00926E81">
            <w:pPr>
              <w:jc w:val="right"/>
              <w:rPr>
                <w:rFonts w:eastAsiaTheme="minorEastAsia"/>
                <w:color w:val="000000"/>
                <w:sz w:val="24"/>
              </w:rPr>
            </w:pPr>
            <w:r w:rsidRPr="00207C2A">
              <w:rPr>
                <w:rFonts w:eastAsiaTheme="minorEastAsia"/>
                <w:color w:val="000000"/>
                <w:sz w:val="24"/>
              </w:rPr>
              <w:t>24,844.65</w:t>
            </w:r>
          </w:p>
        </w:tc>
        <w:tc>
          <w:tcPr>
            <w:tcW w:w="2251" w:type="dxa"/>
            <w:vAlign w:val="bottom"/>
          </w:tcPr>
          <w:p w:rsidR="00207C2A" w:rsidRPr="00207C2A" w:rsidRDefault="00207C2A" w:rsidP="00926E81">
            <w:pPr>
              <w:jc w:val="right"/>
              <w:rPr>
                <w:rFonts w:eastAsiaTheme="minorEastAsia"/>
                <w:color w:val="000000"/>
                <w:sz w:val="24"/>
              </w:rPr>
            </w:pPr>
            <w:r w:rsidRPr="00207C2A">
              <w:rPr>
                <w:rFonts w:eastAsiaTheme="minorEastAsia"/>
                <w:color w:val="000000"/>
                <w:sz w:val="24"/>
              </w:rPr>
              <w:t>20,774.34</w:t>
            </w:r>
          </w:p>
        </w:tc>
      </w:tr>
      <w:tr w:rsidR="00207C2A" w:rsidRPr="006D09B5" w:rsidTr="00207C2A">
        <w:tc>
          <w:tcPr>
            <w:tcW w:w="3420" w:type="dxa"/>
            <w:vAlign w:val="center"/>
          </w:tcPr>
          <w:p w:rsidR="00207C2A" w:rsidRPr="00207C2A" w:rsidRDefault="00207C2A" w:rsidP="00926E81">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926E81">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926E81">
            <w:pPr>
              <w:jc w:val="right"/>
              <w:rPr>
                <w:rFonts w:eastAsiaTheme="minorEastAsia"/>
                <w:color w:val="000000"/>
                <w:sz w:val="24"/>
              </w:rPr>
            </w:pPr>
            <w:r w:rsidRPr="00207C2A">
              <w:rPr>
                <w:rFonts w:eastAsiaTheme="minorEastAsia"/>
                <w:color w:val="000000"/>
                <w:sz w:val="24"/>
              </w:rPr>
              <w:t>115,978.06</w:t>
            </w:r>
          </w:p>
        </w:tc>
        <w:tc>
          <w:tcPr>
            <w:tcW w:w="2251" w:type="dxa"/>
            <w:vAlign w:val="bottom"/>
          </w:tcPr>
          <w:p w:rsidR="00207C2A" w:rsidRPr="006D09B5" w:rsidRDefault="00207C2A" w:rsidP="00926E81">
            <w:pPr>
              <w:jc w:val="right"/>
              <w:rPr>
                <w:rFonts w:eastAsiaTheme="minorEastAsia"/>
                <w:color w:val="000000"/>
                <w:sz w:val="24"/>
              </w:rPr>
            </w:pPr>
            <w:r w:rsidRPr="00207C2A">
              <w:rPr>
                <w:rFonts w:eastAsiaTheme="minorEastAsia"/>
                <w:color w:val="000000"/>
                <w:sz w:val="24"/>
              </w:rPr>
              <w:t>215,790.88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17,318,625.36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13,420,678.44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17,318,625.36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13,420,678.44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交银施罗德新回报灵活配置混合型证券投资基金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419,732,536.88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75,745,972.79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495,478,509.67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17,318,625.36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17,318,625.36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-57,273,902.77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13,891,422.92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-43,382,479.85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165,259,284.60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64,310,101.43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229,569,386.03</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-222,533,187.37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-50,418,678.51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-272,951,865.88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362,458,634.11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106,956,021.07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469,414,655.18</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632,895,555.79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79,870,758.91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712,766,314.70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13,420,678.44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13,420,678.44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-15,961,704.01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6,067,947.86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-9,893,756.15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8,587,330.65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12,725,661.75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21,312,992.40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-24,549,034.66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-6,657,713.89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-31,206,748.55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w:t>
            </w:r>
            <w:r w:rsidRPr="008A1551">
              <w:rPr>
                <w:color w:val="000000"/>
                <w:sz w:val="24"/>
              </w:rPr>
              <w:lastRenderedPageBreak/>
              <w:t>（基金净值）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616,933,851.78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99,359,385.21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716,293,236.99</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C75F3A" w:rsidRDefault="00BB5F12">
      <w:pPr>
        <w:spacing w:before="29" w:line="288" w:lineRule="auto"/>
        <w:ind w:firstLineChars="200" w:firstLine="480"/>
        <w:rPr>
          <w:color w:val="000000"/>
          <w:sz w:val="24"/>
        </w:rPr>
      </w:pPr>
      <w:r>
        <w:rPr>
          <w:color w:val="000000"/>
          <w:sz w:val="24"/>
        </w:rPr>
        <w:t>交银施罗德新回报灵活配置混合型证券投资基金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[2015]678</w:t>
      </w:r>
      <w:r>
        <w:rPr>
          <w:color w:val="00000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color w:val="000000"/>
          <w:sz w:val="24"/>
        </w:rPr>
        <w:t>8,746,682,723.65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487</w:t>
      </w:r>
      <w:r>
        <w:rPr>
          <w:color w:val="000000"/>
          <w:sz w:val="24"/>
        </w:rPr>
        <w:t>号验资报告予以验证。经向中国证监会备案，《交银施罗德新回报灵活配置混合型证券投资基金基金合同》于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15</w:t>
      </w:r>
      <w:r>
        <w:rPr>
          <w:color w:val="000000"/>
          <w:sz w:val="24"/>
        </w:rPr>
        <w:t>日正式生效，基金合同生效日的基金份额总额为</w:t>
      </w:r>
      <w:r>
        <w:rPr>
          <w:color w:val="000000"/>
          <w:sz w:val="24"/>
        </w:rPr>
        <w:t>8,747,076,426.25</w:t>
      </w:r>
      <w:r>
        <w:rPr>
          <w:color w:val="000000"/>
          <w:sz w:val="24"/>
        </w:rPr>
        <w:t>份基金份额，其中认购资金利息折合</w:t>
      </w:r>
      <w:r>
        <w:rPr>
          <w:color w:val="000000"/>
          <w:sz w:val="24"/>
        </w:rPr>
        <w:t>393,702.60</w:t>
      </w:r>
      <w:r>
        <w:rPr>
          <w:color w:val="000000"/>
          <w:sz w:val="24"/>
        </w:rPr>
        <w:t>份基金份额。本基金的基金管理人为交银施罗德基金管理有限公司，基金托管人为中信银行股份有限公司。</w:t>
      </w:r>
    </w:p>
    <w:p w:rsidR="00C75F3A" w:rsidRDefault="00C75F3A">
      <w:pPr>
        <w:spacing w:before="29" w:line="288" w:lineRule="auto"/>
        <w:ind w:firstLineChars="200" w:firstLine="480"/>
        <w:rPr>
          <w:color w:val="000000"/>
          <w:sz w:val="24"/>
        </w:rPr>
      </w:pPr>
    </w:p>
    <w:p w:rsidR="00C75F3A" w:rsidRDefault="00BB5F12">
      <w:pPr>
        <w:spacing w:before="29" w:line="288" w:lineRule="auto"/>
        <w:ind w:firstLineChars="200" w:firstLine="480"/>
        <w:rPr>
          <w:color w:val="000000"/>
          <w:sz w:val="24"/>
        </w:rPr>
      </w:pPr>
      <w:r>
        <w:rPr>
          <w:color w:val="000000"/>
          <w:sz w:val="24"/>
        </w:rPr>
        <w:t>根据《关于交银施罗德新回报灵活配置混合型证券投资基金增加</w:t>
      </w:r>
      <w:r>
        <w:rPr>
          <w:color w:val="000000"/>
          <w:sz w:val="24"/>
        </w:rPr>
        <w:t>C</w:t>
      </w:r>
      <w:r>
        <w:rPr>
          <w:color w:val="000000"/>
          <w:sz w:val="24"/>
        </w:rPr>
        <w:t>类份额并修改基金合同、托管协议的公告》，本基金自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w:t>
      </w:r>
      <w:proofErr w:type="gramStart"/>
      <w:r>
        <w:rPr>
          <w:color w:val="000000"/>
          <w:sz w:val="24"/>
        </w:rPr>
        <w:t>提销售</w:t>
      </w:r>
      <w:proofErr w:type="gramEnd"/>
      <w:r>
        <w:rPr>
          <w:color w:val="000000"/>
          <w:sz w:val="24"/>
        </w:rPr>
        <w:t>服务费的基金份额，称为</w:t>
      </w:r>
      <w:r>
        <w:rPr>
          <w:color w:val="000000"/>
          <w:sz w:val="24"/>
        </w:rPr>
        <w:t>A</w:t>
      </w:r>
      <w:r>
        <w:rPr>
          <w:color w:val="000000"/>
          <w:sz w:val="24"/>
        </w:rPr>
        <w:t>类基金份额；对投资者申购时不收取申购费用，但在赎回时收取赎回费用，且从本类别基金资产中计</w:t>
      </w:r>
      <w:proofErr w:type="gramStart"/>
      <w:r>
        <w:rPr>
          <w:color w:val="000000"/>
          <w:sz w:val="24"/>
        </w:rPr>
        <w:t>提销售</w:t>
      </w:r>
      <w:proofErr w:type="gramEnd"/>
      <w:r>
        <w:rPr>
          <w:color w:val="000000"/>
          <w:sz w:val="24"/>
        </w:rPr>
        <w:t>服务费的基金份额，称为</w:t>
      </w:r>
      <w:r>
        <w:rPr>
          <w:color w:val="000000"/>
          <w:sz w:val="24"/>
        </w:rPr>
        <w:t xml:space="preserve">C </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类基金份额后，将分别设置对应的基金代码并分别计算基金份额净值。投资人可自由选择申购某一类别的基金份额，但各类别基金份额之间不能相互转换。</w:t>
      </w:r>
    </w:p>
    <w:p w:rsidR="00C75F3A" w:rsidRDefault="00C75F3A">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根据《中华人民共和国证券投资基金法》和《交银施罗德新回报灵活配置混合型证券投资基金基金合同》的有关规定，本基金的投资范围为具有良好流动性的金融工具，包括国内依法发行上市的股票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、债券、中期票据、货币市场工具、权证、资产支持证券、银行存款、股指期货以及法律法规或中国证监会允许基金投资的其他金融工具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w:t>
      </w:r>
      <w:r w:rsidRPr="008A1551">
        <w:rPr>
          <w:color w:val="000000"/>
          <w:sz w:val="24"/>
        </w:rPr>
        <w:lastRenderedPageBreak/>
        <w:t>按照基金所持有的股票市值以及买入、卖出股指期货合约价值合计</w:t>
      </w:r>
      <w:r w:rsidRPr="008A1551">
        <w:rPr>
          <w:color w:val="000000"/>
          <w:sz w:val="24"/>
        </w:rPr>
        <w:t>(</w:t>
      </w:r>
      <w:r w:rsidRPr="008A1551">
        <w:rPr>
          <w:color w:val="000000"/>
          <w:sz w:val="24"/>
        </w:rPr>
        <w:t>轧差计算</w:t>
      </w:r>
      <w:r w:rsidRPr="008A1551">
        <w:rPr>
          <w:color w:val="000000"/>
          <w:sz w:val="24"/>
        </w:rPr>
        <w:t>)</w:t>
      </w:r>
      <w:r w:rsidRPr="008A1551">
        <w:rPr>
          <w:color w:val="000000"/>
          <w:sz w:val="24"/>
        </w:rPr>
        <w:t>；权证的投资比例不超过基金资产净值的</w:t>
      </w:r>
      <w:r w:rsidRPr="008A1551">
        <w:rPr>
          <w:color w:val="000000"/>
          <w:sz w:val="24"/>
        </w:rPr>
        <w:t>3%</w:t>
      </w:r>
      <w:r w:rsidRPr="008A1551">
        <w:rPr>
          <w:color w:val="000000"/>
          <w:sz w:val="24"/>
        </w:rPr>
        <w:t>；每个交易日日终在扣除股指期货合约需缴纳的交易保证金后，基金保留的现金或者投资于到期日在一年以内的政府债券的比例合计不低于基金资产净值的</w:t>
      </w:r>
      <w:r w:rsidRPr="008A1551">
        <w:rPr>
          <w:color w:val="000000"/>
          <w:sz w:val="24"/>
        </w:rPr>
        <w:t>5%</w:t>
      </w:r>
      <w:r w:rsidRPr="008A1551">
        <w:rPr>
          <w:color w:val="000000"/>
          <w:sz w:val="24"/>
        </w:rPr>
        <w:t>，其中现金不包括结算备付金、存出保证金和应收申购款等；基金在任何交易日日终，持有的买入股指期货合约价值，不得超过基金资产净值的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w:t>
      </w:r>
      <w:proofErr w:type="gramStart"/>
      <w:r w:rsidRPr="008A1551">
        <w:rPr>
          <w:color w:val="000000"/>
          <w:sz w:val="24"/>
        </w:rPr>
        <w:t>债综合全价指数</w:t>
      </w:r>
      <w:proofErr w:type="gramEnd"/>
      <w:r w:rsidRPr="008A1551">
        <w:rPr>
          <w:color w:val="000000"/>
          <w:sz w:val="24"/>
        </w:rPr>
        <w:t>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C75F3A" w:rsidRDefault="00BB5F1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颁布的《证券投资基金会计核算业务指引》、《交银施罗德新回报灵活配置混合型证券投资基金基金合同》和在财务报表附注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C75F3A" w:rsidRDefault="00BB5F1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75F3A" w:rsidRDefault="00BB5F12">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C75F3A" w:rsidRDefault="00BB5F1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C75F3A" w:rsidRDefault="00BB5F1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75F3A" w:rsidRDefault="00BB5F1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75F3A" w:rsidRDefault="00BB5F1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C75F3A">
        <w:tc>
          <w:tcPr>
            <w:tcW w:w="5219" w:type="dxa"/>
            <w:vAlign w:val="center"/>
          </w:tcPr>
          <w:p w:rsidR="00C75F3A" w:rsidRDefault="00BB5F1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75F3A" w:rsidRDefault="00BB5F12">
            <w:pPr>
              <w:jc w:val="left"/>
            </w:pPr>
            <w:r>
              <w:rPr>
                <w:color w:val="000000"/>
                <w:sz w:val="24"/>
              </w:rPr>
              <w:t>基金管理人、基金销售机构</w:t>
            </w:r>
          </w:p>
        </w:tc>
      </w:tr>
      <w:tr w:rsidR="00C75F3A">
        <w:tc>
          <w:tcPr>
            <w:tcW w:w="5219" w:type="dxa"/>
            <w:vAlign w:val="center"/>
          </w:tcPr>
          <w:p w:rsidR="00C75F3A" w:rsidRDefault="00BB5F1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C75F3A" w:rsidRDefault="00BB5F12">
            <w:pPr>
              <w:jc w:val="left"/>
            </w:pPr>
            <w:r>
              <w:rPr>
                <w:color w:val="000000"/>
                <w:sz w:val="24"/>
              </w:rPr>
              <w:t>基金托管人、基金销售机构</w:t>
            </w:r>
          </w:p>
        </w:tc>
      </w:tr>
      <w:tr w:rsidR="00C75F3A">
        <w:tc>
          <w:tcPr>
            <w:tcW w:w="5219" w:type="dxa"/>
            <w:vAlign w:val="center"/>
          </w:tcPr>
          <w:p w:rsidR="00C75F3A" w:rsidRDefault="00BB5F1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75F3A" w:rsidRDefault="00BB5F12">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2,066,980.42</w:t>
            </w:r>
          </w:p>
        </w:tc>
        <w:tc>
          <w:tcPr>
            <w:tcW w:w="2657" w:type="dxa"/>
            <w:vAlign w:val="center"/>
          </w:tcPr>
          <w:p w:rsidR="001548F9" w:rsidRPr="008A1551" w:rsidRDefault="001548F9" w:rsidP="009E1EA4">
            <w:pPr>
              <w:spacing w:before="29" w:line="288" w:lineRule="auto"/>
              <w:jc w:val="right"/>
              <w:rPr>
                <w:sz w:val="24"/>
              </w:rPr>
            </w:pPr>
            <w:r w:rsidRPr="008A1551">
              <w:rPr>
                <w:sz w:val="24"/>
              </w:rPr>
              <w:t>2,809,640.73</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154,387.12</w:t>
            </w:r>
          </w:p>
        </w:tc>
        <w:tc>
          <w:tcPr>
            <w:tcW w:w="2657" w:type="dxa"/>
            <w:vAlign w:val="center"/>
          </w:tcPr>
          <w:p w:rsidR="001548F9" w:rsidRPr="008A1551" w:rsidRDefault="001548F9" w:rsidP="009E1EA4">
            <w:pPr>
              <w:spacing w:before="29" w:line="288" w:lineRule="auto"/>
              <w:jc w:val="right"/>
              <w:rPr>
                <w:sz w:val="24"/>
              </w:rPr>
            </w:pPr>
            <w:r w:rsidRPr="008A1551">
              <w:rPr>
                <w:sz w:val="24"/>
              </w:rPr>
              <w:t>80,052.46</w:t>
            </w:r>
          </w:p>
        </w:tc>
      </w:tr>
    </w:tbl>
    <w:p w:rsidR="00C75F3A" w:rsidRDefault="00BB5F1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×0.80%÷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516,745.21</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702,410.16</w:t>
            </w:r>
          </w:p>
        </w:tc>
      </w:tr>
    </w:tbl>
    <w:p w:rsidR="00C75F3A" w:rsidRDefault="00BB5F1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w:t>
      </w:r>
      <w:r>
        <w:rPr>
          <w:kern w:val="0"/>
          <w:sz w:val="24"/>
        </w:rPr>
        <w:lastRenderedPageBreak/>
        <w:t>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C75F3A">
        <w:tc>
          <w:tcPr>
            <w:tcW w:w="2000" w:type="dxa"/>
            <w:vAlign w:val="center"/>
          </w:tcPr>
          <w:p w:rsidR="00C75F3A" w:rsidRDefault="00BB5F12">
            <w:pPr>
              <w:jc w:val="left"/>
            </w:pPr>
            <w:r>
              <w:rPr>
                <w:sz w:val="24"/>
              </w:rPr>
              <w:t>交银施罗德基金公司</w:t>
            </w:r>
          </w:p>
        </w:tc>
        <w:tc>
          <w:tcPr>
            <w:tcW w:w="1766" w:type="dxa"/>
            <w:vAlign w:val="center"/>
          </w:tcPr>
          <w:p w:rsidR="00C75F3A" w:rsidRDefault="00BB5F12">
            <w:pPr>
              <w:jc w:val="right"/>
            </w:pPr>
            <w:r>
              <w:rPr>
                <w:sz w:val="24"/>
              </w:rPr>
              <w:t>-</w:t>
            </w:r>
          </w:p>
        </w:tc>
        <w:tc>
          <w:tcPr>
            <w:tcW w:w="2162" w:type="dxa"/>
            <w:vAlign w:val="center"/>
          </w:tcPr>
          <w:p w:rsidR="00C75F3A" w:rsidRDefault="00BB5F12">
            <w:pPr>
              <w:jc w:val="right"/>
            </w:pPr>
            <w:r>
              <w:rPr>
                <w:sz w:val="24"/>
              </w:rPr>
              <w:t>7,681.83</w:t>
            </w:r>
          </w:p>
        </w:tc>
        <w:tc>
          <w:tcPr>
            <w:tcW w:w="3070" w:type="dxa"/>
            <w:vAlign w:val="center"/>
          </w:tcPr>
          <w:p w:rsidR="00C75F3A" w:rsidRDefault="00BB5F12">
            <w:pPr>
              <w:jc w:val="right"/>
            </w:pPr>
            <w:r>
              <w:rPr>
                <w:sz w:val="24"/>
              </w:rPr>
              <w:t>7,681.83</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BB5F12">
            <w:pPr>
              <w:spacing w:before="29" w:line="288" w:lineRule="auto"/>
              <w:jc w:val="righ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BB5F12">
            <w:pPr>
              <w:spacing w:before="29" w:line="288" w:lineRule="auto"/>
              <w:jc w:val="right"/>
              <w:rPr>
                <w:sz w:val="24"/>
              </w:rPr>
            </w:pPr>
            <w:r w:rsidRPr="008A1551">
              <w:rPr>
                <w:sz w:val="24"/>
              </w:rPr>
              <w:t>7,681.83</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BB5F12">
            <w:pPr>
              <w:spacing w:before="29" w:line="288" w:lineRule="auto"/>
              <w:jc w:val="right"/>
              <w:rPr>
                <w:sz w:val="24"/>
              </w:rPr>
            </w:pPr>
            <w:r w:rsidRPr="008A1551">
              <w:rPr>
                <w:sz w:val="24"/>
              </w:rPr>
              <w:t>7,681.83</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C75F3A">
        <w:tc>
          <w:tcPr>
            <w:tcW w:w="2000" w:type="dxa"/>
            <w:vAlign w:val="center"/>
          </w:tcPr>
          <w:p w:rsidR="00C75F3A" w:rsidRDefault="00BB5F12">
            <w:pPr>
              <w:jc w:val="left"/>
            </w:pPr>
            <w:r>
              <w:rPr>
                <w:sz w:val="24"/>
              </w:rPr>
              <w:t>交银施罗德基金公司</w:t>
            </w:r>
          </w:p>
        </w:tc>
        <w:tc>
          <w:tcPr>
            <w:tcW w:w="1766" w:type="dxa"/>
            <w:vAlign w:val="center"/>
          </w:tcPr>
          <w:p w:rsidR="00C75F3A" w:rsidRDefault="00BB5F12">
            <w:pPr>
              <w:jc w:val="right"/>
            </w:pPr>
            <w:r>
              <w:rPr>
                <w:sz w:val="24"/>
              </w:rPr>
              <w:t>-</w:t>
            </w:r>
          </w:p>
        </w:tc>
        <w:tc>
          <w:tcPr>
            <w:tcW w:w="2162" w:type="dxa"/>
            <w:vAlign w:val="center"/>
          </w:tcPr>
          <w:p w:rsidR="00C75F3A" w:rsidRDefault="00BB5F12">
            <w:pPr>
              <w:jc w:val="right"/>
            </w:pPr>
            <w:r>
              <w:rPr>
                <w:sz w:val="24"/>
              </w:rPr>
              <w:t>79.85</w:t>
            </w:r>
          </w:p>
        </w:tc>
        <w:tc>
          <w:tcPr>
            <w:tcW w:w="3070" w:type="dxa"/>
            <w:vAlign w:val="center"/>
          </w:tcPr>
          <w:p w:rsidR="00C75F3A" w:rsidRDefault="00BB5F12">
            <w:pPr>
              <w:jc w:val="right"/>
            </w:pPr>
            <w:r>
              <w:rPr>
                <w:sz w:val="24"/>
              </w:rPr>
              <w:t>79.85</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BB5F12">
            <w:pPr>
              <w:spacing w:before="29" w:line="288" w:lineRule="auto"/>
              <w:jc w:val="righ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BB5F12">
            <w:pPr>
              <w:spacing w:before="29" w:line="288" w:lineRule="auto"/>
              <w:jc w:val="right"/>
              <w:rPr>
                <w:sz w:val="24"/>
              </w:rPr>
            </w:pPr>
            <w:r w:rsidRPr="008A1551">
              <w:rPr>
                <w:sz w:val="24"/>
              </w:rPr>
              <w:t>79.85</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BB5F12">
            <w:pPr>
              <w:spacing w:before="29" w:line="288" w:lineRule="auto"/>
              <w:jc w:val="right"/>
              <w:rPr>
                <w:sz w:val="24"/>
              </w:rPr>
            </w:pPr>
            <w:r w:rsidRPr="008A1551">
              <w:rPr>
                <w:sz w:val="24"/>
              </w:rPr>
              <w:t>79.85</w:t>
            </w:r>
          </w:p>
        </w:tc>
      </w:tr>
    </w:tbl>
    <w:p w:rsidR="00C75F3A" w:rsidRDefault="00BB5F1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×0.1%÷</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本基金的基金管理人于本基金本报告期内及上年度可比期间未运用</w:t>
      </w:r>
      <w:proofErr w:type="gramStart"/>
      <w:r w:rsidRPr="008A1551">
        <w:rPr>
          <w:kern w:val="0"/>
          <w:sz w:val="24"/>
        </w:rPr>
        <w:t>固有资金</w:t>
      </w:r>
      <w:proofErr w:type="gramEnd"/>
      <w:r w:rsidRPr="008A1551">
        <w:rPr>
          <w:kern w:val="0"/>
          <w:sz w:val="24"/>
        </w:rPr>
        <w:t>投资本基金。</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lastRenderedPageBreak/>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C75F3A">
        <w:tc>
          <w:tcPr>
            <w:tcW w:w="2692" w:type="dxa"/>
            <w:vAlign w:val="center"/>
          </w:tcPr>
          <w:p w:rsidR="00C75F3A" w:rsidRDefault="00BB5F12">
            <w:pPr>
              <w:jc w:val="left"/>
            </w:pPr>
            <w:r>
              <w:rPr>
                <w:sz w:val="24"/>
              </w:rPr>
              <w:t>中信银行股份有限公司</w:t>
            </w:r>
          </w:p>
        </w:tc>
        <w:tc>
          <w:tcPr>
            <w:tcW w:w="1417" w:type="dxa"/>
            <w:vAlign w:val="center"/>
          </w:tcPr>
          <w:p w:rsidR="00C75F3A" w:rsidRDefault="00BB5F12">
            <w:pPr>
              <w:jc w:val="right"/>
            </w:pPr>
            <w:r>
              <w:rPr>
                <w:sz w:val="24"/>
              </w:rPr>
              <w:t>1,419,024.97</w:t>
            </w:r>
          </w:p>
        </w:tc>
        <w:tc>
          <w:tcPr>
            <w:tcW w:w="1736" w:type="dxa"/>
            <w:vAlign w:val="center"/>
          </w:tcPr>
          <w:p w:rsidR="00C75F3A" w:rsidRDefault="00BB5F12">
            <w:pPr>
              <w:jc w:val="right"/>
            </w:pPr>
            <w:r>
              <w:rPr>
                <w:sz w:val="24"/>
              </w:rPr>
              <w:t>45,245.93</w:t>
            </w:r>
          </w:p>
        </w:tc>
        <w:tc>
          <w:tcPr>
            <w:tcW w:w="1383" w:type="dxa"/>
            <w:vAlign w:val="center"/>
          </w:tcPr>
          <w:p w:rsidR="00C75F3A" w:rsidRDefault="00BB5F12">
            <w:pPr>
              <w:jc w:val="right"/>
            </w:pPr>
            <w:r>
              <w:rPr>
                <w:sz w:val="24"/>
              </w:rPr>
              <w:t>713,843.22</w:t>
            </w:r>
          </w:p>
        </w:tc>
        <w:tc>
          <w:tcPr>
            <w:tcW w:w="1770" w:type="dxa"/>
            <w:vAlign w:val="center"/>
          </w:tcPr>
          <w:p w:rsidR="00C75F3A" w:rsidRDefault="00BB5F12">
            <w:pPr>
              <w:jc w:val="right"/>
            </w:pPr>
            <w:r>
              <w:rPr>
                <w:sz w:val="24"/>
              </w:rPr>
              <w:t>33,193.27</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26E81">
      <w:pPr>
        <w:tabs>
          <w:tab w:val="left" w:pos="426"/>
        </w:tabs>
        <w:spacing w:before="29" w:line="288" w:lineRule="auto"/>
        <w:jc w:val="left"/>
        <w:rPr>
          <w:bCs/>
          <w:color w:val="000000"/>
          <w:sz w:val="24"/>
        </w:rPr>
      </w:pPr>
      <w:r w:rsidRPr="008A1551">
        <w:rPr>
          <w:kern w:val="0"/>
          <w:sz w:val="24"/>
        </w:rPr>
        <w:t>本基金本报告期内及上年度可比期间未在承销期内参与关联方承销证券。</w:t>
      </w:r>
    </w:p>
    <w:p w:rsidR="00926E81" w:rsidRDefault="00926E81" w:rsidP="00926E81">
      <w:pPr>
        <w:spacing w:before="29" w:line="288" w:lineRule="auto"/>
        <w:jc w:val="left"/>
        <w:rPr>
          <w:rFonts w:eastAsiaTheme="minorEastAsia"/>
          <w:b/>
          <w:bCs/>
          <w:color w:val="000000" w:themeColor="text1"/>
          <w:kern w:val="0"/>
          <w:sz w:val="24"/>
        </w:rPr>
      </w:pPr>
    </w:p>
    <w:p w:rsidR="00207C2A" w:rsidRPr="00926E81" w:rsidRDefault="00207C2A" w:rsidP="00926E81">
      <w:pPr>
        <w:spacing w:before="29" w:line="288" w:lineRule="auto"/>
        <w:jc w:val="left"/>
        <w:rPr>
          <w:b/>
          <w:bCs/>
          <w:color w:val="000000"/>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Pr="00926E81" w:rsidRDefault="00207C2A" w:rsidP="00926E81">
      <w:pPr>
        <w:tabs>
          <w:tab w:val="left" w:pos="426"/>
        </w:tabs>
        <w:spacing w:before="29" w:line="288" w:lineRule="auto"/>
        <w:jc w:val="left"/>
        <w:rPr>
          <w:bCs/>
          <w:color w:val="000000"/>
          <w:sz w:val="24"/>
        </w:rPr>
      </w:pPr>
      <w:r w:rsidRPr="00207C2A">
        <w:rPr>
          <w:rFonts w:eastAsiaTheme="minorEastAsia"/>
          <w:color w:val="000000" w:themeColor="text1"/>
          <w:kern w:val="0"/>
          <w:sz w:val="24"/>
        </w:rPr>
        <w:t>本基金本报告期内及上年度可比期间无其他关联交易事项。</w:t>
      </w:r>
    </w:p>
    <w:p w:rsidR="00207C2A" w:rsidRPr="00926E81" w:rsidRDefault="00207C2A" w:rsidP="00926E81">
      <w:pPr>
        <w:tabs>
          <w:tab w:val="left" w:pos="426"/>
        </w:tabs>
        <w:spacing w:before="29" w:line="288" w:lineRule="auto"/>
        <w:jc w:val="left"/>
        <w:rPr>
          <w:bCs/>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proofErr w:type="gramStart"/>
            <w:r w:rsidRPr="008A1551">
              <w:rPr>
                <w:sz w:val="24"/>
              </w:rPr>
              <w:t>通日</w:t>
            </w:r>
            <w:proofErr w:type="gramEnd"/>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proofErr w:type="gramStart"/>
            <w:r w:rsidRPr="008A1551">
              <w:rPr>
                <w:sz w:val="24"/>
              </w:rPr>
              <w:t>限类型</w:t>
            </w:r>
            <w:proofErr w:type="gramEnd"/>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w:t>
            </w:r>
            <w:proofErr w:type="gramStart"/>
            <w:r w:rsidRPr="008A1551">
              <w:rPr>
                <w:sz w:val="24"/>
              </w:rPr>
              <w:t>估</w:t>
            </w:r>
            <w:proofErr w:type="gramEnd"/>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C75F3A">
        <w:tc>
          <w:tcPr>
            <w:tcW w:w="818" w:type="dxa"/>
            <w:vAlign w:val="center"/>
          </w:tcPr>
          <w:p w:rsidR="00C75F3A" w:rsidRDefault="00BB5F12">
            <w:pPr>
              <w:jc w:val="center"/>
            </w:pPr>
            <w:r>
              <w:rPr>
                <w:sz w:val="24"/>
              </w:rPr>
              <w:t>300788</w:t>
            </w:r>
          </w:p>
        </w:tc>
        <w:tc>
          <w:tcPr>
            <w:tcW w:w="819" w:type="dxa"/>
            <w:vAlign w:val="center"/>
          </w:tcPr>
          <w:p w:rsidR="00C75F3A" w:rsidRDefault="00BB5F12">
            <w:pPr>
              <w:jc w:val="center"/>
            </w:pPr>
            <w:r>
              <w:rPr>
                <w:sz w:val="24"/>
              </w:rPr>
              <w:t>中</w:t>
            </w:r>
            <w:proofErr w:type="gramStart"/>
            <w:r>
              <w:rPr>
                <w:sz w:val="24"/>
              </w:rPr>
              <w:t>信出版</w:t>
            </w:r>
            <w:proofErr w:type="gramEnd"/>
          </w:p>
        </w:tc>
        <w:tc>
          <w:tcPr>
            <w:tcW w:w="818" w:type="dxa"/>
            <w:vAlign w:val="center"/>
          </w:tcPr>
          <w:p w:rsidR="00C75F3A" w:rsidRDefault="00BB5F12">
            <w:pPr>
              <w:jc w:val="center"/>
            </w:pPr>
            <w:r>
              <w:rPr>
                <w:sz w:val="24"/>
              </w:rPr>
              <w:t>2019-06-27</w:t>
            </w:r>
          </w:p>
        </w:tc>
        <w:tc>
          <w:tcPr>
            <w:tcW w:w="819" w:type="dxa"/>
            <w:vAlign w:val="center"/>
          </w:tcPr>
          <w:p w:rsidR="00C75F3A" w:rsidRDefault="00BB5F12">
            <w:pPr>
              <w:jc w:val="center"/>
            </w:pPr>
            <w:r>
              <w:rPr>
                <w:sz w:val="24"/>
              </w:rPr>
              <w:t>2019-07-05</w:t>
            </w:r>
          </w:p>
        </w:tc>
        <w:tc>
          <w:tcPr>
            <w:tcW w:w="818" w:type="dxa"/>
            <w:vAlign w:val="center"/>
          </w:tcPr>
          <w:p w:rsidR="00C75F3A" w:rsidRDefault="00BB5F12">
            <w:pPr>
              <w:jc w:val="center"/>
            </w:pPr>
            <w:r>
              <w:rPr>
                <w:sz w:val="24"/>
              </w:rPr>
              <w:t>新股未上市</w:t>
            </w:r>
          </w:p>
        </w:tc>
        <w:tc>
          <w:tcPr>
            <w:tcW w:w="818" w:type="dxa"/>
            <w:vAlign w:val="center"/>
          </w:tcPr>
          <w:p w:rsidR="00C75F3A" w:rsidRDefault="00BB5F12">
            <w:pPr>
              <w:jc w:val="right"/>
            </w:pPr>
            <w:r>
              <w:rPr>
                <w:sz w:val="24"/>
              </w:rPr>
              <w:t>14.85</w:t>
            </w:r>
          </w:p>
        </w:tc>
        <w:tc>
          <w:tcPr>
            <w:tcW w:w="817" w:type="dxa"/>
            <w:vAlign w:val="center"/>
          </w:tcPr>
          <w:p w:rsidR="00C75F3A" w:rsidRDefault="00BB5F12">
            <w:pPr>
              <w:jc w:val="center"/>
            </w:pPr>
            <w:r>
              <w:rPr>
                <w:sz w:val="24"/>
              </w:rPr>
              <w:t>14.85</w:t>
            </w:r>
          </w:p>
        </w:tc>
        <w:tc>
          <w:tcPr>
            <w:tcW w:w="818" w:type="dxa"/>
            <w:vAlign w:val="center"/>
          </w:tcPr>
          <w:p w:rsidR="00C75F3A" w:rsidRDefault="00BB5F12">
            <w:pPr>
              <w:jc w:val="right"/>
            </w:pPr>
            <w:r>
              <w:rPr>
                <w:sz w:val="24"/>
              </w:rPr>
              <w:t>1,556</w:t>
            </w:r>
          </w:p>
        </w:tc>
        <w:tc>
          <w:tcPr>
            <w:tcW w:w="817" w:type="dxa"/>
            <w:vAlign w:val="center"/>
          </w:tcPr>
          <w:p w:rsidR="00C75F3A" w:rsidRDefault="00BB5F12">
            <w:pPr>
              <w:jc w:val="right"/>
            </w:pPr>
            <w:r>
              <w:rPr>
                <w:sz w:val="24"/>
              </w:rPr>
              <w:t>23,106.60</w:t>
            </w:r>
          </w:p>
        </w:tc>
        <w:tc>
          <w:tcPr>
            <w:tcW w:w="818" w:type="dxa"/>
            <w:vAlign w:val="center"/>
          </w:tcPr>
          <w:p w:rsidR="00C75F3A" w:rsidRDefault="00BB5F12">
            <w:pPr>
              <w:jc w:val="right"/>
            </w:pPr>
            <w:r>
              <w:rPr>
                <w:sz w:val="24"/>
              </w:rPr>
              <w:t>23,106.60</w:t>
            </w:r>
          </w:p>
        </w:tc>
        <w:tc>
          <w:tcPr>
            <w:tcW w:w="818" w:type="dxa"/>
            <w:vAlign w:val="center"/>
          </w:tcPr>
          <w:p w:rsidR="00C75F3A" w:rsidRDefault="00BB5F12">
            <w:pPr>
              <w:jc w:val="center"/>
            </w:pPr>
            <w:r>
              <w:rPr>
                <w:sz w:val="24"/>
              </w:rPr>
              <w:t>-</w:t>
            </w:r>
          </w:p>
        </w:tc>
      </w:tr>
      <w:tr w:rsidR="00C75F3A">
        <w:tc>
          <w:tcPr>
            <w:tcW w:w="818" w:type="dxa"/>
            <w:vAlign w:val="center"/>
          </w:tcPr>
          <w:p w:rsidR="00C75F3A" w:rsidRDefault="00BB5F12">
            <w:pPr>
              <w:jc w:val="center"/>
            </w:pPr>
            <w:r>
              <w:rPr>
                <w:sz w:val="24"/>
              </w:rPr>
              <w:t>601236</w:t>
            </w:r>
          </w:p>
        </w:tc>
        <w:tc>
          <w:tcPr>
            <w:tcW w:w="819" w:type="dxa"/>
            <w:vAlign w:val="center"/>
          </w:tcPr>
          <w:p w:rsidR="00C75F3A" w:rsidRDefault="00BB5F12">
            <w:pPr>
              <w:jc w:val="center"/>
            </w:pPr>
            <w:r>
              <w:rPr>
                <w:sz w:val="24"/>
              </w:rPr>
              <w:t>红</w:t>
            </w:r>
            <w:proofErr w:type="gramStart"/>
            <w:r>
              <w:rPr>
                <w:sz w:val="24"/>
              </w:rPr>
              <w:t>塔证券</w:t>
            </w:r>
            <w:proofErr w:type="gramEnd"/>
          </w:p>
        </w:tc>
        <w:tc>
          <w:tcPr>
            <w:tcW w:w="818" w:type="dxa"/>
            <w:vAlign w:val="center"/>
          </w:tcPr>
          <w:p w:rsidR="00C75F3A" w:rsidRDefault="00BB5F12">
            <w:pPr>
              <w:jc w:val="center"/>
            </w:pPr>
            <w:r>
              <w:rPr>
                <w:sz w:val="24"/>
              </w:rPr>
              <w:t>2019-06-26</w:t>
            </w:r>
          </w:p>
        </w:tc>
        <w:tc>
          <w:tcPr>
            <w:tcW w:w="819" w:type="dxa"/>
            <w:vAlign w:val="center"/>
          </w:tcPr>
          <w:p w:rsidR="00C75F3A" w:rsidRDefault="00BB5F12">
            <w:pPr>
              <w:jc w:val="center"/>
            </w:pPr>
            <w:r>
              <w:rPr>
                <w:sz w:val="24"/>
              </w:rPr>
              <w:t>2019-07-05</w:t>
            </w:r>
          </w:p>
        </w:tc>
        <w:tc>
          <w:tcPr>
            <w:tcW w:w="818" w:type="dxa"/>
            <w:vAlign w:val="center"/>
          </w:tcPr>
          <w:p w:rsidR="00C75F3A" w:rsidRDefault="00BB5F12">
            <w:pPr>
              <w:jc w:val="center"/>
            </w:pPr>
            <w:r>
              <w:rPr>
                <w:sz w:val="24"/>
              </w:rPr>
              <w:t>新股未上市</w:t>
            </w:r>
          </w:p>
        </w:tc>
        <w:tc>
          <w:tcPr>
            <w:tcW w:w="818" w:type="dxa"/>
            <w:vAlign w:val="center"/>
          </w:tcPr>
          <w:p w:rsidR="00C75F3A" w:rsidRDefault="00BB5F12">
            <w:pPr>
              <w:jc w:val="right"/>
            </w:pPr>
            <w:r>
              <w:rPr>
                <w:sz w:val="24"/>
              </w:rPr>
              <w:t>3.46</w:t>
            </w:r>
          </w:p>
        </w:tc>
        <w:tc>
          <w:tcPr>
            <w:tcW w:w="817" w:type="dxa"/>
            <w:vAlign w:val="center"/>
          </w:tcPr>
          <w:p w:rsidR="00C75F3A" w:rsidRDefault="00BB5F12">
            <w:pPr>
              <w:jc w:val="center"/>
            </w:pPr>
            <w:r>
              <w:rPr>
                <w:sz w:val="24"/>
              </w:rPr>
              <w:t>3.46</w:t>
            </w:r>
          </w:p>
        </w:tc>
        <w:tc>
          <w:tcPr>
            <w:tcW w:w="818" w:type="dxa"/>
            <w:vAlign w:val="center"/>
          </w:tcPr>
          <w:p w:rsidR="00C75F3A" w:rsidRDefault="00BB5F12">
            <w:pPr>
              <w:jc w:val="right"/>
            </w:pPr>
            <w:r>
              <w:rPr>
                <w:sz w:val="24"/>
              </w:rPr>
              <w:t>9,789</w:t>
            </w:r>
          </w:p>
        </w:tc>
        <w:tc>
          <w:tcPr>
            <w:tcW w:w="817" w:type="dxa"/>
            <w:vAlign w:val="center"/>
          </w:tcPr>
          <w:p w:rsidR="00C75F3A" w:rsidRDefault="00BB5F12">
            <w:pPr>
              <w:jc w:val="right"/>
            </w:pPr>
            <w:r>
              <w:rPr>
                <w:sz w:val="24"/>
              </w:rPr>
              <w:t>33,869.94</w:t>
            </w:r>
          </w:p>
        </w:tc>
        <w:tc>
          <w:tcPr>
            <w:tcW w:w="818" w:type="dxa"/>
            <w:vAlign w:val="center"/>
          </w:tcPr>
          <w:p w:rsidR="00C75F3A" w:rsidRDefault="00BB5F12">
            <w:pPr>
              <w:jc w:val="right"/>
            </w:pPr>
            <w:r>
              <w:rPr>
                <w:sz w:val="24"/>
              </w:rPr>
              <w:t>33,869.94</w:t>
            </w:r>
          </w:p>
        </w:tc>
        <w:tc>
          <w:tcPr>
            <w:tcW w:w="818" w:type="dxa"/>
            <w:vAlign w:val="center"/>
          </w:tcPr>
          <w:p w:rsidR="00C75F3A" w:rsidRDefault="00BB5F12">
            <w:pPr>
              <w:jc w:val="center"/>
            </w:pPr>
            <w:r>
              <w:rPr>
                <w:sz w:val="24"/>
              </w:rPr>
              <w:t>-</w:t>
            </w:r>
          </w:p>
        </w:tc>
      </w:tr>
    </w:tbl>
    <w:p w:rsidR="00C75F3A" w:rsidRDefault="00BB5F12">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w:t>
      </w:r>
      <w:r>
        <w:rPr>
          <w:kern w:val="0"/>
          <w:sz w:val="24"/>
        </w:rPr>
        <w:lastRenderedPageBreak/>
        <w:t>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、基金还可作为特定投资者，认购首次公开发行股票时公司股东公开发售股份，所认购的股份自发行结束之日起</w:t>
      </w:r>
      <w:r w:rsidRPr="008A1551">
        <w:rPr>
          <w:kern w:val="0"/>
          <w:sz w:val="24"/>
        </w:rPr>
        <w:t>12</w:t>
      </w:r>
      <w:r w:rsidRPr="008A1551">
        <w:rPr>
          <w:kern w:val="0"/>
          <w:sz w:val="24"/>
        </w:rPr>
        <w:t>个月内不得转让。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26E81">
      <w:pPr>
        <w:spacing w:before="29" w:line="288" w:lineRule="auto"/>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23,200,000.00</w:t>
      </w:r>
      <w:r w:rsidRPr="008A1551">
        <w:rPr>
          <w:color w:val="000000"/>
          <w:sz w:val="24"/>
        </w:rPr>
        <w:t>元，截至</w:t>
      </w:r>
      <w:r w:rsidRPr="008A1551">
        <w:rPr>
          <w:color w:val="000000"/>
          <w:sz w:val="24"/>
        </w:rPr>
        <w:t>2019</w:t>
      </w:r>
      <w:r w:rsidRPr="008A1551">
        <w:rPr>
          <w:color w:val="000000"/>
          <w:sz w:val="24"/>
        </w:rPr>
        <w:t>年</w:t>
      </w:r>
      <w:r w:rsidRPr="008A1551">
        <w:rPr>
          <w:color w:val="000000"/>
          <w:sz w:val="24"/>
        </w:rPr>
        <w:t>7</w:t>
      </w:r>
      <w:r w:rsidRPr="008A1551">
        <w:rPr>
          <w:color w:val="000000"/>
          <w:sz w:val="24"/>
        </w:rPr>
        <w:t>月</w:t>
      </w:r>
      <w:r w:rsidRPr="008A1551">
        <w:rPr>
          <w:color w:val="000000"/>
          <w:sz w:val="24"/>
        </w:rPr>
        <w:t>1</w:t>
      </w:r>
      <w:r w:rsidRPr="008A1551">
        <w:rPr>
          <w:color w:val="000000"/>
          <w:sz w:val="24"/>
        </w:rPr>
        <w:t>日到期。该类交易要求本基金转入质押库的债券，按证券交易所规定的比例折算为标准</w:t>
      </w:r>
      <w:proofErr w:type="gramStart"/>
      <w:r w:rsidRPr="008A1551">
        <w:rPr>
          <w:color w:val="000000"/>
          <w:sz w:val="24"/>
        </w:rPr>
        <w:t>券</w:t>
      </w:r>
      <w:proofErr w:type="gramEnd"/>
      <w:r w:rsidRPr="008A1551">
        <w:rPr>
          <w:color w:val="000000"/>
          <w:sz w:val="24"/>
        </w:rPr>
        <w:t>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81,126,820.36</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16.43</w:t>
            </w:r>
          </w:p>
        </w:tc>
      </w:tr>
      <w:tr w:rsidR="003D3FE1" w:rsidRPr="008A1551" w:rsidTr="008F6836">
        <w:tc>
          <w:tcPr>
            <w:tcW w:w="1080" w:type="dxa"/>
            <w:vAlign w:val="center"/>
          </w:tcPr>
          <w:p w:rsidR="003D3FE1" w:rsidRPr="00690ED2" w:rsidRDefault="003D3FE1" w:rsidP="00926E81">
            <w:pPr>
              <w:spacing w:line="276" w:lineRule="auto"/>
              <w:jc w:val="center"/>
              <w:rPr>
                <w:rFonts w:eastAsiaTheme="minorEastAsia"/>
                <w:color w:val="000000" w:themeColor="text1"/>
                <w:sz w:val="24"/>
              </w:rPr>
            </w:pPr>
          </w:p>
        </w:tc>
        <w:tc>
          <w:tcPr>
            <w:tcW w:w="3419" w:type="dxa"/>
            <w:vAlign w:val="center"/>
          </w:tcPr>
          <w:p w:rsidR="003D3FE1" w:rsidRPr="00690ED2" w:rsidRDefault="003D3FE1" w:rsidP="00926E81">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81,126,820.36</w:t>
            </w:r>
          </w:p>
        </w:tc>
        <w:tc>
          <w:tcPr>
            <w:tcW w:w="1980"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16.43</w:t>
            </w:r>
          </w:p>
        </w:tc>
      </w:tr>
      <w:tr w:rsidR="003D3FE1" w:rsidRPr="008A1551" w:rsidTr="008F6836">
        <w:tc>
          <w:tcPr>
            <w:tcW w:w="1080" w:type="dxa"/>
            <w:vAlign w:val="center"/>
          </w:tcPr>
          <w:p w:rsidR="003D3FE1" w:rsidRPr="00690ED2" w:rsidRDefault="003D3FE1" w:rsidP="00926E81">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926E81">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926E81">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926E81">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403,221,830.00</w:t>
            </w:r>
          </w:p>
        </w:tc>
        <w:tc>
          <w:tcPr>
            <w:tcW w:w="1980"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81.64</w:t>
            </w:r>
          </w:p>
        </w:tc>
      </w:tr>
      <w:tr w:rsidR="003D3FE1" w:rsidRPr="008A1551" w:rsidTr="008F6836">
        <w:tc>
          <w:tcPr>
            <w:tcW w:w="1080" w:type="dxa"/>
            <w:vAlign w:val="center"/>
          </w:tcPr>
          <w:p w:rsidR="003D3FE1" w:rsidRPr="00690ED2" w:rsidRDefault="003D3FE1" w:rsidP="00926E81">
            <w:pPr>
              <w:spacing w:line="276" w:lineRule="auto"/>
              <w:jc w:val="center"/>
              <w:rPr>
                <w:rFonts w:eastAsiaTheme="minorEastAsia"/>
                <w:color w:val="000000" w:themeColor="text1"/>
                <w:sz w:val="24"/>
              </w:rPr>
            </w:pPr>
          </w:p>
        </w:tc>
        <w:tc>
          <w:tcPr>
            <w:tcW w:w="3419" w:type="dxa"/>
            <w:vAlign w:val="center"/>
          </w:tcPr>
          <w:p w:rsidR="003D3FE1" w:rsidRPr="00690ED2" w:rsidRDefault="003D3FE1" w:rsidP="00926E81">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403,221,830.00</w:t>
            </w:r>
          </w:p>
        </w:tc>
        <w:tc>
          <w:tcPr>
            <w:tcW w:w="1980"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81.64</w:t>
            </w:r>
          </w:p>
        </w:tc>
      </w:tr>
      <w:tr w:rsidR="003D3FE1" w:rsidRPr="008A1551" w:rsidTr="008F6836">
        <w:tc>
          <w:tcPr>
            <w:tcW w:w="1080" w:type="dxa"/>
            <w:vAlign w:val="center"/>
          </w:tcPr>
          <w:p w:rsidR="003D3FE1" w:rsidRPr="00690ED2" w:rsidRDefault="003D3FE1" w:rsidP="00926E81">
            <w:pPr>
              <w:spacing w:line="276" w:lineRule="auto"/>
              <w:jc w:val="center"/>
              <w:rPr>
                <w:rFonts w:eastAsiaTheme="minorEastAsia"/>
                <w:color w:val="000000" w:themeColor="text1"/>
                <w:sz w:val="24"/>
              </w:rPr>
            </w:pPr>
          </w:p>
        </w:tc>
        <w:tc>
          <w:tcPr>
            <w:tcW w:w="3419" w:type="dxa"/>
            <w:vAlign w:val="center"/>
          </w:tcPr>
          <w:p w:rsidR="003D3FE1" w:rsidRPr="00690ED2" w:rsidRDefault="003D3FE1" w:rsidP="00926E81">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926E81">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926E81">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926E81">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926E81">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926E81">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926E81">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926E81">
            <w:pPr>
              <w:spacing w:line="276" w:lineRule="auto"/>
              <w:jc w:val="center"/>
              <w:rPr>
                <w:rFonts w:eastAsiaTheme="minorEastAsia"/>
                <w:color w:val="000000" w:themeColor="text1"/>
                <w:sz w:val="24"/>
              </w:rPr>
            </w:pPr>
          </w:p>
        </w:tc>
        <w:tc>
          <w:tcPr>
            <w:tcW w:w="3419" w:type="dxa"/>
            <w:vAlign w:val="center"/>
          </w:tcPr>
          <w:p w:rsidR="003D3FE1" w:rsidRPr="00690ED2" w:rsidRDefault="003D3FE1" w:rsidP="00926E81">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926E81">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926E81">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2,809,897.91</w:t>
            </w:r>
          </w:p>
        </w:tc>
        <w:tc>
          <w:tcPr>
            <w:tcW w:w="1980" w:type="dxa"/>
            <w:vAlign w:val="center"/>
          </w:tcPr>
          <w:p w:rsidR="003D3FE1" w:rsidRPr="00690ED2" w:rsidRDefault="003D3FE1" w:rsidP="00926E8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0.57</w:t>
            </w:r>
          </w:p>
        </w:tc>
      </w:tr>
      <w:tr w:rsidR="003D3FE1" w:rsidRPr="008A1551" w:rsidTr="008F6836">
        <w:tc>
          <w:tcPr>
            <w:tcW w:w="1080" w:type="dxa"/>
            <w:vAlign w:val="center"/>
          </w:tcPr>
          <w:p w:rsidR="003D3FE1" w:rsidRPr="00690ED2" w:rsidRDefault="003D3FE1" w:rsidP="00926E81">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926E81">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926E81">
            <w:pPr>
              <w:spacing w:line="276" w:lineRule="auto"/>
              <w:jc w:val="right"/>
              <w:rPr>
                <w:rFonts w:eastAsiaTheme="minorEastAsia"/>
                <w:color w:val="000000" w:themeColor="text1"/>
                <w:sz w:val="24"/>
              </w:rPr>
            </w:pPr>
            <w:r w:rsidRPr="00690ED2">
              <w:rPr>
                <w:rFonts w:eastAsiaTheme="minorEastAsia"/>
                <w:color w:val="000000" w:themeColor="text1"/>
                <w:sz w:val="24"/>
              </w:rPr>
              <w:t>6,713,529.44</w:t>
            </w:r>
          </w:p>
        </w:tc>
        <w:tc>
          <w:tcPr>
            <w:tcW w:w="1980" w:type="dxa"/>
            <w:vAlign w:val="center"/>
          </w:tcPr>
          <w:p w:rsidR="003D3FE1" w:rsidRPr="00690ED2" w:rsidRDefault="003D3FE1" w:rsidP="00926E81">
            <w:pPr>
              <w:spacing w:line="276" w:lineRule="auto"/>
              <w:jc w:val="right"/>
              <w:rPr>
                <w:rFonts w:eastAsiaTheme="minorEastAsia"/>
                <w:color w:val="000000" w:themeColor="text1"/>
                <w:sz w:val="24"/>
              </w:rPr>
            </w:pPr>
            <w:r w:rsidRPr="00690ED2">
              <w:rPr>
                <w:rFonts w:eastAsiaTheme="minorEastAsia"/>
                <w:color w:val="000000" w:themeColor="text1"/>
                <w:sz w:val="24"/>
              </w:rPr>
              <w:t>1.36</w:t>
            </w:r>
          </w:p>
        </w:tc>
      </w:tr>
      <w:tr w:rsidR="003D3FE1" w:rsidRPr="008A1551" w:rsidTr="008F6836">
        <w:tc>
          <w:tcPr>
            <w:tcW w:w="1080" w:type="dxa"/>
            <w:vAlign w:val="center"/>
          </w:tcPr>
          <w:p w:rsidR="003D3FE1" w:rsidRPr="00690ED2" w:rsidRDefault="003D3FE1" w:rsidP="00926E81">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926E81">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926E81">
            <w:pPr>
              <w:spacing w:line="276" w:lineRule="auto"/>
              <w:jc w:val="right"/>
              <w:rPr>
                <w:rFonts w:eastAsiaTheme="minorEastAsia"/>
                <w:color w:val="000000" w:themeColor="text1"/>
                <w:sz w:val="24"/>
              </w:rPr>
            </w:pPr>
            <w:r w:rsidRPr="00690ED2">
              <w:rPr>
                <w:rFonts w:eastAsiaTheme="minorEastAsia"/>
                <w:color w:val="000000" w:themeColor="text1"/>
                <w:sz w:val="24"/>
              </w:rPr>
              <w:t>493,872,077.71</w:t>
            </w:r>
          </w:p>
        </w:tc>
        <w:tc>
          <w:tcPr>
            <w:tcW w:w="1980" w:type="dxa"/>
            <w:vAlign w:val="center"/>
          </w:tcPr>
          <w:p w:rsidR="003D3FE1" w:rsidRPr="00690ED2" w:rsidRDefault="003D3FE1" w:rsidP="00926E81">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274,809.05</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0.06</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33,499,873.55</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7.14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6,698,127.22</w:t>
            </w:r>
          </w:p>
        </w:tc>
        <w:tc>
          <w:tcPr>
            <w:tcW w:w="2160" w:type="dxa"/>
            <w:vAlign w:val="center"/>
          </w:tcPr>
          <w:p w:rsidR="001548F9" w:rsidRPr="008A1551" w:rsidRDefault="001548F9" w:rsidP="009E1EA4">
            <w:pPr>
              <w:spacing w:before="29" w:line="288" w:lineRule="auto"/>
              <w:jc w:val="right"/>
              <w:rPr>
                <w:sz w:val="24"/>
              </w:rPr>
            </w:pPr>
            <w:r w:rsidRPr="008A1551">
              <w:rPr>
                <w:sz w:val="24"/>
              </w:rPr>
              <w:t>1.43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1,355,000.00</w:t>
            </w:r>
          </w:p>
        </w:tc>
        <w:tc>
          <w:tcPr>
            <w:tcW w:w="2160" w:type="dxa"/>
            <w:vAlign w:val="center"/>
          </w:tcPr>
          <w:p w:rsidR="001548F9" w:rsidRPr="008A1551" w:rsidRDefault="001548F9" w:rsidP="009E1EA4">
            <w:pPr>
              <w:spacing w:before="29" w:line="288" w:lineRule="auto"/>
              <w:jc w:val="right"/>
              <w:rPr>
                <w:sz w:val="24"/>
              </w:rPr>
            </w:pPr>
            <w:r w:rsidRPr="008A1551">
              <w:rPr>
                <w:sz w:val="24"/>
              </w:rPr>
              <w:t>0.29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32,033,869.94</w:t>
            </w:r>
          </w:p>
        </w:tc>
        <w:tc>
          <w:tcPr>
            <w:tcW w:w="2160" w:type="dxa"/>
            <w:vAlign w:val="center"/>
          </w:tcPr>
          <w:p w:rsidR="001548F9" w:rsidRPr="008A1551" w:rsidRDefault="001548F9" w:rsidP="009E1EA4">
            <w:pPr>
              <w:spacing w:before="29" w:line="288" w:lineRule="auto"/>
              <w:jc w:val="right"/>
              <w:rPr>
                <w:sz w:val="24"/>
              </w:rPr>
            </w:pPr>
            <w:r w:rsidRPr="008A1551">
              <w:rPr>
                <w:sz w:val="24"/>
              </w:rPr>
              <w:t>6.82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6,034,204.00</w:t>
            </w:r>
          </w:p>
        </w:tc>
        <w:tc>
          <w:tcPr>
            <w:tcW w:w="2160" w:type="dxa"/>
            <w:vAlign w:val="center"/>
          </w:tcPr>
          <w:p w:rsidR="001548F9" w:rsidRPr="008A1551" w:rsidRDefault="001548F9" w:rsidP="009E1EA4">
            <w:pPr>
              <w:spacing w:before="29" w:line="288" w:lineRule="auto"/>
              <w:jc w:val="right"/>
              <w:rPr>
                <w:sz w:val="24"/>
              </w:rPr>
            </w:pPr>
            <w:r w:rsidRPr="008A1551">
              <w:rPr>
                <w:sz w:val="24"/>
              </w:rPr>
              <w:t>1.29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1,207,830.00</w:t>
            </w:r>
          </w:p>
        </w:tc>
        <w:tc>
          <w:tcPr>
            <w:tcW w:w="2160" w:type="dxa"/>
            <w:vAlign w:val="center"/>
          </w:tcPr>
          <w:p w:rsidR="001548F9" w:rsidRPr="008A1551" w:rsidRDefault="001548F9" w:rsidP="009E1EA4">
            <w:pPr>
              <w:spacing w:before="29" w:line="288" w:lineRule="auto"/>
              <w:jc w:val="right"/>
              <w:rPr>
                <w:sz w:val="24"/>
              </w:rPr>
            </w:pPr>
            <w:r w:rsidRPr="008A1551">
              <w:rPr>
                <w:sz w:val="24"/>
              </w:rPr>
              <w:t>0.26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23,106.60</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81,126,820.36</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17.28</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C75F3A">
        <w:tc>
          <w:tcPr>
            <w:tcW w:w="862" w:type="dxa"/>
            <w:vAlign w:val="center"/>
          </w:tcPr>
          <w:p w:rsidR="00C75F3A" w:rsidRDefault="00BB5F12">
            <w:pPr>
              <w:jc w:val="center"/>
            </w:pPr>
            <w:r>
              <w:rPr>
                <w:color w:val="000000"/>
                <w:sz w:val="24"/>
              </w:rPr>
              <w:t>1</w:t>
            </w:r>
          </w:p>
        </w:tc>
        <w:tc>
          <w:tcPr>
            <w:tcW w:w="1346" w:type="dxa"/>
            <w:vAlign w:val="center"/>
          </w:tcPr>
          <w:p w:rsidR="00C75F3A" w:rsidRDefault="00BB5F12">
            <w:pPr>
              <w:jc w:val="center"/>
            </w:pPr>
            <w:r>
              <w:rPr>
                <w:color w:val="000000"/>
                <w:sz w:val="24"/>
              </w:rPr>
              <w:t>601398</w:t>
            </w:r>
          </w:p>
        </w:tc>
        <w:tc>
          <w:tcPr>
            <w:tcW w:w="1795" w:type="dxa"/>
            <w:vAlign w:val="center"/>
          </w:tcPr>
          <w:p w:rsidR="00C75F3A" w:rsidRDefault="00BB5F12">
            <w:pPr>
              <w:jc w:val="center"/>
            </w:pPr>
            <w:r>
              <w:rPr>
                <w:color w:val="000000"/>
                <w:sz w:val="24"/>
              </w:rPr>
              <w:t>工商银行</w:t>
            </w:r>
          </w:p>
        </w:tc>
        <w:tc>
          <w:tcPr>
            <w:tcW w:w="1346" w:type="dxa"/>
            <w:vAlign w:val="center"/>
          </w:tcPr>
          <w:p w:rsidR="00C75F3A" w:rsidRDefault="00BB5F12">
            <w:pPr>
              <w:jc w:val="right"/>
            </w:pPr>
            <w:r>
              <w:rPr>
                <w:color w:val="000000"/>
                <w:sz w:val="24"/>
              </w:rPr>
              <w:t>2,000,000</w:t>
            </w:r>
          </w:p>
        </w:tc>
        <w:tc>
          <w:tcPr>
            <w:tcW w:w="1944" w:type="dxa"/>
            <w:vAlign w:val="center"/>
          </w:tcPr>
          <w:p w:rsidR="00C75F3A" w:rsidRDefault="00BB5F12">
            <w:pPr>
              <w:jc w:val="right"/>
            </w:pPr>
            <w:r>
              <w:rPr>
                <w:color w:val="000000"/>
                <w:sz w:val="24"/>
              </w:rPr>
              <w:t>11,780,000.00</w:t>
            </w:r>
          </w:p>
        </w:tc>
        <w:tc>
          <w:tcPr>
            <w:tcW w:w="1705" w:type="dxa"/>
            <w:vAlign w:val="center"/>
          </w:tcPr>
          <w:p w:rsidR="00C75F3A" w:rsidRDefault="00BB5F12">
            <w:pPr>
              <w:jc w:val="right"/>
            </w:pPr>
            <w:r>
              <w:rPr>
                <w:color w:val="000000"/>
                <w:sz w:val="24"/>
              </w:rPr>
              <w:t>2.51</w:t>
            </w:r>
          </w:p>
        </w:tc>
      </w:tr>
      <w:tr w:rsidR="00C75F3A">
        <w:tc>
          <w:tcPr>
            <w:tcW w:w="862" w:type="dxa"/>
            <w:vAlign w:val="center"/>
          </w:tcPr>
          <w:p w:rsidR="00C75F3A" w:rsidRDefault="00BB5F12">
            <w:pPr>
              <w:jc w:val="center"/>
            </w:pPr>
            <w:r>
              <w:rPr>
                <w:color w:val="000000"/>
                <w:sz w:val="24"/>
              </w:rPr>
              <w:t>2</w:t>
            </w:r>
          </w:p>
        </w:tc>
        <w:tc>
          <w:tcPr>
            <w:tcW w:w="1346" w:type="dxa"/>
            <w:vAlign w:val="center"/>
          </w:tcPr>
          <w:p w:rsidR="00C75F3A" w:rsidRDefault="00BB5F12">
            <w:pPr>
              <w:jc w:val="center"/>
            </w:pPr>
            <w:r>
              <w:rPr>
                <w:color w:val="000000"/>
                <w:sz w:val="24"/>
              </w:rPr>
              <w:t>601601</w:t>
            </w:r>
          </w:p>
        </w:tc>
        <w:tc>
          <w:tcPr>
            <w:tcW w:w="1795" w:type="dxa"/>
            <w:vAlign w:val="center"/>
          </w:tcPr>
          <w:p w:rsidR="00C75F3A" w:rsidRDefault="00BB5F12">
            <w:pPr>
              <w:jc w:val="center"/>
            </w:pPr>
            <w:r>
              <w:rPr>
                <w:color w:val="000000"/>
                <w:sz w:val="24"/>
              </w:rPr>
              <w:t>中国太保</w:t>
            </w:r>
          </w:p>
        </w:tc>
        <w:tc>
          <w:tcPr>
            <w:tcW w:w="1346" w:type="dxa"/>
            <w:vAlign w:val="center"/>
          </w:tcPr>
          <w:p w:rsidR="00C75F3A" w:rsidRDefault="00BB5F12">
            <w:pPr>
              <w:jc w:val="right"/>
            </w:pPr>
            <w:r>
              <w:rPr>
                <w:color w:val="000000"/>
                <w:sz w:val="24"/>
              </w:rPr>
              <w:t>300,000</w:t>
            </w:r>
          </w:p>
        </w:tc>
        <w:tc>
          <w:tcPr>
            <w:tcW w:w="1944" w:type="dxa"/>
            <w:vAlign w:val="center"/>
          </w:tcPr>
          <w:p w:rsidR="00C75F3A" w:rsidRDefault="00BB5F12">
            <w:pPr>
              <w:jc w:val="right"/>
            </w:pPr>
            <w:r>
              <w:rPr>
                <w:color w:val="000000"/>
                <w:sz w:val="24"/>
              </w:rPr>
              <w:t>10,953,000.00</w:t>
            </w:r>
          </w:p>
        </w:tc>
        <w:tc>
          <w:tcPr>
            <w:tcW w:w="1705" w:type="dxa"/>
            <w:vAlign w:val="center"/>
          </w:tcPr>
          <w:p w:rsidR="00C75F3A" w:rsidRDefault="00BB5F12">
            <w:pPr>
              <w:jc w:val="right"/>
            </w:pPr>
            <w:r>
              <w:rPr>
                <w:color w:val="000000"/>
                <w:sz w:val="24"/>
              </w:rPr>
              <w:t>2.33</w:t>
            </w:r>
          </w:p>
        </w:tc>
      </w:tr>
      <w:tr w:rsidR="00C75F3A">
        <w:tc>
          <w:tcPr>
            <w:tcW w:w="862" w:type="dxa"/>
            <w:vAlign w:val="center"/>
          </w:tcPr>
          <w:p w:rsidR="00C75F3A" w:rsidRDefault="00BB5F12">
            <w:pPr>
              <w:jc w:val="center"/>
            </w:pPr>
            <w:r>
              <w:rPr>
                <w:color w:val="000000"/>
                <w:sz w:val="24"/>
              </w:rPr>
              <w:t>3</w:t>
            </w:r>
          </w:p>
        </w:tc>
        <w:tc>
          <w:tcPr>
            <w:tcW w:w="1346" w:type="dxa"/>
            <w:vAlign w:val="center"/>
          </w:tcPr>
          <w:p w:rsidR="00C75F3A" w:rsidRDefault="00BB5F12">
            <w:pPr>
              <w:jc w:val="center"/>
            </w:pPr>
            <w:r>
              <w:rPr>
                <w:color w:val="000000"/>
                <w:sz w:val="24"/>
              </w:rPr>
              <w:t>600519</w:t>
            </w:r>
          </w:p>
        </w:tc>
        <w:tc>
          <w:tcPr>
            <w:tcW w:w="1795" w:type="dxa"/>
            <w:vAlign w:val="center"/>
          </w:tcPr>
          <w:p w:rsidR="00C75F3A" w:rsidRDefault="00BB5F12">
            <w:pPr>
              <w:jc w:val="center"/>
            </w:pPr>
            <w:r>
              <w:rPr>
                <w:color w:val="000000"/>
                <w:sz w:val="24"/>
              </w:rPr>
              <w:t>贵州茅台</w:t>
            </w:r>
          </w:p>
        </w:tc>
        <w:tc>
          <w:tcPr>
            <w:tcW w:w="1346" w:type="dxa"/>
            <w:vAlign w:val="center"/>
          </w:tcPr>
          <w:p w:rsidR="00C75F3A" w:rsidRDefault="00BB5F12">
            <w:pPr>
              <w:jc w:val="right"/>
            </w:pPr>
            <w:r>
              <w:rPr>
                <w:color w:val="000000"/>
                <w:sz w:val="24"/>
              </w:rPr>
              <w:t>10,000</w:t>
            </w:r>
          </w:p>
        </w:tc>
        <w:tc>
          <w:tcPr>
            <w:tcW w:w="1944" w:type="dxa"/>
            <w:vAlign w:val="center"/>
          </w:tcPr>
          <w:p w:rsidR="00C75F3A" w:rsidRDefault="00BB5F12">
            <w:pPr>
              <w:jc w:val="right"/>
            </w:pPr>
            <w:r>
              <w:rPr>
                <w:color w:val="000000"/>
                <w:sz w:val="24"/>
              </w:rPr>
              <w:t>9,840,000.00</w:t>
            </w:r>
          </w:p>
        </w:tc>
        <w:tc>
          <w:tcPr>
            <w:tcW w:w="1705" w:type="dxa"/>
            <w:vAlign w:val="center"/>
          </w:tcPr>
          <w:p w:rsidR="00C75F3A" w:rsidRDefault="00BB5F12">
            <w:pPr>
              <w:jc w:val="right"/>
            </w:pPr>
            <w:r>
              <w:rPr>
                <w:color w:val="000000"/>
                <w:sz w:val="24"/>
              </w:rPr>
              <w:t>2.10</w:t>
            </w:r>
          </w:p>
        </w:tc>
      </w:tr>
      <w:tr w:rsidR="00C75F3A">
        <w:tc>
          <w:tcPr>
            <w:tcW w:w="862" w:type="dxa"/>
            <w:vAlign w:val="center"/>
          </w:tcPr>
          <w:p w:rsidR="00C75F3A" w:rsidRDefault="00BB5F12">
            <w:pPr>
              <w:jc w:val="center"/>
            </w:pPr>
            <w:r>
              <w:rPr>
                <w:color w:val="000000"/>
                <w:sz w:val="24"/>
              </w:rPr>
              <w:t>4</w:t>
            </w:r>
          </w:p>
        </w:tc>
        <w:tc>
          <w:tcPr>
            <w:tcW w:w="1346" w:type="dxa"/>
            <w:vAlign w:val="center"/>
          </w:tcPr>
          <w:p w:rsidR="00C75F3A" w:rsidRDefault="00BB5F12">
            <w:pPr>
              <w:jc w:val="center"/>
            </w:pPr>
            <w:r>
              <w:rPr>
                <w:color w:val="000000"/>
                <w:sz w:val="24"/>
              </w:rPr>
              <w:t>601288</w:t>
            </w:r>
          </w:p>
        </w:tc>
        <w:tc>
          <w:tcPr>
            <w:tcW w:w="1795" w:type="dxa"/>
            <w:vAlign w:val="center"/>
          </w:tcPr>
          <w:p w:rsidR="00C75F3A" w:rsidRDefault="00BB5F12">
            <w:pPr>
              <w:jc w:val="center"/>
            </w:pPr>
            <w:r>
              <w:rPr>
                <w:color w:val="000000"/>
                <w:sz w:val="24"/>
              </w:rPr>
              <w:t>农业银行</w:t>
            </w:r>
          </w:p>
        </w:tc>
        <w:tc>
          <w:tcPr>
            <w:tcW w:w="1346" w:type="dxa"/>
            <w:vAlign w:val="center"/>
          </w:tcPr>
          <w:p w:rsidR="00C75F3A" w:rsidRDefault="00BB5F12">
            <w:pPr>
              <w:jc w:val="right"/>
            </w:pPr>
            <w:r>
              <w:rPr>
                <w:color w:val="000000"/>
                <w:sz w:val="24"/>
              </w:rPr>
              <w:t>2,000,000</w:t>
            </w:r>
          </w:p>
        </w:tc>
        <w:tc>
          <w:tcPr>
            <w:tcW w:w="1944" w:type="dxa"/>
            <w:vAlign w:val="center"/>
          </w:tcPr>
          <w:p w:rsidR="00C75F3A" w:rsidRDefault="00BB5F12">
            <w:pPr>
              <w:jc w:val="right"/>
            </w:pPr>
            <w:r>
              <w:rPr>
                <w:color w:val="000000"/>
                <w:sz w:val="24"/>
              </w:rPr>
              <w:t>7,200,000.00</w:t>
            </w:r>
          </w:p>
        </w:tc>
        <w:tc>
          <w:tcPr>
            <w:tcW w:w="1705" w:type="dxa"/>
            <w:vAlign w:val="center"/>
          </w:tcPr>
          <w:p w:rsidR="00C75F3A" w:rsidRDefault="00BB5F12">
            <w:pPr>
              <w:jc w:val="right"/>
            </w:pPr>
            <w:r>
              <w:rPr>
                <w:color w:val="000000"/>
                <w:sz w:val="24"/>
              </w:rPr>
              <w:t>1.53</w:t>
            </w:r>
          </w:p>
        </w:tc>
      </w:tr>
      <w:tr w:rsidR="00C75F3A">
        <w:tc>
          <w:tcPr>
            <w:tcW w:w="862" w:type="dxa"/>
            <w:vAlign w:val="center"/>
          </w:tcPr>
          <w:p w:rsidR="00C75F3A" w:rsidRDefault="00BB5F12">
            <w:pPr>
              <w:jc w:val="center"/>
            </w:pPr>
            <w:r>
              <w:rPr>
                <w:color w:val="000000"/>
                <w:sz w:val="24"/>
              </w:rPr>
              <w:t>5</w:t>
            </w:r>
          </w:p>
        </w:tc>
        <w:tc>
          <w:tcPr>
            <w:tcW w:w="1346" w:type="dxa"/>
            <w:vAlign w:val="center"/>
          </w:tcPr>
          <w:p w:rsidR="00C75F3A" w:rsidRDefault="00BB5F12">
            <w:pPr>
              <w:jc w:val="center"/>
            </w:pPr>
            <w:r>
              <w:rPr>
                <w:color w:val="000000"/>
                <w:sz w:val="24"/>
              </w:rPr>
              <w:t>600009</w:t>
            </w:r>
          </w:p>
        </w:tc>
        <w:tc>
          <w:tcPr>
            <w:tcW w:w="1795" w:type="dxa"/>
            <w:vAlign w:val="center"/>
          </w:tcPr>
          <w:p w:rsidR="00C75F3A" w:rsidRDefault="00BB5F12">
            <w:pPr>
              <w:jc w:val="center"/>
            </w:pPr>
            <w:r>
              <w:rPr>
                <w:color w:val="000000"/>
                <w:sz w:val="24"/>
              </w:rPr>
              <w:t>上海机场</w:t>
            </w:r>
          </w:p>
        </w:tc>
        <w:tc>
          <w:tcPr>
            <w:tcW w:w="1346" w:type="dxa"/>
            <w:vAlign w:val="center"/>
          </w:tcPr>
          <w:p w:rsidR="00C75F3A" w:rsidRDefault="00BB5F12">
            <w:pPr>
              <w:jc w:val="right"/>
            </w:pPr>
            <w:r>
              <w:rPr>
                <w:color w:val="000000"/>
                <w:sz w:val="24"/>
              </w:rPr>
              <w:t>79,949</w:t>
            </w:r>
          </w:p>
        </w:tc>
        <w:tc>
          <w:tcPr>
            <w:tcW w:w="1944" w:type="dxa"/>
            <w:vAlign w:val="center"/>
          </w:tcPr>
          <w:p w:rsidR="00C75F3A" w:rsidRDefault="00BB5F12">
            <w:pPr>
              <w:jc w:val="right"/>
            </w:pPr>
            <w:r>
              <w:rPr>
                <w:color w:val="000000"/>
                <w:sz w:val="24"/>
              </w:rPr>
              <w:t>6,698,127.22</w:t>
            </w:r>
          </w:p>
        </w:tc>
        <w:tc>
          <w:tcPr>
            <w:tcW w:w="1705" w:type="dxa"/>
            <w:vAlign w:val="center"/>
          </w:tcPr>
          <w:p w:rsidR="00C75F3A" w:rsidRDefault="00BB5F12">
            <w:pPr>
              <w:jc w:val="right"/>
            </w:pPr>
            <w:r>
              <w:rPr>
                <w:color w:val="000000"/>
                <w:sz w:val="24"/>
              </w:rPr>
              <w:t>1.43</w:t>
            </w:r>
          </w:p>
        </w:tc>
      </w:tr>
      <w:tr w:rsidR="00C75F3A">
        <w:tc>
          <w:tcPr>
            <w:tcW w:w="862" w:type="dxa"/>
            <w:vAlign w:val="center"/>
          </w:tcPr>
          <w:p w:rsidR="00C75F3A" w:rsidRDefault="00BB5F12">
            <w:pPr>
              <w:jc w:val="center"/>
            </w:pPr>
            <w:r>
              <w:rPr>
                <w:color w:val="000000"/>
                <w:sz w:val="24"/>
              </w:rPr>
              <w:t>6</w:t>
            </w:r>
          </w:p>
        </w:tc>
        <w:tc>
          <w:tcPr>
            <w:tcW w:w="1346" w:type="dxa"/>
            <w:vAlign w:val="center"/>
          </w:tcPr>
          <w:p w:rsidR="00C75F3A" w:rsidRDefault="00BB5F12">
            <w:pPr>
              <w:jc w:val="center"/>
            </w:pPr>
            <w:r>
              <w:rPr>
                <w:color w:val="000000"/>
                <w:sz w:val="24"/>
              </w:rPr>
              <w:t>600887</w:t>
            </w:r>
          </w:p>
        </w:tc>
        <w:tc>
          <w:tcPr>
            <w:tcW w:w="1795" w:type="dxa"/>
            <w:vAlign w:val="center"/>
          </w:tcPr>
          <w:p w:rsidR="00C75F3A" w:rsidRDefault="00BB5F12">
            <w:pPr>
              <w:jc w:val="center"/>
            </w:pPr>
            <w:r>
              <w:rPr>
                <w:color w:val="000000"/>
                <w:sz w:val="24"/>
              </w:rPr>
              <w:t>伊利股份</w:t>
            </w:r>
          </w:p>
        </w:tc>
        <w:tc>
          <w:tcPr>
            <w:tcW w:w="1346" w:type="dxa"/>
            <w:vAlign w:val="center"/>
          </w:tcPr>
          <w:p w:rsidR="00C75F3A" w:rsidRDefault="00BB5F12">
            <w:pPr>
              <w:jc w:val="right"/>
            </w:pPr>
            <w:r>
              <w:rPr>
                <w:color w:val="000000"/>
                <w:sz w:val="24"/>
              </w:rPr>
              <w:t>200,000</w:t>
            </w:r>
          </w:p>
        </w:tc>
        <w:tc>
          <w:tcPr>
            <w:tcW w:w="1944" w:type="dxa"/>
            <w:vAlign w:val="center"/>
          </w:tcPr>
          <w:p w:rsidR="00C75F3A" w:rsidRDefault="00BB5F12">
            <w:pPr>
              <w:jc w:val="right"/>
            </w:pPr>
            <w:r>
              <w:rPr>
                <w:color w:val="000000"/>
                <w:sz w:val="24"/>
              </w:rPr>
              <w:t>6,682,000.00</w:t>
            </w:r>
          </w:p>
        </w:tc>
        <w:tc>
          <w:tcPr>
            <w:tcW w:w="1705" w:type="dxa"/>
            <w:vAlign w:val="center"/>
          </w:tcPr>
          <w:p w:rsidR="00C75F3A" w:rsidRDefault="00BB5F12">
            <w:pPr>
              <w:jc w:val="right"/>
            </w:pPr>
            <w:r>
              <w:rPr>
                <w:color w:val="000000"/>
                <w:sz w:val="24"/>
              </w:rPr>
              <w:t>1.42</w:t>
            </w:r>
          </w:p>
        </w:tc>
      </w:tr>
      <w:tr w:rsidR="00C75F3A">
        <w:tc>
          <w:tcPr>
            <w:tcW w:w="862" w:type="dxa"/>
            <w:vAlign w:val="center"/>
          </w:tcPr>
          <w:p w:rsidR="00C75F3A" w:rsidRDefault="00BB5F12">
            <w:pPr>
              <w:jc w:val="center"/>
            </w:pPr>
            <w:r>
              <w:rPr>
                <w:color w:val="000000"/>
                <w:sz w:val="24"/>
              </w:rPr>
              <w:t>7</w:t>
            </w:r>
          </w:p>
        </w:tc>
        <w:tc>
          <w:tcPr>
            <w:tcW w:w="1346" w:type="dxa"/>
            <w:vAlign w:val="center"/>
          </w:tcPr>
          <w:p w:rsidR="00C75F3A" w:rsidRDefault="00BB5F12">
            <w:pPr>
              <w:jc w:val="center"/>
            </w:pPr>
            <w:r>
              <w:rPr>
                <w:color w:val="000000"/>
                <w:sz w:val="24"/>
              </w:rPr>
              <w:t>600048</w:t>
            </w:r>
          </w:p>
        </w:tc>
        <w:tc>
          <w:tcPr>
            <w:tcW w:w="1795" w:type="dxa"/>
            <w:vAlign w:val="center"/>
          </w:tcPr>
          <w:p w:rsidR="00C75F3A" w:rsidRDefault="00BB5F12">
            <w:pPr>
              <w:jc w:val="center"/>
            </w:pPr>
            <w:r>
              <w:rPr>
                <w:color w:val="000000"/>
                <w:sz w:val="24"/>
              </w:rPr>
              <w:t>保利地产</w:t>
            </w:r>
          </w:p>
        </w:tc>
        <w:tc>
          <w:tcPr>
            <w:tcW w:w="1346" w:type="dxa"/>
            <w:vAlign w:val="center"/>
          </w:tcPr>
          <w:p w:rsidR="00C75F3A" w:rsidRDefault="00BB5F12">
            <w:pPr>
              <w:jc w:val="right"/>
            </w:pPr>
            <w:r>
              <w:rPr>
                <w:color w:val="000000"/>
                <w:sz w:val="24"/>
              </w:rPr>
              <w:t>472,900</w:t>
            </w:r>
          </w:p>
        </w:tc>
        <w:tc>
          <w:tcPr>
            <w:tcW w:w="1944" w:type="dxa"/>
            <w:vAlign w:val="center"/>
          </w:tcPr>
          <w:p w:rsidR="00C75F3A" w:rsidRDefault="00BB5F12">
            <w:pPr>
              <w:jc w:val="right"/>
            </w:pPr>
            <w:r>
              <w:rPr>
                <w:color w:val="000000"/>
                <w:sz w:val="24"/>
              </w:rPr>
              <w:t>6,034,204.00</w:t>
            </w:r>
          </w:p>
        </w:tc>
        <w:tc>
          <w:tcPr>
            <w:tcW w:w="1705" w:type="dxa"/>
            <w:vAlign w:val="center"/>
          </w:tcPr>
          <w:p w:rsidR="00C75F3A" w:rsidRDefault="00BB5F12">
            <w:pPr>
              <w:jc w:val="right"/>
            </w:pPr>
            <w:r>
              <w:rPr>
                <w:color w:val="000000"/>
                <w:sz w:val="24"/>
              </w:rPr>
              <w:t>1.29</w:t>
            </w:r>
          </w:p>
        </w:tc>
      </w:tr>
      <w:tr w:rsidR="00C75F3A">
        <w:tc>
          <w:tcPr>
            <w:tcW w:w="862" w:type="dxa"/>
            <w:vAlign w:val="center"/>
          </w:tcPr>
          <w:p w:rsidR="00C75F3A" w:rsidRDefault="00BB5F12">
            <w:pPr>
              <w:jc w:val="center"/>
            </w:pPr>
            <w:r>
              <w:rPr>
                <w:color w:val="000000"/>
                <w:sz w:val="24"/>
              </w:rPr>
              <w:t>8</w:t>
            </w:r>
          </w:p>
        </w:tc>
        <w:tc>
          <w:tcPr>
            <w:tcW w:w="1346" w:type="dxa"/>
            <w:vAlign w:val="center"/>
          </w:tcPr>
          <w:p w:rsidR="00C75F3A" w:rsidRDefault="00BB5F12">
            <w:pPr>
              <w:jc w:val="center"/>
            </w:pPr>
            <w:r>
              <w:rPr>
                <w:color w:val="000000"/>
                <w:sz w:val="24"/>
              </w:rPr>
              <w:t>002271</w:t>
            </w:r>
          </w:p>
        </w:tc>
        <w:tc>
          <w:tcPr>
            <w:tcW w:w="1795" w:type="dxa"/>
            <w:vAlign w:val="center"/>
          </w:tcPr>
          <w:p w:rsidR="00C75F3A" w:rsidRDefault="00BB5F12">
            <w:pPr>
              <w:jc w:val="center"/>
            </w:pPr>
            <w:r>
              <w:rPr>
                <w:color w:val="000000"/>
                <w:sz w:val="24"/>
              </w:rPr>
              <w:t>东方雨虹</w:t>
            </w:r>
          </w:p>
        </w:tc>
        <w:tc>
          <w:tcPr>
            <w:tcW w:w="1346" w:type="dxa"/>
            <w:vAlign w:val="center"/>
          </w:tcPr>
          <w:p w:rsidR="00C75F3A" w:rsidRDefault="00BB5F12">
            <w:pPr>
              <w:jc w:val="right"/>
            </w:pPr>
            <w:r>
              <w:rPr>
                <w:color w:val="000000"/>
                <w:sz w:val="24"/>
              </w:rPr>
              <w:t>199,963</w:t>
            </w:r>
          </w:p>
        </w:tc>
        <w:tc>
          <w:tcPr>
            <w:tcW w:w="1944" w:type="dxa"/>
            <w:vAlign w:val="center"/>
          </w:tcPr>
          <w:p w:rsidR="00C75F3A" w:rsidRDefault="00BB5F12">
            <w:pPr>
              <w:jc w:val="right"/>
            </w:pPr>
            <w:r>
              <w:rPr>
                <w:color w:val="000000"/>
                <w:sz w:val="24"/>
              </w:rPr>
              <w:t>4,531,161.58</w:t>
            </w:r>
          </w:p>
        </w:tc>
        <w:tc>
          <w:tcPr>
            <w:tcW w:w="1705" w:type="dxa"/>
            <w:vAlign w:val="center"/>
          </w:tcPr>
          <w:p w:rsidR="00C75F3A" w:rsidRDefault="00BB5F12">
            <w:pPr>
              <w:jc w:val="right"/>
            </w:pPr>
            <w:r>
              <w:rPr>
                <w:color w:val="000000"/>
                <w:sz w:val="24"/>
              </w:rPr>
              <w:t>0.97</w:t>
            </w:r>
          </w:p>
        </w:tc>
      </w:tr>
      <w:tr w:rsidR="00C75F3A">
        <w:tc>
          <w:tcPr>
            <w:tcW w:w="862" w:type="dxa"/>
            <w:vAlign w:val="center"/>
          </w:tcPr>
          <w:p w:rsidR="00C75F3A" w:rsidRDefault="00BB5F12">
            <w:pPr>
              <w:jc w:val="center"/>
            </w:pPr>
            <w:r>
              <w:rPr>
                <w:color w:val="000000"/>
                <w:sz w:val="24"/>
              </w:rPr>
              <w:t>9</w:t>
            </w:r>
          </w:p>
        </w:tc>
        <w:tc>
          <w:tcPr>
            <w:tcW w:w="1346" w:type="dxa"/>
            <w:vAlign w:val="center"/>
          </w:tcPr>
          <w:p w:rsidR="00C75F3A" w:rsidRDefault="00BB5F12">
            <w:pPr>
              <w:jc w:val="center"/>
            </w:pPr>
            <w:r>
              <w:rPr>
                <w:color w:val="000000"/>
                <w:sz w:val="24"/>
              </w:rPr>
              <w:t>600104</w:t>
            </w:r>
          </w:p>
        </w:tc>
        <w:tc>
          <w:tcPr>
            <w:tcW w:w="1795" w:type="dxa"/>
            <w:vAlign w:val="center"/>
          </w:tcPr>
          <w:p w:rsidR="00C75F3A" w:rsidRDefault="00BB5F12">
            <w:pPr>
              <w:jc w:val="center"/>
            </w:pPr>
            <w:r>
              <w:rPr>
                <w:color w:val="000000"/>
                <w:sz w:val="24"/>
              </w:rPr>
              <w:t>上汽集团</w:t>
            </w:r>
          </w:p>
        </w:tc>
        <w:tc>
          <w:tcPr>
            <w:tcW w:w="1346" w:type="dxa"/>
            <w:vAlign w:val="center"/>
          </w:tcPr>
          <w:p w:rsidR="00C75F3A" w:rsidRDefault="00BB5F12">
            <w:pPr>
              <w:jc w:val="right"/>
            </w:pPr>
            <w:r>
              <w:rPr>
                <w:color w:val="000000"/>
                <w:sz w:val="24"/>
              </w:rPr>
              <w:t>160,000</w:t>
            </w:r>
          </w:p>
        </w:tc>
        <w:tc>
          <w:tcPr>
            <w:tcW w:w="1944" w:type="dxa"/>
            <w:vAlign w:val="center"/>
          </w:tcPr>
          <w:p w:rsidR="00C75F3A" w:rsidRDefault="00BB5F12">
            <w:pPr>
              <w:jc w:val="right"/>
            </w:pPr>
            <w:r>
              <w:rPr>
                <w:color w:val="000000"/>
                <w:sz w:val="24"/>
              </w:rPr>
              <w:t>4,080,000.00</w:t>
            </w:r>
          </w:p>
        </w:tc>
        <w:tc>
          <w:tcPr>
            <w:tcW w:w="1705" w:type="dxa"/>
            <w:vAlign w:val="center"/>
          </w:tcPr>
          <w:p w:rsidR="00C75F3A" w:rsidRDefault="00BB5F12">
            <w:pPr>
              <w:jc w:val="right"/>
            </w:pPr>
            <w:r>
              <w:rPr>
                <w:color w:val="000000"/>
                <w:sz w:val="24"/>
              </w:rPr>
              <w:t>0.87</w:t>
            </w:r>
          </w:p>
        </w:tc>
      </w:tr>
      <w:tr w:rsidR="00C75F3A">
        <w:tc>
          <w:tcPr>
            <w:tcW w:w="862" w:type="dxa"/>
            <w:vAlign w:val="center"/>
          </w:tcPr>
          <w:p w:rsidR="00C75F3A" w:rsidRDefault="00BB5F12">
            <w:pPr>
              <w:jc w:val="center"/>
            </w:pPr>
            <w:r>
              <w:rPr>
                <w:color w:val="000000"/>
                <w:sz w:val="24"/>
              </w:rPr>
              <w:t>10</w:t>
            </w:r>
          </w:p>
        </w:tc>
        <w:tc>
          <w:tcPr>
            <w:tcW w:w="1346" w:type="dxa"/>
            <w:vAlign w:val="center"/>
          </w:tcPr>
          <w:p w:rsidR="00C75F3A" w:rsidRDefault="00BB5F12">
            <w:pPr>
              <w:jc w:val="center"/>
            </w:pPr>
            <w:r>
              <w:rPr>
                <w:color w:val="000000"/>
                <w:sz w:val="24"/>
              </w:rPr>
              <w:t>600690</w:t>
            </w:r>
          </w:p>
        </w:tc>
        <w:tc>
          <w:tcPr>
            <w:tcW w:w="1795" w:type="dxa"/>
            <w:vAlign w:val="center"/>
          </w:tcPr>
          <w:p w:rsidR="00C75F3A" w:rsidRDefault="00BB5F12">
            <w:pPr>
              <w:jc w:val="center"/>
            </w:pPr>
            <w:r>
              <w:rPr>
                <w:color w:val="000000"/>
                <w:sz w:val="24"/>
              </w:rPr>
              <w:t>海尔智家</w:t>
            </w:r>
          </w:p>
        </w:tc>
        <w:tc>
          <w:tcPr>
            <w:tcW w:w="1346" w:type="dxa"/>
            <w:vAlign w:val="center"/>
          </w:tcPr>
          <w:p w:rsidR="00C75F3A" w:rsidRDefault="00BB5F12">
            <w:pPr>
              <w:jc w:val="right"/>
            </w:pPr>
            <w:r>
              <w:rPr>
                <w:color w:val="000000"/>
                <w:sz w:val="24"/>
              </w:rPr>
              <w:t>200,000</w:t>
            </w:r>
          </w:p>
        </w:tc>
        <w:tc>
          <w:tcPr>
            <w:tcW w:w="1944" w:type="dxa"/>
            <w:vAlign w:val="center"/>
          </w:tcPr>
          <w:p w:rsidR="00C75F3A" w:rsidRDefault="00BB5F12">
            <w:pPr>
              <w:jc w:val="right"/>
            </w:pPr>
            <w:r>
              <w:rPr>
                <w:color w:val="000000"/>
                <w:sz w:val="24"/>
              </w:rPr>
              <w:t>3,458,000.00</w:t>
            </w:r>
          </w:p>
        </w:tc>
        <w:tc>
          <w:tcPr>
            <w:tcW w:w="1705" w:type="dxa"/>
            <w:vAlign w:val="center"/>
          </w:tcPr>
          <w:p w:rsidR="00C75F3A" w:rsidRDefault="00BB5F12">
            <w:pPr>
              <w:jc w:val="right"/>
            </w:pPr>
            <w:r>
              <w:rPr>
                <w:color w:val="000000"/>
                <w:sz w:val="24"/>
              </w:rPr>
              <w:t>0.74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w:t>
      </w:r>
      <w:proofErr w:type="gramStart"/>
      <w:r w:rsidRPr="008A1551">
        <w:rPr>
          <w:b/>
          <w:bCs/>
          <w:color w:val="000000"/>
          <w:sz w:val="24"/>
        </w:rPr>
        <w:t>初基金</w:t>
      </w:r>
      <w:proofErr w:type="gramEnd"/>
      <w:r w:rsidRPr="008A1551">
        <w:rPr>
          <w:b/>
          <w:bCs/>
          <w:color w:val="000000"/>
          <w:sz w:val="24"/>
        </w:rPr>
        <w:t>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proofErr w:type="gramStart"/>
            <w:r w:rsidRPr="008A1551">
              <w:rPr>
                <w:color w:val="000000"/>
                <w:sz w:val="24"/>
              </w:rPr>
              <w:t>初基金</w:t>
            </w:r>
            <w:proofErr w:type="gramEnd"/>
            <w:r w:rsidRPr="008A1551">
              <w:rPr>
                <w:color w:val="000000"/>
                <w:sz w:val="24"/>
              </w:rPr>
              <w:t>资产净值比例（％）</w:t>
            </w:r>
          </w:p>
        </w:tc>
      </w:tr>
      <w:tr w:rsidR="00C75F3A">
        <w:tc>
          <w:tcPr>
            <w:tcW w:w="869" w:type="dxa"/>
            <w:vAlign w:val="center"/>
          </w:tcPr>
          <w:p w:rsidR="00C75F3A" w:rsidRDefault="00BB5F12">
            <w:pPr>
              <w:jc w:val="center"/>
            </w:pPr>
            <w:r>
              <w:rPr>
                <w:sz w:val="24"/>
              </w:rPr>
              <w:t>1</w:t>
            </w:r>
          </w:p>
        </w:tc>
        <w:tc>
          <w:tcPr>
            <w:tcW w:w="1650" w:type="dxa"/>
            <w:vAlign w:val="center"/>
          </w:tcPr>
          <w:p w:rsidR="00C75F3A" w:rsidRDefault="00BB5F12">
            <w:pPr>
              <w:jc w:val="center"/>
            </w:pPr>
            <w:r>
              <w:rPr>
                <w:sz w:val="24"/>
              </w:rPr>
              <w:t>601398</w:t>
            </w:r>
          </w:p>
        </w:tc>
        <w:tc>
          <w:tcPr>
            <w:tcW w:w="1980" w:type="dxa"/>
            <w:vAlign w:val="center"/>
          </w:tcPr>
          <w:p w:rsidR="00C75F3A" w:rsidRDefault="00BB5F12">
            <w:pPr>
              <w:jc w:val="center"/>
            </w:pPr>
            <w:r>
              <w:rPr>
                <w:sz w:val="24"/>
              </w:rPr>
              <w:t>工商银行</w:t>
            </w:r>
          </w:p>
        </w:tc>
        <w:tc>
          <w:tcPr>
            <w:tcW w:w="2879" w:type="dxa"/>
            <w:vAlign w:val="center"/>
          </w:tcPr>
          <w:p w:rsidR="00C75F3A" w:rsidRDefault="00BB5F12">
            <w:pPr>
              <w:jc w:val="right"/>
            </w:pPr>
            <w:r>
              <w:rPr>
                <w:sz w:val="24"/>
              </w:rPr>
              <w:t>11,338,800.00</w:t>
            </w:r>
          </w:p>
        </w:tc>
        <w:tc>
          <w:tcPr>
            <w:tcW w:w="1620" w:type="dxa"/>
            <w:vAlign w:val="center"/>
          </w:tcPr>
          <w:p w:rsidR="00C75F3A" w:rsidRDefault="00BB5F12">
            <w:pPr>
              <w:jc w:val="right"/>
            </w:pPr>
            <w:r>
              <w:rPr>
                <w:sz w:val="24"/>
              </w:rPr>
              <w:t>2.29</w:t>
            </w:r>
          </w:p>
        </w:tc>
      </w:tr>
      <w:tr w:rsidR="00C75F3A">
        <w:tc>
          <w:tcPr>
            <w:tcW w:w="869" w:type="dxa"/>
            <w:vAlign w:val="center"/>
          </w:tcPr>
          <w:p w:rsidR="00C75F3A" w:rsidRDefault="00BB5F12">
            <w:pPr>
              <w:jc w:val="center"/>
            </w:pPr>
            <w:r>
              <w:rPr>
                <w:sz w:val="24"/>
              </w:rPr>
              <w:t>2</w:t>
            </w:r>
          </w:p>
        </w:tc>
        <w:tc>
          <w:tcPr>
            <w:tcW w:w="1650" w:type="dxa"/>
            <w:vAlign w:val="center"/>
          </w:tcPr>
          <w:p w:rsidR="00C75F3A" w:rsidRDefault="00BB5F12">
            <w:pPr>
              <w:jc w:val="center"/>
            </w:pPr>
            <w:r>
              <w:rPr>
                <w:sz w:val="24"/>
              </w:rPr>
              <w:t>601601</w:t>
            </w:r>
          </w:p>
        </w:tc>
        <w:tc>
          <w:tcPr>
            <w:tcW w:w="1980" w:type="dxa"/>
            <w:vAlign w:val="center"/>
          </w:tcPr>
          <w:p w:rsidR="00C75F3A" w:rsidRDefault="00BB5F12">
            <w:pPr>
              <w:jc w:val="center"/>
            </w:pPr>
            <w:r>
              <w:rPr>
                <w:sz w:val="24"/>
              </w:rPr>
              <w:t>中国太保</w:t>
            </w:r>
          </w:p>
        </w:tc>
        <w:tc>
          <w:tcPr>
            <w:tcW w:w="2879" w:type="dxa"/>
            <w:vAlign w:val="center"/>
          </w:tcPr>
          <w:p w:rsidR="00C75F3A" w:rsidRDefault="00BB5F12">
            <w:pPr>
              <w:jc w:val="right"/>
            </w:pPr>
            <w:r>
              <w:rPr>
                <w:sz w:val="24"/>
              </w:rPr>
              <w:t>10,400,314.00</w:t>
            </w:r>
          </w:p>
        </w:tc>
        <w:tc>
          <w:tcPr>
            <w:tcW w:w="1620" w:type="dxa"/>
            <w:vAlign w:val="center"/>
          </w:tcPr>
          <w:p w:rsidR="00C75F3A" w:rsidRDefault="00BB5F12">
            <w:pPr>
              <w:jc w:val="right"/>
            </w:pPr>
            <w:r>
              <w:rPr>
                <w:sz w:val="24"/>
              </w:rPr>
              <w:t>2.10</w:t>
            </w:r>
          </w:p>
        </w:tc>
      </w:tr>
      <w:tr w:rsidR="00C75F3A">
        <w:tc>
          <w:tcPr>
            <w:tcW w:w="869" w:type="dxa"/>
            <w:vAlign w:val="center"/>
          </w:tcPr>
          <w:p w:rsidR="00C75F3A" w:rsidRDefault="00BB5F12">
            <w:pPr>
              <w:jc w:val="center"/>
            </w:pPr>
            <w:r>
              <w:rPr>
                <w:sz w:val="24"/>
              </w:rPr>
              <w:t>3</w:t>
            </w:r>
          </w:p>
        </w:tc>
        <w:tc>
          <w:tcPr>
            <w:tcW w:w="1650" w:type="dxa"/>
            <w:vAlign w:val="center"/>
          </w:tcPr>
          <w:p w:rsidR="00C75F3A" w:rsidRDefault="00BB5F12">
            <w:pPr>
              <w:jc w:val="center"/>
            </w:pPr>
            <w:r>
              <w:rPr>
                <w:sz w:val="24"/>
              </w:rPr>
              <w:t>601288</w:t>
            </w:r>
          </w:p>
        </w:tc>
        <w:tc>
          <w:tcPr>
            <w:tcW w:w="1980" w:type="dxa"/>
            <w:vAlign w:val="center"/>
          </w:tcPr>
          <w:p w:rsidR="00C75F3A" w:rsidRDefault="00BB5F12">
            <w:pPr>
              <w:jc w:val="center"/>
            </w:pPr>
            <w:r>
              <w:rPr>
                <w:sz w:val="24"/>
              </w:rPr>
              <w:t>农业银行</w:t>
            </w:r>
          </w:p>
        </w:tc>
        <w:tc>
          <w:tcPr>
            <w:tcW w:w="2879" w:type="dxa"/>
            <w:vAlign w:val="center"/>
          </w:tcPr>
          <w:p w:rsidR="00C75F3A" w:rsidRDefault="00BB5F12">
            <w:pPr>
              <w:jc w:val="right"/>
            </w:pPr>
            <w:r>
              <w:rPr>
                <w:sz w:val="24"/>
              </w:rPr>
              <w:t>7,620,000.00</w:t>
            </w:r>
          </w:p>
        </w:tc>
        <w:tc>
          <w:tcPr>
            <w:tcW w:w="1620" w:type="dxa"/>
            <w:vAlign w:val="center"/>
          </w:tcPr>
          <w:p w:rsidR="00C75F3A" w:rsidRDefault="00BB5F12">
            <w:pPr>
              <w:jc w:val="right"/>
            </w:pPr>
            <w:r>
              <w:rPr>
                <w:sz w:val="24"/>
              </w:rPr>
              <w:t>1.54</w:t>
            </w:r>
          </w:p>
        </w:tc>
      </w:tr>
      <w:tr w:rsidR="00C75F3A">
        <w:tc>
          <w:tcPr>
            <w:tcW w:w="869" w:type="dxa"/>
            <w:vAlign w:val="center"/>
          </w:tcPr>
          <w:p w:rsidR="00C75F3A" w:rsidRDefault="00BB5F12">
            <w:pPr>
              <w:jc w:val="center"/>
            </w:pPr>
            <w:r>
              <w:rPr>
                <w:sz w:val="24"/>
              </w:rPr>
              <w:t>4</w:t>
            </w:r>
          </w:p>
        </w:tc>
        <w:tc>
          <w:tcPr>
            <w:tcW w:w="1650" w:type="dxa"/>
            <w:vAlign w:val="center"/>
          </w:tcPr>
          <w:p w:rsidR="00C75F3A" w:rsidRDefault="00BB5F12">
            <w:pPr>
              <w:jc w:val="center"/>
            </w:pPr>
            <w:r>
              <w:rPr>
                <w:sz w:val="24"/>
              </w:rPr>
              <w:t>600519</w:t>
            </w:r>
          </w:p>
        </w:tc>
        <w:tc>
          <w:tcPr>
            <w:tcW w:w="1980" w:type="dxa"/>
            <w:vAlign w:val="center"/>
          </w:tcPr>
          <w:p w:rsidR="00C75F3A" w:rsidRDefault="00BB5F12">
            <w:pPr>
              <w:jc w:val="center"/>
            </w:pPr>
            <w:r>
              <w:rPr>
                <w:sz w:val="24"/>
              </w:rPr>
              <w:t>贵州茅台</w:t>
            </w:r>
          </w:p>
        </w:tc>
        <w:tc>
          <w:tcPr>
            <w:tcW w:w="2879" w:type="dxa"/>
            <w:vAlign w:val="center"/>
          </w:tcPr>
          <w:p w:rsidR="00C75F3A" w:rsidRDefault="00BB5F12">
            <w:pPr>
              <w:jc w:val="right"/>
            </w:pPr>
            <w:r>
              <w:rPr>
                <w:sz w:val="24"/>
              </w:rPr>
              <w:t>6,244,346.00</w:t>
            </w:r>
          </w:p>
        </w:tc>
        <w:tc>
          <w:tcPr>
            <w:tcW w:w="1620" w:type="dxa"/>
            <w:vAlign w:val="center"/>
          </w:tcPr>
          <w:p w:rsidR="00C75F3A" w:rsidRDefault="00BB5F12">
            <w:pPr>
              <w:jc w:val="right"/>
            </w:pPr>
            <w:r>
              <w:rPr>
                <w:sz w:val="24"/>
              </w:rPr>
              <w:t>1.26</w:t>
            </w:r>
          </w:p>
        </w:tc>
      </w:tr>
      <w:tr w:rsidR="00C75F3A">
        <w:tc>
          <w:tcPr>
            <w:tcW w:w="869" w:type="dxa"/>
            <w:vAlign w:val="center"/>
          </w:tcPr>
          <w:p w:rsidR="00C75F3A" w:rsidRDefault="00BB5F12">
            <w:pPr>
              <w:jc w:val="center"/>
            </w:pPr>
            <w:r>
              <w:rPr>
                <w:sz w:val="24"/>
              </w:rPr>
              <w:t>5</w:t>
            </w:r>
          </w:p>
        </w:tc>
        <w:tc>
          <w:tcPr>
            <w:tcW w:w="1650" w:type="dxa"/>
            <w:vAlign w:val="center"/>
          </w:tcPr>
          <w:p w:rsidR="00C75F3A" w:rsidRDefault="00BB5F12">
            <w:pPr>
              <w:jc w:val="center"/>
            </w:pPr>
            <w:r>
              <w:rPr>
                <w:sz w:val="24"/>
              </w:rPr>
              <w:t>600048</w:t>
            </w:r>
          </w:p>
        </w:tc>
        <w:tc>
          <w:tcPr>
            <w:tcW w:w="1980" w:type="dxa"/>
            <w:vAlign w:val="center"/>
          </w:tcPr>
          <w:p w:rsidR="00C75F3A" w:rsidRDefault="00BB5F12">
            <w:pPr>
              <w:jc w:val="center"/>
            </w:pPr>
            <w:r>
              <w:rPr>
                <w:sz w:val="24"/>
              </w:rPr>
              <w:t>保利地产</w:t>
            </w:r>
          </w:p>
        </w:tc>
        <w:tc>
          <w:tcPr>
            <w:tcW w:w="2879" w:type="dxa"/>
            <w:vAlign w:val="center"/>
          </w:tcPr>
          <w:p w:rsidR="00C75F3A" w:rsidRDefault="00BB5F12">
            <w:pPr>
              <w:jc w:val="right"/>
            </w:pPr>
            <w:r>
              <w:rPr>
                <w:sz w:val="24"/>
              </w:rPr>
              <w:t>4,828,978.00</w:t>
            </w:r>
          </w:p>
        </w:tc>
        <w:tc>
          <w:tcPr>
            <w:tcW w:w="1620" w:type="dxa"/>
            <w:vAlign w:val="center"/>
          </w:tcPr>
          <w:p w:rsidR="00C75F3A" w:rsidRDefault="00BB5F12">
            <w:pPr>
              <w:jc w:val="right"/>
            </w:pPr>
            <w:r>
              <w:rPr>
                <w:sz w:val="24"/>
              </w:rPr>
              <w:t>0.97</w:t>
            </w:r>
          </w:p>
        </w:tc>
      </w:tr>
      <w:tr w:rsidR="00C75F3A">
        <w:tc>
          <w:tcPr>
            <w:tcW w:w="869" w:type="dxa"/>
            <w:vAlign w:val="center"/>
          </w:tcPr>
          <w:p w:rsidR="00C75F3A" w:rsidRDefault="00BB5F12">
            <w:pPr>
              <w:jc w:val="center"/>
            </w:pPr>
            <w:r>
              <w:rPr>
                <w:sz w:val="24"/>
              </w:rPr>
              <w:t>6</w:t>
            </w:r>
          </w:p>
        </w:tc>
        <w:tc>
          <w:tcPr>
            <w:tcW w:w="1650" w:type="dxa"/>
            <w:vAlign w:val="center"/>
          </w:tcPr>
          <w:p w:rsidR="00C75F3A" w:rsidRDefault="00BB5F12">
            <w:pPr>
              <w:jc w:val="center"/>
            </w:pPr>
            <w:r>
              <w:rPr>
                <w:sz w:val="24"/>
              </w:rPr>
              <w:t>600009</w:t>
            </w:r>
          </w:p>
        </w:tc>
        <w:tc>
          <w:tcPr>
            <w:tcW w:w="1980" w:type="dxa"/>
            <w:vAlign w:val="center"/>
          </w:tcPr>
          <w:p w:rsidR="00C75F3A" w:rsidRDefault="00BB5F12">
            <w:pPr>
              <w:jc w:val="center"/>
            </w:pPr>
            <w:r>
              <w:rPr>
                <w:sz w:val="24"/>
              </w:rPr>
              <w:t>上海机场</w:t>
            </w:r>
          </w:p>
        </w:tc>
        <w:tc>
          <w:tcPr>
            <w:tcW w:w="2879" w:type="dxa"/>
            <w:vAlign w:val="center"/>
          </w:tcPr>
          <w:p w:rsidR="00C75F3A" w:rsidRDefault="00BB5F12">
            <w:pPr>
              <w:jc w:val="right"/>
            </w:pPr>
            <w:r>
              <w:rPr>
                <w:sz w:val="24"/>
              </w:rPr>
              <w:t>4,487,323.00</w:t>
            </w:r>
          </w:p>
        </w:tc>
        <w:tc>
          <w:tcPr>
            <w:tcW w:w="1620" w:type="dxa"/>
            <w:vAlign w:val="center"/>
          </w:tcPr>
          <w:p w:rsidR="00C75F3A" w:rsidRDefault="00BB5F12">
            <w:pPr>
              <w:jc w:val="right"/>
            </w:pPr>
            <w:r>
              <w:rPr>
                <w:sz w:val="24"/>
              </w:rPr>
              <w:t>0.91</w:t>
            </w:r>
          </w:p>
        </w:tc>
      </w:tr>
      <w:tr w:rsidR="00C75F3A">
        <w:tc>
          <w:tcPr>
            <w:tcW w:w="869" w:type="dxa"/>
            <w:vAlign w:val="center"/>
          </w:tcPr>
          <w:p w:rsidR="00C75F3A" w:rsidRDefault="00BB5F12">
            <w:pPr>
              <w:jc w:val="center"/>
            </w:pPr>
            <w:r>
              <w:rPr>
                <w:sz w:val="24"/>
              </w:rPr>
              <w:t>7</w:t>
            </w:r>
          </w:p>
        </w:tc>
        <w:tc>
          <w:tcPr>
            <w:tcW w:w="1650" w:type="dxa"/>
            <w:vAlign w:val="center"/>
          </w:tcPr>
          <w:p w:rsidR="00C75F3A" w:rsidRDefault="00BB5F12">
            <w:pPr>
              <w:jc w:val="center"/>
            </w:pPr>
            <w:r>
              <w:rPr>
                <w:sz w:val="24"/>
              </w:rPr>
              <w:t>600104</w:t>
            </w:r>
          </w:p>
        </w:tc>
        <w:tc>
          <w:tcPr>
            <w:tcW w:w="1980" w:type="dxa"/>
            <w:vAlign w:val="center"/>
          </w:tcPr>
          <w:p w:rsidR="00C75F3A" w:rsidRDefault="00BB5F12">
            <w:pPr>
              <w:jc w:val="center"/>
            </w:pPr>
            <w:r>
              <w:rPr>
                <w:sz w:val="24"/>
              </w:rPr>
              <w:t>上汽集团</w:t>
            </w:r>
          </w:p>
        </w:tc>
        <w:tc>
          <w:tcPr>
            <w:tcW w:w="2879" w:type="dxa"/>
            <w:vAlign w:val="center"/>
          </w:tcPr>
          <w:p w:rsidR="00C75F3A" w:rsidRDefault="00BB5F12">
            <w:pPr>
              <w:jc w:val="right"/>
            </w:pPr>
            <w:r>
              <w:rPr>
                <w:sz w:val="24"/>
              </w:rPr>
              <w:t>3,922,263.00</w:t>
            </w:r>
          </w:p>
        </w:tc>
        <w:tc>
          <w:tcPr>
            <w:tcW w:w="1620" w:type="dxa"/>
            <w:vAlign w:val="center"/>
          </w:tcPr>
          <w:p w:rsidR="00C75F3A" w:rsidRDefault="00BB5F12">
            <w:pPr>
              <w:jc w:val="right"/>
            </w:pPr>
            <w:r>
              <w:rPr>
                <w:sz w:val="24"/>
              </w:rPr>
              <w:t>0.79</w:t>
            </w:r>
          </w:p>
        </w:tc>
      </w:tr>
      <w:tr w:rsidR="00C75F3A">
        <w:tc>
          <w:tcPr>
            <w:tcW w:w="869" w:type="dxa"/>
            <w:vAlign w:val="center"/>
          </w:tcPr>
          <w:p w:rsidR="00C75F3A" w:rsidRDefault="00BB5F12">
            <w:pPr>
              <w:jc w:val="center"/>
            </w:pPr>
            <w:r>
              <w:rPr>
                <w:sz w:val="24"/>
              </w:rPr>
              <w:t>8</w:t>
            </w:r>
          </w:p>
        </w:tc>
        <w:tc>
          <w:tcPr>
            <w:tcW w:w="1650" w:type="dxa"/>
            <w:vAlign w:val="center"/>
          </w:tcPr>
          <w:p w:rsidR="00C75F3A" w:rsidRDefault="00BB5F12">
            <w:pPr>
              <w:jc w:val="center"/>
            </w:pPr>
            <w:r>
              <w:rPr>
                <w:sz w:val="24"/>
              </w:rPr>
              <w:t>600887</w:t>
            </w:r>
          </w:p>
        </w:tc>
        <w:tc>
          <w:tcPr>
            <w:tcW w:w="1980" w:type="dxa"/>
            <w:vAlign w:val="center"/>
          </w:tcPr>
          <w:p w:rsidR="00C75F3A" w:rsidRDefault="00BB5F12">
            <w:pPr>
              <w:jc w:val="center"/>
            </w:pPr>
            <w:r>
              <w:rPr>
                <w:sz w:val="24"/>
              </w:rPr>
              <w:t>伊利股份</w:t>
            </w:r>
          </w:p>
        </w:tc>
        <w:tc>
          <w:tcPr>
            <w:tcW w:w="2879" w:type="dxa"/>
            <w:vAlign w:val="center"/>
          </w:tcPr>
          <w:p w:rsidR="00C75F3A" w:rsidRDefault="00BB5F12">
            <w:pPr>
              <w:jc w:val="right"/>
            </w:pPr>
            <w:r>
              <w:rPr>
                <w:sz w:val="24"/>
              </w:rPr>
              <w:t>3,100,575.94</w:t>
            </w:r>
          </w:p>
        </w:tc>
        <w:tc>
          <w:tcPr>
            <w:tcW w:w="1620" w:type="dxa"/>
            <w:vAlign w:val="center"/>
          </w:tcPr>
          <w:p w:rsidR="00C75F3A" w:rsidRDefault="00BB5F12">
            <w:pPr>
              <w:jc w:val="right"/>
            </w:pPr>
            <w:r>
              <w:rPr>
                <w:sz w:val="24"/>
              </w:rPr>
              <w:t>0.63</w:t>
            </w:r>
          </w:p>
        </w:tc>
      </w:tr>
      <w:tr w:rsidR="00C75F3A">
        <w:tc>
          <w:tcPr>
            <w:tcW w:w="869" w:type="dxa"/>
            <w:vAlign w:val="center"/>
          </w:tcPr>
          <w:p w:rsidR="00C75F3A" w:rsidRDefault="00BB5F12">
            <w:pPr>
              <w:jc w:val="center"/>
            </w:pPr>
            <w:r>
              <w:rPr>
                <w:sz w:val="24"/>
              </w:rPr>
              <w:t>9</w:t>
            </w:r>
          </w:p>
        </w:tc>
        <w:tc>
          <w:tcPr>
            <w:tcW w:w="1650" w:type="dxa"/>
            <w:vAlign w:val="center"/>
          </w:tcPr>
          <w:p w:rsidR="00C75F3A" w:rsidRDefault="00BB5F12">
            <w:pPr>
              <w:jc w:val="center"/>
            </w:pPr>
            <w:r>
              <w:rPr>
                <w:sz w:val="24"/>
              </w:rPr>
              <w:t>000538</w:t>
            </w:r>
          </w:p>
        </w:tc>
        <w:tc>
          <w:tcPr>
            <w:tcW w:w="1980" w:type="dxa"/>
            <w:vAlign w:val="center"/>
          </w:tcPr>
          <w:p w:rsidR="00C75F3A" w:rsidRDefault="00BB5F12">
            <w:pPr>
              <w:jc w:val="center"/>
            </w:pPr>
            <w:r>
              <w:rPr>
                <w:sz w:val="24"/>
              </w:rPr>
              <w:t>云南白药</w:t>
            </w:r>
          </w:p>
        </w:tc>
        <w:tc>
          <w:tcPr>
            <w:tcW w:w="2879" w:type="dxa"/>
            <w:vAlign w:val="center"/>
          </w:tcPr>
          <w:p w:rsidR="00C75F3A" w:rsidRDefault="00BB5F12">
            <w:pPr>
              <w:jc w:val="right"/>
            </w:pPr>
            <w:r>
              <w:rPr>
                <w:sz w:val="24"/>
              </w:rPr>
              <w:t>3,027,609.28</w:t>
            </w:r>
          </w:p>
        </w:tc>
        <w:tc>
          <w:tcPr>
            <w:tcW w:w="1620" w:type="dxa"/>
            <w:vAlign w:val="center"/>
          </w:tcPr>
          <w:p w:rsidR="00C75F3A" w:rsidRDefault="00BB5F12">
            <w:pPr>
              <w:jc w:val="right"/>
            </w:pPr>
            <w:r>
              <w:rPr>
                <w:sz w:val="24"/>
              </w:rPr>
              <w:t>0.61</w:t>
            </w:r>
          </w:p>
        </w:tc>
      </w:tr>
      <w:tr w:rsidR="00C75F3A">
        <w:tc>
          <w:tcPr>
            <w:tcW w:w="869" w:type="dxa"/>
            <w:vAlign w:val="center"/>
          </w:tcPr>
          <w:p w:rsidR="00C75F3A" w:rsidRDefault="00BB5F12">
            <w:pPr>
              <w:jc w:val="center"/>
            </w:pPr>
            <w:r>
              <w:rPr>
                <w:sz w:val="24"/>
              </w:rPr>
              <w:t>10</w:t>
            </w:r>
          </w:p>
        </w:tc>
        <w:tc>
          <w:tcPr>
            <w:tcW w:w="1650" w:type="dxa"/>
            <w:vAlign w:val="center"/>
          </w:tcPr>
          <w:p w:rsidR="00C75F3A" w:rsidRDefault="00BB5F12">
            <w:pPr>
              <w:jc w:val="center"/>
            </w:pPr>
            <w:r>
              <w:rPr>
                <w:sz w:val="24"/>
              </w:rPr>
              <w:t>600690</w:t>
            </w:r>
          </w:p>
        </w:tc>
        <w:tc>
          <w:tcPr>
            <w:tcW w:w="1980" w:type="dxa"/>
            <w:vAlign w:val="center"/>
          </w:tcPr>
          <w:p w:rsidR="00C75F3A" w:rsidRDefault="00BB5F12">
            <w:pPr>
              <w:jc w:val="center"/>
            </w:pPr>
            <w:r>
              <w:rPr>
                <w:sz w:val="24"/>
              </w:rPr>
              <w:t>海尔智家</w:t>
            </w:r>
          </w:p>
        </w:tc>
        <w:tc>
          <w:tcPr>
            <w:tcW w:w="2879" w:type="dxa"/>
            <w:vAlign w:val="center"/>
          </w:tcPr>
          <w:p w:rsidR="00C75F3A" w:rsidRDefault="00BB5F12">
            <w:pPr>
              <w:jc w:val="right"/>
            </w:pPr>
            <w:r>
              <w:rPr>
                <w:sz w:val="24"/>
              </w:rPr>
              <w:t>2,258,386.37</w:t>
            </w:r>
          </w:p>
        </w:tc>
        <w:tc>
          <w:tcPr>
            <w:tcW w:w="1620" w:type="dxa"/>
            <w:vAlign w:val="center"/>
          </w:tcPr>
          <w:p w:rsidR="00C75F3A" w:rsidRDefault="00BB5F12">
            <w:pPr>
              <w:jc w:val="right"/>
            </w:pPr>
            <w:r>
              <w:rPr>
                <w:sz w:val="24"/>
              </w:rPr>
              <w:t>0.46</w:t>
            </w:r>
          </w:p>
        </w:tc>
      </w:tr>
      <w:tr w:rsidR="00C75F3A">
        <w:tc>
          <w:tcPr>
            <w:tcW w:w="869" w:type="dxa"/>
            <w:vAlign w:val="center"/>
          </w:tcPr>
          <w:p w:rsidR="00C75F3A" w:rsidRDefault="00BB5F12">
            <w:pPr>
              <w:jc w:val="center"/>
            </w:pPr>
            <w:r>
              <w:rPr>
                <w:sz w:val="24"/>
              </w:rPr>
              <w:t>11</w:t>
            </w:r>
          </w:p>
        </w:tc>
        <w:tc>
          <w:tcPr>
            <w:tcW w:w="1650" w:type="dxa"/>
            <w:vAlign w:val="center"/>
          </w:tcPr>
          <w:p w:rsidR="00C75F3A" w:rsidRDefault="00BB5F12">
            <w:pPr>
              <w:jc w:val="center"/>
            </w:pPr>
            <w:r>
              <w:rPr>
                <w:sz w:val="24"/>
              </w:rPr>
              <w:t>002555</w:t>
            </w:r>
          </w:p>
        </w:tc>
        <w:tc>
          <w:tcPr>
            <w:tcW w:w="1980" w:type="dxa"/>
            <w:vAlign w:val="center"/>
          </w:tcPr>
          <w:p w:rsidR="00C75F3A" w:rsidRDefault="00BB5F12">
            <w:pPr>
              <w:jc w:val="center"/>
            </w:pPr>
            <w:proofErr w:type="gramStart"/>
            <w:r>
              <w:rPr>
                <w:sz w:val="24"/>
              </w:rPr>
              <w:t>三七互娱</w:t>
            </w:r>
            <w:proofErr w:type="gramEnd"/>
          </w:p>
        </w:tc>
        <w:tc>
          <w:tcPr>
            <w:tcW w:w="2879" w:type="dxa"/>
            <w:vAlign w:val="center"/>
          </w:tcPr>
          <w:p w:rsidR="00C75F3A" w:rsidRDefault="00BB5F12">
            <w:pPr>
              <w:jc w:val="right"/>
            </w:pPr>
            <w:r>
              <w:rPr>
                <w:sz w:val="24"/>
              </w:rPr>
              <w:t>1,003,419.00</w:t>
            </w:r>
          </w:p>
        </w:tc>
        <w:tc>
          <w:tcPr>
            <w:tcW w:w="1620" w:type="dxa"/>
            <w:vAlign w:val="center"/>
          </w:tcPr>
          <w:p w:rsidR="00C75F3A" w:rsidRDefault="00BB5F12">
            <w:pPr>
              <w:jc w:val="right"/>
            </w:pPr>
            <w:r>
              <w:rPr>
                <w:sz w:val="24"/>
              </w:rPr>
              <w:t>0.20</w:t>
            </w:r>
          </w:p>
        </w:tc>
      </w:tr>
      <w:tr w:rsidR="00C75F3A">
        <w:tc>
          <w:tcPr>
            <w:tcW w:w="869" w:type="dxa"/>
            <w:vAlign w:val="center"/>
          </w:tcPr>
          <w:p w:rsidR="00C75F3A" w:rsidRDefault="00BB5F12">
            <w:pPr>
              <w:jc w:val="center"/>
            </w:pPr>
            <w:r>
              <w:rPr>
                <w:sz w:val="24"/>
              </w:rPr>
              <w:t>12</w:t>
            </w:r>
          </w:p>
        </w:tc>
        <w:tc>
          <w:tcPr>
            <w:tcW w:w="1650" w:type="dxa"/>
            <w:vAlign w:val="center"/>
          </w:tcPr>
          <w:p w:rsidR="00C75F3A" w:rsidRDefault="00BB5F12">
            <w:pPr>
              <w:jc w:val="center"/>
            </w:pPr>
            <w:r>
              <w:rPr>
                <w:sz w:val="24"/>
              </w:rPr>
              <w:t>600989</w:t>
            </w:r>
          </w:p>
        </w:tc>
        <w:tc>
          <w:tcPr>
            <w:tcW w:w="1980" w:type="dxa"/>
            <w:vAlign w:val="center"/>
          </w:tcPr>
          <w:p w:rsidR="00C75F3A" w:rsidRDefault="00BB5F12">
            <w:pPr>
              <w:jc w:val="center"/>
            </w:pPr>
            <w:r>
              <w:rPr>
                <w:sz w:val="24"/>
              </w:rPr>
              <w:t>宝丰能源</w:t>
            </w:r>
          </w:p>
        </w:tc>
        <w:tc>
          <w:tcPr>
            <w:tcW w:w="2879" w:type="dxa"/>
            <w:vAlign w:val="center"/>
          </w:tcPr>
          <w:p w:rsidR="00C75F3A" w:rsidRDefault="00BB5F12">
            <w:pPr>
              <w:jc w:val="right"/>
            </w:pPr>
            <w:r>
              <w:rPr>
                <w:sz w:val="24"/>
              </w:rPr>
              <w:t>270,838.72</w:t>
            </w:r>
          </w:p>
        </w:tc>
        <w:tc>
          <w:tcPr>
            <w:tcW w:w="1620" w:type="dxa"/>
            <w:vAlign w:val="center"/>
          </w:tcPr>
          <w:p w:rsidR="00C75F3A" w:rsidRDefault="00BB5F12">
            <w:pPr>
              <w:jc w:val="right"/>
            </w:pPr>
            <w:r>
              <w:rPr>
                <w:sz w:val="24"/>
              </w:rPr>
              <w:t>0.05</w:t>
            </w:r>
          </w:p>
        </w:tc>
      </w:tr>
      <w:tr w:rsidR="00C75F3A">
        <w:tc>
          <w:tcPr>
            <w:tcW w:w="869" w:type="dxa"/>
            <w:vAlign w:val="center"/>
          </w:tcPr>
          <w:p w:rsidR="00C75F3A" w:rsidRDefault="00BB5F12">
            <w:pPr>
              <w:jc w:val="center"/>
            </w:pPr>
            <w:r>
              <w:rPr>
                <w:sz w:val="24"/>
              </w:rPr>
              <w:lastRenderedPageBreak/>
              <w:t>13</w:t>
            </w:r>
          </w:p>
        </w:tc>
        <w:tc>
          <w:tcPr>
            <w:tcW w:w="1650" w:type="dxa"/>
            <w:vAlign w:val="center"/>
          </w:tcPr>
          <w:p w:rsidR="00C75F3A" w:rsidRDefault="00BB5F12">
            <w:pPr>
              <w:jc w:val="center"/>
            </w:pPr>
            <w:r>
              <w:rPr>
                <w:sz w:val="24"/>
              </w:rPr>
              <w:t>600968</w:t>
            </w:r>
          </w:p>
        </w:tc>
        <w:tc>
          <w:tcPr>
            <w:tcW w:w="1980" w:type="dxa"/>
            <w:vAlign w:val="center"/>
          </w:tcPr>
          <w:p w:rsidR="00C75F3A" w:rsidRDefault="00BB5F12">
            <w:pPr>
              <w:jc w:val="center"/>
            </w:pPr>
            <w:r>
              <w:rPr>
                <w:sz w:val="24"/>
              </w:rPr>
              <w:t>海油发展</w:t>
            </w:r>
          </w:p>
        </w:tc>
        <w:tc>
          <w:tcPr>
            <w:tcW w:w="2879" w:type="dxa"/>
            <w:vAlign w:val="center"/>
          </w:tcPr>
          <w:p w:rsidR="00C75F3A" w:rsidRDefault="00BB5F12">
            <w:pPr>
              <w:jc w:val="right"/>
            </w:pPr>
            <w:r>
              <w:rPr>
                <w:sz w:val="24"/>
              </w:rPr>
              <w:t>157,918.44</w:t>
            </w:r>
          </w:p>
        </w:tc>
        <w:tc>
          <w:tcPr>
            <w:tcW w:w="1620" w:type="dxa"/>
            <w:vAlign w:val="center"/>
          </w:tcPr>
          <w:p w:rsidR="00C75F3A" w:rsidRDefault="00BB5F12">
            <w:pPr>
              <w:jc w:val="right"/>
            </w:pPr>
            <w:r>
              <w:rPr>
                <w:sz w:val="24"/>
              </w:rPr>
              <w:t>0.03</w:t>
            </w:r>
          </w:p>
        </w:tc>
      </w:tr>
      <w:tr w:rsidR="00C75F3A">
        <w:tc>
          <w:tcPr>
            <w:tcW w:w="869" w:type="dxa"/>
            <w:vAlign w:val="center"/>
          </w:tcPr>
          <w:p w:rsidR="00C75F3A" w:rsidRDefault="00BB5F12">
            <w:pPr>
              <w:jc w:val="center"/>
            </w:pPr>
            <w:r>
              <w:rPr>
                <w:sz w:val="24"/>
              </w:rPr>
              <w:t>14</w:t>
            </w:r>
          </w:p>
        </w:tc>
        <w:tc>
          <w:tcPr>
            <w:tcW w:w="1650" w:type="dxa"/>
            <w:vAlign w:val="center"/>
          </w:tcPr>
          <w:p w:rsidR="00C75F3A" w:rsidRDefault="00BB5F12">
            <w:pPr>
              <w:jc w:val="center"/>
            </w:pPr>
            <w:r>
              <w:rPr>
                <w:sz w:val="24"/>
              </w:rPr>
              <w:t>601298</w:t>
            </w:r>
          </w:p>
        </w:tc>
        <w:tc>
          <w:tcPr>
            <w:tcW w:w="1980" w:type="dxa"/>
            <w:vAlign w:val="center"/>
          </w:tcPr>
          <w:p w:rsidR="00C75F3A" w:rsidRDefault="00BB5F12">
            <w:pPr>
              <w:jc w:val="center"/>
            </w:pPr>
            <w:r>
              <w:rPr>
                <w:sz w:val="24"/>
              </w:rPr>
              <w:t>青岛港</w:t>
            </w:r>
          </w:p>
        </w:tc>
        <w:tc>
          <w:tcPr>
            <w:tcW w:w="2879" w:type="dxa"/>
            <w:vAlign w:val="center"/>
          </w:tcPr>
          <w:p w:rsidR="00C75F3A" w:rsidRDefault="00BB5F12">
            <w:pPr>
              <w:jc w:val="right"/>
            </w:pPr>
            <w:r>
              <w:rPr>
                <w:sz w:val="24"/>
              </w:rPr>
              <w:t>109,487.50</w:t>
            </w:r>
          </w:p>
        </w:tc>
        <w:tc>
          <w:tcPr>
            <w:tcW w:w="1620" w:type="dxa"/>
            <w:vAlign w:val="center"/>
          </w:tcPr>
          <w:p w:rsidR="00C75F3A" w:rsidRDefault="00BB5F12">
            <w:pPr>
              <w:jc w:val="right"/>
            </w:pPr>
            <w:r>
              <w:rPr>
                <w:sz w:val="24"/>
              </w:rPr>
              <w:t>0.02</w:t>
            </w:r>
          </w:p>
        </w:tc>
      </w:tr>
      <w:tr w:rsidR="00C75F3A">
        <w:tc>
          <w:tcPr>
            <w:tcW w:w="869" w:type="dxa"/>
            <w:vAlign w:val="center"/>
          </w:tcPr>
          <w:p w:rsidR="00C75F3A" w:rsidRDefault="00BB5F12">
            <w:pPr>
              <w:jc w:val="center"/>
            </w:pPr>
            <w:r>
              <w:rPr>
                <w:sz w:val="24"/>
              </w:rPr>
              <w:t>15</w:t>
            </w:r>
          </w:p>
        </w:tc>
        <w:tc>
          <w:tcPr>
            <w:tcW w:w="1650" w:type="dxa"/>
            <w:vAlign w:val="center"/>
          </w:tcPr>
          <w:p w:rsidR="00C75F3A" w:rsidRDefault="00BB5F12">
            <w:pPr>
              <w:jc w:val="center"/>
            </w:pPr>
            <w:r>
              <w:rPr>
                <w:sz w:val="24"/>
              </w:rPr>
              <w:t>600928</w:t>
            </w:r>
          </w:p>
        </w:tc>
        <w:tc>
          <w:tcPr>
            <w:tcW w:w="1980" w:type="dxa"/>
            <w:vAlign w:val="center"/>
          </w:tcPr>
          <w:p w:rsidR="00C75F3A" w:rsidRDefault="00BB5F12">
            <w:pPr>
              <w:jc w:val="center"/>
            </w:pPr>
            <w:r>
              <w:rPr>
                <w:sz w:val="24"/>
              </w:rPr>
              <w:t>西安银行</w:t>
            </w:r>
          </w:p>
        </w:tc>
        <w:tc>
          <w:tcPr>
            <w:tcW w:w="2879" w:type="dxa"/>
            <w:vAlign w:val="center"/>
          </w:tcPr>
          <w:p w:rsidR="00C75F3A" w:rsidRDefault="00BB5F12">
            <w:pPr>
              <w:jc w:val="right"/>
            </w:pPr>
            <w:r>
              <w:rPr>
                <w:sz w:val="24"/>
              </w:rPr>
              <w:t>90,684.36</w:t>
            </w:r>
          </w:p>
        </w:tc>
        <w:tc>
          <w:tcPr>
            <w:tcW w:w="1620" w:type="dxa"/>
            <w:vAlign w:val="center"/>
          </w:tcPr>
          <w:p w:rsidR="00C75F3A" w:rsidRDefault="00BB5F12">
            <w:pPr>
              <w:jc w:val="right"/>
            </w:pPr>
            <w:r>
              <w:rPr>
                <w:sz w:val="24"/>
              </w:rPr>
              <w:t>0.02</w:t>
            </w:r>
          </w:p>
        </w:tc>
      </w:tr>
      <w:tr w:rsidR="00C75F3A">
        <w:tc>
          <w:tcPr>
            <w:tcW w:w="869" w:type="dxa"/>
            <w:vAlign w:val="center"/>
          </w:tcPr>
          <w:p w:rsidR="00C75F3A" w:rsidRDefault="00BB5F12">
            <w:pPr>
              <w:jc w:val="center"/>
            </w:pPr>
            <w:r>
              <w:rPr>
                <w:sz w:val="24"/>
              </w:rPr>
              <w:t>16</w:t>
            </w:r>
          </w:p>
        </w:tc>
        <w:tc>
          <w:tcPr>
            <w:tcW w:w="1650" w:type="dxa"/>
            <w:vAlign w:val="center"/>
          </w:tcPr>
          <w:p w:rsidR="00C75F3A" w:rsidRDefault="00BB5F12">
            <w:pPr>
              <w:jc w:val="center"/>
            </w:pPr>
            <w:r>
              <w:rPr>
                <w:sz w:val="24"/>
              </w:rPr>
              <w:t>002958</w:t>
            </w:r>
          </w:p>
        </w:tc>
        <w:tc>
          <w:tcPr>
            <w:tcW w:w="1980" w:type="dxa"/>
            <w:vAlign w:val="center"/>
          </w:tcPr>
          <w:p w:rsidR="00C75F3A" w:rsidRDefault="00BB5F12">
            <w:pPr>
              <w:jc w:val="center"/>
            </w:pPr>
            <w:r>
              <w:rPr>
                <w:sz w:val="24"/>
              </w:rPr>
              <w:t>青农商行</w:t>
            </w:r>
          </w:p>
        </w:tc>
        <w:tc>
          <w:tcPr>
            <w:tcW w:w="2879" w:type="dxa"/>
            <w:vAlign w:val="center"/>
          </w:tcPr>
          <w:p w:rsidR="00C75F3A" w:rsidRDefault="00BB5F12">
            <w:pPr>
              <w:jc w:val="right"/>
            </w:pPr>
            <w:r>
              <w:rPr>
                <w:sz w:val="24"/>
              </w:rPr>
              <w:t>70,092.00</w:t>
            </w:r>
          </w:p>
        </w:tc>
        <w:tc>
          <w:tcPr>
            <w:tcW w:w="1620" w:type="dxa"/>
            <w:vAlign w:val="center"/>
          </w:tcPr>
          <w:p w:rsidR="00C75F3A" w:rsidRDefault="00BB5F12">
            <w:pPr>
              <w:jc w:val="right"/>
            </w:pPr>
            <w:r>
              <w:rPr>
                <w:sz w:val="24"/>
              </w:rPr>
              <w:t>0.01</w:t>
            </w:r>
          </w:p>
        </w:tc>
      </w:tr>
      <w:tr w:rsidR="00C75F3A">
        <w:tc>
          <w:tcPr>
            <w:tcW w:w="869" w:type="dxa"/>
            <w:vAlign w:val="center"/>
          </w:tcPr>
          <w:p w:rsidR="00C75F3A" w:rsidRDefault="00BB5F12">
            <w:pPr>
              <w:jc w:val="center"/>
            </w:pPr>
            <w:r>
              <w:rPr>
                <w:sz w:val="24"/>
              </w:rPr>
              <w:t>17</w:t>
            </w:r>
          </w:p>
        </w:tc>
        <w:tc>
          <w:tcPr>
            <w:tcW w:w="1650" w:type="dxa"/>
            <w:vAlign w:val="center"/>
          </w:tcPr>
          <w:p w:rsidR="00C75F3A" w:rsidRDefault="00BB5F12">
            <w:pPr>
              <w:jc w:val="center"/>
            </w:pPr>
            <w:r>
              <w:rPr>
                <w:sz w:val="24"/>
              </w:rPr>
              <w:t>603379</w:t>
            </w:r>
          </w:p>
        </w:tc>
        <w:tc>
          <w:tcPr>
            <w:tcW w:w="1980" w:type="dxa"/>
            <w:vAlign w:val="center"/>
          </w:tcPr>
          <w:p w:rsidR="00C75F3A" w:rsidRDefault="00BB5F12">
            <w:pPr>
              <w:jc w:val="center"/>
            </w:pPr>
            <w:r>
              <w:rPr>
                <w:sz w:val="24"/>
              </w:rPr>
              <w:t>三</w:t>
            </w:r>
            <w:proofErr w:type="gramStart"/>
            <w:r>
              <w:rPr>
                <w:sz w:val="24"/>
              </w:rPr>
              <w:t>美股份</w:t>
            </w:r>
            <w:proofErr w:type="gramEnd"/>
          </w:p>
        </w:tc>
        <w:tc>
          <w:tcPr>
            <w:tcW w:w="2879" w:type="dxa"/>
            <w:vAlign w:val="center"/>
          </w:tcPr>
          <w:p w:rsidR="00C75F3A" w:rsidRDefault="00BB5F12">
            <w:pPr>
              <w:jc w:val="right"/>
            </w:pPr>
            <w:r>
              <w:rPr>
                <w:sz w:val="24"/>
              </w:rPr>
              <w:t>66,546.36</w:t>
            </w:r>
          </w:p>
        </w:tc>
        <w:tc>
          <w:tcPr>
            <w:tcW w:w="1620" w:type="dxa"/>
            <w:vAlign w:val="center"/>
          </w:tcPr>
          <w:p w:rsidR="00C75F3A" w:rsidRDefault="00BB5F12">
            <w:pPr>
              <w:jc w:val="right"/>
            </w:pPr>
            <w:r>
              <w:rPr>
                <w:sz w:val="24"/>
              </w:rPr>
              <w:t>0.01</w:t>
            </w:r>
          </w:p>
        </w:tc>
      </w:tr>
      <w:tr w:rsidR="00C75F3A">
        <w:tc>
          <w:tcPr>
            <w:tcW w:w="869" w:type="dxa"/>
            <w:vAlign w:val="center"/>
          </w:tcPr>
          <w:p w:rsidR="00C75F3A" w:rsidRDefault="00BB5F12">
            <w:pPr>
              <w:jc w:val="center"/>
            </w:pPr>
            <w:r>
              <w:rPr>
                <w:sz w:val="24"/>
              </w:rPr>
              <w:t>18</w:t>
            </w:r>
          </w:p>
        </w:tc>
        <w:tc>
          <w:tcPr>
            <w:tcW w:w="1650" w:type="dxa"/>
            <w:vAlign w:val="center"/>
          </w:tcPr>
          <w:p w:rsidR="00C75F3A" w:rsidRDefault="00BB5F12">
            <w:pPr>
              <w:jc w:val="center"/>
            </w:pPr>
            <w:r>
              <w:rPr>
                <w:sz w:val="24"/>
              </w:rPr>
              <w:t>002955</w:t>
            </w:r>
          </w:p>
        </w:tc>
        <w:tc>
          <w:tcPr>
            <w:tcW w:w="1980" w:type="dxa"/>
            <w:vAlign w:val="center"/>
          </w:tcPr>
          <w:p w:rsidR="00C75F3A" w:rsidRDefault="00BB5F12">
            <w:pPr>
              <w:jc w:val="center"/>
            </w:pPr>
            <w:proofErr w:type="gramStart"/>
            <w:r>
              <w:rPr>
                <w:sz w:val="24"/>
              </w:rPr>
              <w:t>鸿合科技</w:t>
            </w:r>
            <w:proofErr w:type="gramEnd"/>
          </w:p>
        </w:tc>
        <w:tc>
          <w:tcPr>
            <w:tcW w:w="2879" w:type="dxa"/>
            <w:vAlign w:val="center"/>
          </w:tcPr>
          <w:p w:rsidR="00C75F3A" w:rsidRDefault="00BB5F12">
            <w:pPr>
              <w:jc w:val="right"/>
            </w:pPr>
            <w:r>
              <w:rPr>
                <w:sz w:val="24"/>
              </w:rPr>
              <w:t>58,070.28</w:t>
            </w:r>
          </w:p>
        </w:tc>
        <w:tc>
          <w:tcPr>
            <w:tcW w:w="1620" w:type="dxa"/>
            <w:vAlign w:val="center"/>
          </w:tcPr>
          <w:p w:rsidR="00C75F3A" w:rsidRDefault="00BB5F12">
            <w:pPr>
              <w:jc w:val="right"/>
            </w:pPr>
            <w:r>
              <w:rPr>
                <w:sz w:val="24"/>
              </w:rPr>
              <w:t>0.01</w:t>
            </w:r>
          </w:p>
        </w:tc>
      </w:tr>
      <w:tr w:rsidR="00C75F3A">
        <w:tc>
          <w:tcPr>
            <w:tcW w:w="869" w:type="dxa"/>
            <w:vAlign w:val="center"/>
          </w:tcPr>
          <w:p w:rsidR="00C75F3A" w:rsidRDefault="00BB5F12">
            <w:pPr>
              <w:jc w:val="center"/>
            </w:pPr>
            <w:r>
              <w:rPr>
                <w:sz w:val="24"/>
              </w:rPr>
              <w:t>19</w:t>
            </w:r>
          </w:p>
        </w:tc>
        <w:tc>
          <w:tcPr>
            <w:tcW w:w="1650" w:type="dxa"/>
            <w:vAlign w:val="center"/>
          </w:tcPr>
          <w:p w:rsidR="00C75F3A" w:rsidRDefault="00BB5F12">
            <w:pPr>
              <w:jc w:val="center"/>
            </w:pPr>
            <w:r>
              <w:rPr>
                <w:sz w:val="24"/>
              </w:rPr>
              <w:t>300770</w:t>
            </w:r>
          </w:p>
        </w:tc>
        <w:tc>
          <w:tcPr>
            <w:tcW w:w="1980" w:type="dxa"/>
            <w:vAlign w:val="center"/>
          </w:tcPr>
          <w:p w:rsidR="00C75F3A" w:rsidRDefault="00BB5F12">
            <w:pPr>
              <w:jc w:val="center"/>
            </w:pPr>
            <w:proofErr w:type="gramStart"/>
            <w:r>
              <w:rPr>
                <w:sz w:val="24"/>
              </w:rPr>
              <w:t>新媒股份</w:t>
            </w:r>
            <w:proofErr w:type="gramEnd"/>
          </w:p>
        </w:tc>
        <w:tc>
          <w:tcPr>
            <w:tcW w:w="2879" w:type="dxa"/>
            <w:vAlign w:val="center"/>
          </w:tcPr>
          <w:p w:rsidR="00C75F3A" w:rsidRDefault="00BB5F12">
            <w:pPr>
              <w:jc w:val="right"/>
            </w:pPr>
            <w:r>
              <w:rPr>
                <w:sz w:val="24"/>
              </w:rPr>
              <w:t>45,972.07</w:t>
            </w:r>
          </w:p>
        </w:tc>
        <w:tc>
          <w:tcPr>
            <w:tcW w:w="1620" w:type="dxa"/>
            <w:vAlign w:val="center"/>
          </w:tcPr>
          <w:p w:rsidR="00C75F3A" w:rsidRDefault="00BB5F12">
            <w:pPr>
              <w:jc w:val="right"/>
            </w:pPr>
            <w:r>
              <w:rPr>
                <w:sz w:val="24"/>
              </w:rPr>
              <w:t>0.01</w:t>
            </w:r>
          </w:p>
        </w:tc>
      </w:tr>
      <w:tr w:rsidR="00C75F3A">
        <w:tc>
          <w:tcPr>
            <w:tcW w:w="869" w:type="dxa"/>
            <w:vAlign w:val="center"/>
          </w:tcPr>
          <w:p w:rsidR="00C75F3A" w:rsidRDefault="00BB5F12">
            <w:pPr>
              <w:jc w:val="center"/>
            </w:pPr>
            <w:r>
              <w:rPr>
                <w:sz w:val="24"/>
              </w:rPr>
              <w:t>20</w:t>
            </w:r>
          </w:p>
        </w:tc>
        <w:tc>
          <w:tcPr>
            <w:tcW w:w="1650" w:type="dxa"/>
            <w:vAlign w:val="center"/>
          </w:tcPr>
          <w:p w:rsidR="00C75F3A" w:rsidRDefault="00BB5F12">
            <w:pPr>
              <w:jc w:val="center"/>
            </w:pPr>
            <w:r>
              <w:rPr>
                <w:sz w:val="24"/>
              </w:rPr>
              <w:t>300773</w:t>
            </w:r>
          </w:p>
        </w:tc>
        <w:tc>
          <w:tcPr>
            <w:tcW w:w="1980" w:type="dxa"/>
            <w:vAlign w:val="center"/>
          </w:tcPr>
          <w:p w:rsidR="00C75F3A" w:rsidRDefault="00BB5F12">
            <w:pPr>
              <w:jc w:val="center"/>
            </w:pPr>
            <w:r>
              <w:rPr>
                <w:sz w:val="24"/>
              </w:rPr>
              <w:t>拉卡拉</w:t>
            </w:r>
          </w:p>
        </w:tc>
        <w:tc>
          <w:tcPr>
            <w:tcW w:w="2879" w:type="dxa"/>
            <w:vAlign w:val="center"/>
          </w:tcPr>
          <w:p w:rsidR="00C75F3A" w:rsidRDefault="00BB5F12">
            <w:pPr>
              <w:jc w:val="right"/>
            </w:pPr>
            <w:r>
              <w:rPr>
                <w:sz w:val="24"/>
              </w:rPr>
              <w:t>41,600.00</w:t>
            </w:r>
          </w:p>
        </w:tc>
        <w:tc>
          <w:tcPr>
            <w:tcW w:w="1620" w:type="dxa"/>
            <w:vAlign w:val="center"/>
          </w:tcPr>
          <w:p w:rsidR="00C75F3A" w:rsidRDefault="00BB5F12">
            <w:pPr>
              <w:jc w:val="right"/>
            </w:pPr>
            <w:r>
              <w:rPr>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w:t>
      </w:r>
      <w:proofErr w:type="gramStart"/>
      <w:r w:rsidRPr="008A1551">
        <w:rPr>
          <w:b/>
          <w:bCs/>
          <w:color w:val="000000"/>
          <w:sz w:val="24"/>
        </w:rPr>
        <w:t>初基金</w:t>
      </w:r>
      <w:proofErr w:type="gramEnd"/>
      <w:r w:rsidRPr="008A1551">
        <w:rPr>
          <w:b/>
          <w:bCs/>
          <w:color w:val="000000"/>
          <w:sz w:val="24"/>
        </w:rPr>
        <w:t>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26E81" w:rsidTr="00F35FEF">
        <w:tc>
          <w:tcPr>
            <w:tcW w:w="870" w:type="dxa"/>
            <w:vAlign w:val="center"/>
          </w:tcPr>
          <w:p w:rsidR="001548F9" w:rsidRPr="00926E81" w:rsidRDefault="001548F9" w:rsidP="009E1EA4">
            <w:pPr>
              <w:spacing w:before="29" w:line="288" w:lineRule="auto"/>
              <w:jc w:val="center"/>
              <w:rPr>
                <w:color w:val="000000"/>
                <w:sz w:val="24"/>
              </w:rPr>
            </w:pPr>
            <w:r w:rsidRPr="00926E81">
              <w:rPr>
                <w:color w:val="000000"/>
                <w:sz w:val="24"/>
              </w:rPr>
              <w:t>序号</w:t>
            </w:r>
          </w:p>
        </w:tc>
        <w:tc>
          <w:tcPr>
            <w:tcW w:w="1650" w:type="dxa"/>
            <w:vAlign w:val="center"/>
          </w:tcPr>
          <w:p w:rsidR="001548F9" w:rsidRPr="00926E81" w:rsidRDefault="001548F9" w:rsidP="009E1EA4">
            <w:pPr>
              <w:spacing w:before="29" w:line="288" w:lineRule="auto"/>
              <w:jc w:val="center"/>
              <w:rPr>
                <w:color w:val="000000"/>
                <w:sz w:val="24"/>
              </w:rPr>
            </w:pPr>
            <w:r w:rsidRPr="00926E81">
              <w:rPr>
                <w:color w:val="000000"/>
                <w:sz w:val="24"/>
              </w:rPr>
              <w:t>股票代码</w:t>
            </w:r>
          </w:p>
        </w:tc>
        <w:tc>
          <w:tcPr>
            <w:tcW w:w="1980" w:type="dxa"/>
            <w:vAlign w:val="center"/>
          </w:tcPr>
          <w:p w:rsidR="001548F9" w:rsidRPr="00926E81" w:rsidRDefault="001548F9" w:rsidP="009E1EA4">
            <w:pPr>
              <w:spacing w:before="29" w:line="288" w:lineRule="auto"/>
              <w:jc w:val="center"/>
              <w:rPr>
                <w:color w:val="000000"/>
                <w:sz w:val="24"/>
              </w:rPr>
            </w:pPr>
            <w:r w:rsidRPr="00926E81">
              <w:rPr>
                <w:color w:val="000000"/>
                <w:sz w:val="24"/>
              </w:rPr>
              <w:t>股票名称</w:t>
            </w:r>
          </w:p>
        </w:tc>
        <w:tc>
          <w:tcPr>
            <w:tcW w:w="2880" w:type="dxa"/>
            <w:vAlign w:val="center"/>
          </w:tcPr>
          <w:p w:rsidR="001548F9" w:rsidRPr="00926E81" w:rsidRDefault="001548F9" w:rsidP="009E1EA4">
            <w:pPr>
              <w:spacing w:before="29" w:line="288" w:lineRule="auto"/>
              <w:jc w:val="center"/>
              <w:rPr>
                <w:color w:val="000000"/>
                <w:sz w:val="24"/>
              </w:rPr>
            </w:pPr>
            <w:r w:rsidRPr="00926E81">
              <w:rPr>
                <w:color w:val="000000"/>
                <w:sz w:val="24"/>
              </w:rPr>
              <w:t>本期累计卖出金额</w:t>
            </w:r>
          </w:p>
        </w:tc>
        <w:tc>
          <w:tcPr>
            <w:tcW w:w="1620" w:type="dxa"/>
            <w:vAlign w:val="center"/>
          </w:tcPr>
          <w:p w:rsidR="001548F9" w:rsidRPr="00926E81" w:rsidRDefault="001548F9" w:rsidP="009E1EA4">
            <w:pPr>
              <w:spacing w:before="29" w:line="288" w:lineRule="auto"/>
              <w:jc w:val="center"/>
              <w:rPr>
                <w:color w:val="000000"/>
                <w:sz w:val="24"/>
              </w:rPr>
            </w:pPr>
            <w:r w:rsidRPr="00926E81">
              <w:rPr>
                <w:color w:val="000000"/>
                <w:sz w:val="24"/>
              </w:rPr>
              <w:t>占期</w:t>
            </w:r>
            <w:proofErr w:type="gramStart"/>
            <w:r w:rsidRPr="00926E81">
              <w:rPr>
                <w:color w:val="000000"/>
                <w:sz w:val="24"/>
              </w:rPr>
              <w:t>初基金</w:t>
            </w:r>
            <w:proofErr w:type="gramEnd"/>
            <w:r w:rsidRPr="00926E81">
              <w:rPr>
                <w:color w:val="000000"/>
                <w:sz w:val="24"/>
              </w:rPr>
              <w:t>资产净值比例（％）</w:t>
            </w:r>
          </w:p>
        </w:tc>
      </w:tr>
      <w:tr w:rsidR="00C75F3A" w:rsidRPr="00926E81">
        <w:tc>
          <w:tcPr>
            <w:tcW w:w="869" w:type="dxa"/>
            <w:vAlign w:val="center"/>
          </w:tcPr>
          <w:p w:rsidR="00C75F3A" w:rsidRPr="00926E81" w:rsidRDefault="00BB5F12">
            <w:pPr>
              <w:jc w:val="center"/>
              <w:rPr>
                <w:sz w:val="24"/>
              </w:rPr>
            </w:pPr>
            <w:r w:rsidRPr="00926E81">
              <w:rPr>
                <w:sz w:val="24"/>
              </w:rPr>
              <w:t>1</w:t>
            </w:r>
          </w:p>
        </w:tc>
        <w:tc>
          <w:tcPr>
            <w:tcW w:w="1650" w:type="dxa"/>
            <w:vAlign w:val="center"/>
          </w:tcPr>
          <w:p w:rsidR="00C75F3A" w:rsidRPr="00926E81" w:rsidRDefault="00BB5F12">
            <w:pPr>
              <w:jc w:val="center"/>
              <w:rPr>
                <w:sz w:val="24"/>
              </w:rPr>
            </w:pPr>
            <w:r w:rsidRPr="00926E81">
              <w:rPr>
                <w:sz w:val="24"/>
              </w:rPr>
              <w:t>601398</w:t>
            </w:r>
          </w:p>
        </w:tc>
        <w:tc>
          <w:tcPr>
            <w:tcW w:w="1980" w:type="dxa"/>
            <w:vAlign w:val="center"/>
          </w:tcPr>
          <w:p w:rsidR="00C75F3A" w:rsidRPr="00926E81" w:rsidRDefault="00BB5F12">
            <w:pPr>
              <w:jc w:val="center"/>
              <w:rPr>
                <w:sz w:val="24"/>
              </w:rPr>
            </w:pPr>
            <w:r w:rsidRPr="00926E81">
              <w:rPr>
                <w:sz w:val="24"/>
              </w:rPr>
              <w:t>工商银行</w:t>
            </w:r>
          </w:p>
        </w:tc>
        <w:tc>
          <w:tcPr>
            <w:tcW w:w="2879" w:type="dxa"/>
            <w:vAlign w:val="center"/>
          </w:tcPr>
          <w:p w:rsidR="00C75F3A" w:rsidRPr="00926E81" w:rsidRDefault="00BB5F12">
            <w:pPr>
              <w:jc w:val="right"/>
              <w:rPr>
                <w:sz w:val="24"/>
              </w:rPr>
            </w:pPr>
            <w:r w:rsidRPr="00926E81">
              <w:rPr>
                <w:sz w:val="24"/>
              </w:rPr>
              <w:t>8,118,626.00</w:t>
            </w:r>
          </w:p>
        </w:tc>
        <w:tc>
          <w:tcPr>
            <w:tcW w:w="1620" w:type="dxa"/>
            <w:vAlign w:val="center"/>
          </w:tcPr>
          <w:p w:rsidR="00C75F3A" w:rsidRPr="00926E81" w:rsidRDefault="00BB5F12">
            <w:pPr>
              <w:jc w:val="right"/>
              <w:rPr>
                <w:sz w:val="24"/>
              </w:rPr>
            </w:pPr>
            <w:r w:rsidRPr="00926E81">
              <w:rPr>
                <w:sz w:val="24"/>
              </w:rPr>
              <w:t>1.64</w:t>
            </w:r>
          </w:p>
        </w:tc>
      </w:tr>
      <w:tr w:rsidR="00C75F3A" w:rsidRPr="00926E81">
        <w:tc>
          <w:tcPr>
            <w:tcW w:w="869" w:type="dxa"/>
            <w:vAlign w:val="center"/>
          </w:tcPr>
          <w:p w:rsidR="00C75F3A" w:rsidRPr="00926E81" w:rsidRDefault="00BB5F12">
            <w:pPr>
              <w:jc w:val="center"/>
              <w:rPr>
                <w:sz w:val="24"/>
              </w:rPr>
            </w:pPr>
            <w:r w:rsidRPr="00926E81">
              <w:rPr>
                <w:sz w:val="24"/>
              </w:rPr>
              <w:t>2</w:t>
            </w:r>
          </w:p>
        </w:tc>
        <w:tc>
          <w:tcPr>
            <w:tcW w:w="1650" w:type="dxa"/>
            <w:vAlign w:val="center"/>
          </w:tcPr>
          <w:p w:rsidR="00C75F3A" w:rsidRPr="00926E81" w:rsidRDefault="00BB5F12">
            <w:pPr>
              <w:jc w:val="center"/>
              <w:rPr>
                <w:sz w:val="24"/>
              </w:rPr>
            </w:pPr>
            <w:r w:rsidRPr="00926E81">
              <w:rPr>
                <w:sz w:val="24"/>
              </w:rPr>
              <w:t>600519</w:t>
            </w:r>
          </w:p>
        </w:tc>
        <w:tc>
          <w:tcPr>
            <w:tcW w:w="1980" w:type="dxa"/>
            <w:vAlign w:val="center"/>
          </w:tcPr>
          <w:p w:rsidR="00C75F3A" w:rsidRPr="00926E81" w:rsidRDefault="00BB5F12">
            <w:pPr>
              <w:jc w:val="center"/>
              <w:rPr>
                <w:sz w:val="24"/>
              </w:rPr>
            </w:pPr>
            <w:r w:rsidRPr="00926E81">
              <w:rPr>
                <w:sz w:val="24"/>
              </w:rPr>
              <w:t>贵州茅台</w:t>
            </w:r>
          </w:p>
        </w:tc>
        <w:tc>
          <w:tcPr>
            <w:tcW w:w="2879" w:type="dxa"/>
            <w:vAlign w:val="center"/>
          </w:tcPr>
          <w:p w:rsidR="00C75F3A" w:rsidRPr="00926E81" w:rsidRDefault="00BB5F12">
            <w:pPr>
              <w:jc w:val="right"/>
              <w:rPr>
                <w:sz w:val="24"/>
              </w:rPr>
            </w:pPr>
            <w:r w:rsidRPr="00926E81">
              <w:rPr>
                <w:sz w:val="24"/>
              </w:rPr>
              <w:t>5,875,089.23</w:t>
            </w:r>
          </w:p>
        </w:tc>
        <w:tc>
          <w:tcPr>
            <w:tcW w:w="1620" w:type="dxa"/>
            <w:vAlign w:val="center"/>
          </w:tcPr>
          <w:p w:rsidR="00C75F3A" w:rsidRPr="00926E81" w:rsidRDefault="00BB5F12">
            <w:pPr>
              <w:jc w:val="right"/>
              <w:rPr>
                <w:sz w:val="24"/>
              </w:rPr>
            </w:pPr>
            <w:r w:rsidRPr="00926E81">
              <w:rPr>
                <w:sz w:val="24"/>
              </w:rPr>
              <w:t>1.19</w:t>
            </w:r>
          </w:p>
        </w:tc>
      </w:tr>
      <w:tr w:rsidR="00C75F3A" w:rsidRPr="00926E81">
        <w:tc>
          <w:tcPr>
            <w:tcW w:w="869" w:type="dxa"/>
            <w:vAlign w:val="center"/>
          </w:tcPr>
          <w:p w:rsidR="00C75F3A" w:rsidRPr="00926E81" w:rsidRDefault="00BB5F12">
            <w:pPr>
              <w:jc w:val="center"/>
              <w:rPr>
                <w:sz w:val="24"/>
              </w:rPr>
            </w:pPr>
            <w:r w:rsidRPr="00926E81">
              <w:rPr>
                <w:sz w:val="24"/>
              </w:rPr>
              <w:t>3</w:t>
            </w:r>
          </w:p>
        </w:tc>
        <w:tc>
          <w:tcPr>
            <w:tcW w:w="1650" w:type="dxa"/>
            <w:vAlign w:val="center"/>
          </w:tcPr>
          <w:p w:rsidR="00C75F3A" w:rsidRPr="00926E81" w:rsidRDefault="00BB5F12">
            <w:pPr>
              <w:jc w:val="center"/>
              <w:rPr>
                <w:sz w:val="24"/>
              </w:rPr>
            </w:pPr>
            <w:r w:rsidRPr="00926E81">
              <w:rPr>
                <w:sz w:val="24"/>
              </w:rPr>
              <w:t>601318</w:t>
            </w:r>
          </w:p>
        </w:tc>
        <w:tc>
          <w:tcPr>
            <w:tcW w:w="1980" w:type="dxa"/>
            <w:vAlign w:val="center"/>
          </w:tcPr>
          <w:p w:rsidR="00C75F3A" w:rsidRPr="00926E81" w:rsidRDefault="00BB5F12">
            <w:pPr>
              <w:jc w:val="center"/>
              <w:rPr>
                <w:sz w:val="24"/>
              </w:rPr>
            </w:pPr>
            <w:r w:rsidRPr="00926E81">
              <w:rPr>
                <w:sz w:val="24"/>
              </w:rPr>
              <w:t>中国平安</w:t>
            </w:r>
          </w:p>
        </w:tc>
        <w:tc>
          <w:tcPr>
            <w:tcW w:w="2879" w:type="dxa"/>
            <w:vAlign w:val="center"/>
          </w:tcPr>
          <w:p w:rsidR="00C75F3A" w:rsidRPr="00926E81" w:rsidRDefault="00BB5F12">
            <w:pPr>
              <w:jc w:val="right"/>
              <w:rPr>
                <w:sz w:val="24"/>
              </w:rPr>
            </w:pPr>
            <w:r w:rsidRPr="00926E81">
              <w:rPr>
                <w:sz w:val="24"/>
              </w:rPr>
              <w:t>4,472,529.00</w:t>
            </w:r>
          </w:p>
        </w:tc>
        <w:tc>
          <w:tcPr>
            <w:tcW w:w="1620" w:type="dxa"/>
            <w:vAlign w:val="center"/>
          </w:tcPr>
          <w:p w:rsidR="00C75F3A" w:rsidRPr="00926E81" w:rsidRDefault="00BB5F12">
            <w:pPr>
              <w:jc w:val="right"/>
              <w:rPr>
                <w:sz w:val="24"/>
              </w:rPr>
            </w:pPr>
            <w:r w:rsidRPr="00926E81">
              <w:rPr>
                <w:sz w:val="24"/>
              </w:rPr>
              <w:t>0.90</w:t>
            </w:r>
          </w:p>
        </w:tc>
      </w:tr>
      <w:tr w:rsidR="00C75F3A" w:rsidRPr="00926E81">
        <w:tc>
          <w:tcPr>
            <w:tcW w:w="869" w:type="dxa"/>
            <w:vAlign w:val="center"/>
          </w:tcPr>
          <w:p w:rsidR="00C75F3A" w:rsidRPr="00926E81" w:rsidRDefault="00BB5F12">
            <w:pPr>
              <w:jc w:val="center"/>
              <w:rPr>
                <w:sz w:val="24"/>
              </w:rPr>
            </w:pPr>
            <w:r w:rsidRPr="00926E81">
              <w:rPr>
                <w:sz w:val="24"/>
              </w:rPr>
              <w:t>4</w:t>
            </w:r>
          </w:p>
        </w:tc>
        <w:tc>
          <w:tcPr>
            <w:tcW w:w="1650" w:type="dxa"/>
            <w:vAlign w:val="center"/>
          </w:tcPr>
          <w:p w:rsidR="00C75F3A" w:rsidRPr="00926E81" w:rsidRDefault="00BB5F12">
            <w:pPr>
              <w:jc w:val="center"/>
              <w:rPr>
                <w:sz w:val="24"/>
              </w:rPr>
            </w:pPr>
            <w:r w:rsidRPr="00926E81">
              <w:rPr>
                <w:sz w:val="24"/>
              </w:rPr>
              <w:t>601939</w:t>
            </w:r>
          </w:p>
        </w:tc>
        <w:tc>
          <w:tcPr>
            <w:tcW w:w="1980" w:type="dxa"/>
            <w:vAlign w:val="center"/>
          </w:tcPr>
          <w:p w:rsidR="00C75F3A" w:rsidRPr="00926E81" w:rsidRDefault="00BB5F12">
            <w:pPr>
              <w:jc w:val="center"/>
              <w:rPr>
                <w:sz w:val="24"/>
              </w:rPr>
            </w:pPr>
            <w:r w:rsidRPr="00926E81">
              <w:rPr>
                <w:sz w:val="24"/>
              </w:rPr>
              <w:t>建设银行</w:t>
            </w:r>
          </w:p>
        </w:tc>
        <w:tc>
          <w:tcPr>
            <w:tcW w:w="2879" w:type="dxa"/>
            <w:vAlign w:val="center"/>
          </w:tcPr>
          <w:p w:rsidR="00C75F3A" w:rsidRPr="00926E81" w:rsidRDefault="00BB5F12">
            <w:pPr>
              <w:jc w:val="right"/>
              <w:rPr>
                <w:sz w:val="24"/>
              </w:rPr>
            </w:pPr>
            <w:r w:rsidRPr="00926E81">
              <w:rPr>
                <w:sz w:val="24"/>
              </w:rPr>
              <w:t>3,742,050.00</w:t>
            </w:r>
          </w:p>
        </w:tc>
        <w:tc>
          <w:tcPr>
            <w:tcW w:w="1620" w:type="dxa"/>
            <w:vAlign w:val="center"/>
          </w:tcPr>
          <w:p w:rsidR="00C75F3A" w:rsidRPr="00926E81" w:rsidRDefault="00BB5F12">
            <w:pPr>
              <w:jc w:val="right"/>
              <w:rPr>
                <w:sz w:val="24"/>
              </w:rPr>
            </w:pPr>
            <w:r w:rsidRPr="00926E81">
              <w:rPr>
                <w:sz w:val="24"/>
              </w:rPr>
              <w:t>0.76</w:t>
            </w:r>
          </w:p>
        </w:tc>
      </w:tr>
      <w:tr w:rsidR="00C75F3A" w:rsidRPr="00926E81">
        <w:tc>
          <w:tcPr>
            <w:tcW w:w="869" w:type="dxa"/>
            <w:vAlign w:val="center"/>
          </w:tcPr>
          <w:p w:rsidR="00C75F3A" w:rsidRPr="00926E81" w:rsidRDefault="00BB5F12">
            <w:pPr>
              <w:jc w:val="center"/>
              <w:rPr>
                <w:sz w:val="24"/>
              </w:rPr>
            </w:pPr>
            <w:r w:rsidRPr="00926E81">
              <w:rPr>
                <w:sz w:val="24"/>
              </w:rPr>
              <w:t>5</w:t>
            </w:r>
          </w:p>
        </w:tc>
        <w:tc>
          <w:tcPr>
            <w:tcW w:w="1650" w:type="dxa"/>
            <w:vAlign w:val="center"/>
          </w:tcPr>
          <w:p w:rsidR="00C75F3A" w:rsidRPr="00926E81" w:rsidRDefault="00BB5F12">
            <w:pPr>
              <w:jc w:val="center"/>
              <w:rPr>
                <w:sz w:val="24"/>
              </w:rPr>
            </w:pPr>
            <w:r w:rsidRPr="00926E81">
              <w:rPr>
                <w:sz w:val="24"/>
              </w:rPr>
              <w:t>601088</w:t>
            </w:r>
          </w:p>
        </w:tc>
        <w:tc>
          <w:tcPr>
            <w:tcW w:w="1980" w:type="dxa"/>
            <w:vAlign w:val="center"/>
          </w:tcPr>
          <w:p w:rsidR="00C75F3A" w:rsidRPr="00926E81" w:rsidRDefault="00BB5F12">
            <w:pPr>
              <w:jc w:val="center"/>
              <w:rPr>
                <w:sz w:val="24"/>
              </w:rPr>
            </w:pPr>
            <w:r w:rsidRPr="00926E81">
              <w:rPr>
                <w:sz w:val="24"/>
              </w:rPr>
              <w:t>中国神华</w:t>
            </w:r>
          </w:p>
        </w:tc>
        <w:tc>
          <w:tcPr>
            <w:tcW w:w="2879" w:type="dxa"/>
            <w:vAlign w:val="center"/>
          </w:tcPr>
          <w:p w:rsidR="00C75F3A" w:rsidRPr="00926E81" w:rsidRDefault="00BB5F12">
            <w:pPr>
              <w:jc w:val="right"/>
              <w:rPr>
                <w:sz w:val="24"/>
              </w:rPr>
            </w:pPr>
            <w:r w:rsidRPr="00926E81">
              <w:rPr>
                <w:sz w:val="24"/>
              </w:rPr>
              <w:t>3,531,810.00</w:t>
            </w:r>
          </w:p>
        </w:tc>
        <w:tc>
          <w:tcPr>
            <w:tcW w:w="1620" w:type="dxa"/>
            <w:vAlign w:val="center"/>
          </w:tcPr>
          <w:p w:rsidR="00C75F3A" w:rsidRPr="00926E81" w:rsidRDefault="00BB5F12">
            <w:pPr>
              <w:jc w:val="right"/>
              <w:rPr>
                <w:sz w:val="24"/>
              </w:rPr>
            </w:pPr>
            <w:r w:rsidRPr="00926E81">
              <w:rPr>
                <w:sz w:val="24"/>
              </w:rPr>
              <w:t>0.71</w:t>
            </w:r>
          </w:p>
        </w:tc>
      </w:tr>
      <w:tr w:rsidR="00C75F3A" w:rsidRPr="00926E81">
        <w:tc>
          <w:tcPr>
            <w:tcW w:w="869" w:type="dxa"/>
            <w:vAlign w:val="center"/>
          </w:tcPr>
          <w:p w:rsidR="00C75F3A" w:rsidRPr="00926E81" w:rsidRDefault="00BB5F12">
            <w:pPr>
              <w:jc w:val="center"/>
              <w:rPr>
                <w:sz w:val="24"/>
              </w:rPr>
            </w:pPr>
            <w:r w:rsidRPr="00926E81">
              <w:rPr>
                <w:sz w:val="24"/>
              </w:rPr>
              <w:t>6</w:t>
            </w:r>
          </w:p>
        </w:tc>
        <w:tc>
          <w:tcPr>
            <w:tcW w:w="1650" w:type="dxa"/>
            <w:vAlign w:val="center"/>
          </w:tcPr>
          <w:p w:rsidR="00C75F3A" w:rsidRPr="00926E81" w:rsidRDefault="00BB5F12">
            <w:pPr>
              <w:jc w:val="center"/>
              <w:rPr>
                <w:sz w:val="24"/>
              </w:rPr>
            </w:pPr>
            <w:r w:rsidRPr="00926E81">
              <w:rPr>
                <w:sz w:val="24"/>
              </w:rPr>
              <w:t>600887</w:t>
            </w:r>
          </w:p>
        </w:tc>
        <w:tc>
          <w:tcPr>
            <w:tcW w:w="1980" w:type="dxa"/>
            <w:vAlign w:val="center"/>
          </w:tcPr>
          <w:p w:rsidR="00C75F3A" w:rsidRPr="00926E81" w:rsidRDefault="00BB5F12">
            <w:pPr>
              <w:jc w:val="center"/>
              <w:rPr>
                <w:sz w:val="24"/>
              </w:rPr>
            </w:pPr>
            <w:r w:rsidRPr="00926E81">
              <w:rPr>
                <w:sz w:val="24"/>
              </w:rPr>
              <w:t>伊利股份</w:t>
            </w:r>
          </w:p>
        </w:tc>
        <w:tc>
          <w:tcPr>
            <w:tcW w:w="2879" w:type="dxa"/>
            <w:vAlign w:val="center"/>
          </w:tcPr>
          <w:p w:rsidR="00C75F3A" w:rsidRPr="00926E81" w:rsidRDefault="00BB5F12">
            <w:pPr>
              <w:jc w:val="right"/>
              <w:rPr>
                <w:sz w:val="24"/>
              </w:rPr>
            </w:pPr>
            <w:r w:rsidRPr="00926E81">
              <w:rPr>
                <w:sz w:val="24"/>
              </w:rPr>
              <w:t>3,342,097.73</w:t>
            </w:r>
          </w:p>
        </w:tc>
        <w:tc>
          <w:tcPr>
            <w:tcW w:w="1620" w:type="dxa"/>
            <w:vAlign w:val="center"/>
          </w:tcPr>
          <w:p w:rsidR="00C75F3A" w:rsidRPr="00926E81" w:rsidRDefault="00BB5F12">
            <w:pPr>
              <w:jc w:val="right"/>
              <w:rPr>
                <w:sz w:val="24"/>
              </w:rPr>
            </w:pPr>
            <w:r w:rsidRPr="00926E81">
              <w:rPr>
                <w:sz w:val="24"/>
              </w:rPr>
              <w:t>0.67</w:t>
            </w:r>
          </w:p>
        </w:tc>
      </w:tr>
      <w:tr w:rsidR="00C75F3A" w:rsidRPr="00926E81">
        <w:tc>
          <w:tcPr>
            <w:tcW w:w="869" w:type="dxa"/>
            <w:vAlign w:val="center"/>
          </w:tcPr>
          <w:p w:rsidR="00C75F3A" w:rsidRPr="00926E81" w:rsidRDefault="00BB5F12">
            <w:pPr>
              <w:jc w:val="center"/>
              <w:rPr>
                <w:sz w:val="24"/>
              </w:rPr>
            </w:pPr>
            <w:r w:rsidRPr="00926E81">
              <w:rPr>
                <w:sz w:val="24"/>
              </w:rPr>
              <w:t>7</w:t>
            </w:r>
          </w:p>
        </w:tc>
        <w:tc>
          <w:tcPr>
            <w:tcW w:w="1650" w:type="dxa"/>
            <w:vAlign w:val="center"/>
          </w:tcPr>
          <w:p w:rsidR="00C75F3A" w:rsidRPr="00926E81" w:rsidRDefault="00BB5F12">
            <w:pPr>
              <w:jc w:val="center"/>
              <w:rPr>
                <w:sz w:val="24"/>
              </w:rPr>
            </w:pPr>
            <w:r w:rsidRPr="00926E81">
              <w:rPr>
                <w:sz w:val="24"/>
              </w:rPr>
              <w:t>000001</w:t>
            </w:r>
          </w:p>
        </w:tc>
        <w:tc>
          <w:tcPr>
            <w:tcW w:w="1980" w:type="dxa"/>
            <w:vAlign w:val="center"/>
          </w:tcPr>
          <w:p w:rsidR="00C75F3A" w:rsidRPr="00926E81" w:rsidRDefault="00BB5F12">
            <w:pPr>
              <w:jc w:val="center"/>
              <w:rPr>
                <w:sz w:val="24"/>
              </w:rPr>
            </w:pPr>
            <w:r w:rsidRPr="00926E81">
              <w:rPr>
                <w:sz w:val="24"/>
              </w:rPr>
              <w:t>平安银行</w:t>
            </w:r>
          </w:p>
        </w:tc>
        <w:tc>
          <w:tcPr>
            <w:tcW w:w="2879" w:type="dxa"/>
            <w:vAlign w:val="center"/>
          </w:tcPr>
          <w:p w:rsidR="00C75F3A" w:rsidRPr="00926E81" w:rsidRDefault="00BB5F12">
            <w:pPr>
              <w:jc w:val="right"/>
              <w:rPr>
                <w:sz w:val="24"/>
              </w:rPr>
            </w:pPr>
            <w:r w:rsidRPr="00926E81">
              <w:rPr>
                <w:sz w:val="24"/>
              </w:rPr>
              <w:t>2,998,360.00</w:t>
            </w:r>
          </w:p>
        </w:tc>
        <w:tc>
          <w:tcPr>
            <w:tcW w:w="1620" w:type="dxa"/>
            <w:vAlign w:val="center"/>
          </w:tcPr>
          <w:p w:rsidR="00C75F3A" w:rsidRPr="00926E81" w:rsidRDefault="00BB5F12">
            <w:pPr>
              <w:jc w:val="right"/>
              <w:rPr>
                <w:sz w:val="24"/>
              </w:rPr>
            </w:pPr>
            <w:r w:rsidRPr="00926E81">
              <w:rPr>
                <w:sz w:val="24"/>
              </w:rPr>
              <w:t>0.61</w:t>
            </w:r>
          </w:p>
        </w:tc>
      </w:tr>
      <w:tr w:rsidR="00C75F3A" w:rsidRPr="00926E81">
        <w:tc>
          <w:tcPr>
            <w:tcW w:w="869" w:type="dxa"/>
            <w:vAlign w:val="center"/>
          </w:tcPr>
          <w:p w:rsidR="00C75F3A" w:rsidRPr="00926E81" w:rsidRDefault="00BB5F12">
            <w:pPr>
              <w:jc w:val="center"/>
              <w:rPr>
                <w:sz w:val="24"/>
              </w:rPr>
            </w:pPr>
            <w:r w:rsidRPr="00926E81">
              <w:rPr>
                <w:sz w:val="24"/>
              </w:rPr>
              <w:t>8</w:t>
            </w:r>
          </w:p>
        </w:tc>
        <w:tc>
          <w:tcPr>
            <w:tcW w:w="1650" w:type="dxa"/>
            <w:vAlign w:val="center"/>
          </w:tcPr>
          <w:p w:rsidR="00C75F3A" w:rsidRPr="00926E81" w:rsidRDefault="00BB5F12">
            <w:pPr>
              <w:jc w:val="center"/>
              <w:rPr>
                <w:sz w:val="24"/>
              </w:rPr>
            </w:pPr>
            <w:r w:rsidRPr="00926E81">
              <w:rPr>
                <w:sz w:val="24"/>
              </w:rPr>
              <w:t>601668</w:t>
            </w:r>
          </w:p>
        </w:tc>
        <w:tc>
          <w:tcPr>
            <w:tcW w:w="1980" w:type="dxa"/>
            <w:vAlign w:val="center"/>
          </w:tcPr>
          <w:p w:rsidR="00C75F3A" w:rsidRPr="00926E81" w:rsidRDefault="00BB5F12">
            <w:pPr>
              <w:jc w:val="center"/>
              <w:rPr>
                <w:sz w:val="24"/>
              </w:rPr>
            </w:pPr>
            <w:r w:rsidRPr="00926E81">
              <w:rPr>
                <w:sz w:val="24"/>
              </w:rPr>
              <w:t>中国建筑</w:t>
            </w:r>
          </w:p>
        </w:tc>
        <w:tc>
          <w:tcPr>
            <w:tcW w:w="2879" w:type="dxa"/>
            <w:vAlign w:val="center"/>
          </w:tcPr>
          <w:p w:rsidR="00C75F3A" w:rsidRPr="00926E81" w:rsidRDefault="00BB5F12">
            <w:pPr>
              <w:jc w:val="right"/>
              <w:rPr>
                <w:sz w:val="24"/>
              </w:rPr>
            </w:pPr>
            <w:r w:rsidRPr="00926E81">
              <w:rPr>
                <w:sz w:val="24"/>
              </w:rPr>
              <w:t>2,778,094.00</w:t>
            </w:r>
          </w:p>
        </w:tc>
        <w:tc>
          <w:tcPr>
            <w:tcW w:w="1620" w:type="dxa"/>
            <w:vAlign w:val="center"/>
          </w:tcPr>
          <w:p w:rsidR="00C75F3A" w:rsidRPr="00926E81" w:rsidRDefault="00BB5F12">
            <w:pPr>
              <w:jc w:val="right"/>
              <w:rPr>
                <w:sz w:val="24"/>
              </w:rPr>
            </w:pPr>
            <w:r w:rsidRPr="00926E81">
              <w:rPr>
                <w:sz w:val="24"/>
              </w:rPr>
              <w:t>0.56</w:t>
            </w:r>
          </w:p>
        </w:tc>
      </w:tr>
      <w:tr w:rsidR="00C75F3A" w:rsidRPr="00926E81">
        <w:tc>
          <w:tcPr>
            <w:tcW w:w="869" w:type="dxa"/>
            <w:vAlign w:val="center"/>
          </w:tcPr>
          <w:p w:rsidR="00C75F3A" w:rsidRPr="00926E81" w:rsidRDefault="00BB5F12">
            <w:pPr>
              <w:jc w:val="center"/>
              <w:rPr>
                <w:sz w:val="24"/>
              </w:rPr>
            </w:pPr>
            <w:r w:rsidRPr="00926E81">
              <w:rPr>
                <w:sz w:val="24"/>
              </w:rPr>
              <w:t>9</w:t>
            </w:r>
          </w:p>
        </w:tc>
        <w:tc>
          <w:tcPr>
            <w:tcW w:w="1650" w:type="dxa"/>
            <w:vAlign w:val="center"/>
          </w:tcPr>
          <w:p w:rsidR="00C75F3A" w:rsidRPr="00926E81" w:rsidRDefault="00BB5F12">
            <w:pPr>
              <w:jc w:val="center"/>
              <w:rPr>
                <w:sz w:val="24"/>
              </w:rPr>
            </w:pPr>
            <w:r w:rsidRPr="00926E81">
              <w:rPr>
                <w:sz w:val="24"/>
              </w:rPr>
              <w:t>601766</w:t>
            </w:r>
          </w:p>
        </w:tc>
        <w:tc>
          <w:tcPr>
            <w:tcW w:w="1980" w:type="dxa"/>
            <w:vAlign w:val="center"/>
          </w:tcPr>
          <w:p w:rsidR="00C75F3A" w:rsidRPr="00926E81" w:rsidRDefault="00BB5F12">
            <w:pPr>
              <w:jc w:val="center"/>
              <w:rPr>
                <w:sz w:val="24"/>
              </w:rPr>
            </w:pPr>
            <w:r w:rsidRPr="00926E81">
              <w:rPr>
                <w:sz w:val="24"/>
              </w:rPr>
              <w:t>中国中车</w:t>
            </w:r>
          </w:p>
        </w:tc>
        <w:tc>
          <w:tcPr>
            <w:tcW w:w="2879" w:type="dxa"/>
            <w:vAlign w:val="center"/>
          </w:tcPr>
          <w:p w:rsidR="00C75F3A" w:rsidRPr="00926E81" w:rsidRDefault="00BB5F12">
            <w:pPr>
              <w:jc w:val="right"/>
              <w:rPr>
                <w:sz w:val="24"/>
              </w:rPr>
            </w:pPr>
            <w:r w:rsidRPr="00926E81">
              <w:rPr>
                <w:sz w:val="24"/>
              </w:rPr>
              <w:t>2,727,690.00</w:t>
            </w:r>
          </w:p>
        </w:tc>
        <w:tc>
          <w:tcPr>
            <w:tcW w:w="1620" w:type="dxa"/>
            <w:vAlign w:val="center"/>
          </w:tcPr>
          <w:p w:rsidR="00C75F3A" w:rsidRPr="00926E81" w:rsidRDefault="00BB5F12">
            <w:pPr>
              <w:jc w:val="right"/>
              <w:rPr>
                <w:sz w:val="24"/>
              </w:rPr>
            </w:pPr>
            <w:r w:rsidRPr="00926E81">
              <w:rPr>
                <w:sz w:val="24"/>
              </w:rPr>
              <w:t>0.55</w:t>
            </w:r>
          </w:p>
        </w:tc>
      </w:tr>
      <w:tr w:rsidR="00C75F3A" w:rsidRPr="00926E81">
        <w:tc>
          <w:tcPr>
            <w:tcW w:w="869" w:type="dxa"/>
            <w:vAlign w:val="center"/>
          </w:tcPr>
          <w:p w:rsidR="00C75F3A" w:rsidRPr="00926E81" w:rsidRDefault="00BB5F12">
            <w:pPr>
              <w:jc w:val="center"/>
              <w:rPr>
                <w:sz w:val="24"/>
              </w:rPr>
            </w:pPr>
            <w:r w:rsidRPr="00926E81">
              <w:rPr>
                <w:sz w:val="24"/>
              </w:rPr>
              <w:t>10</w:t>
            </w:r>
          </w:p>
        </w:tc>
        <w:tc>
          <w:tcPr>
            <w:tcW w:w="1650" w:type="dxa"/>
            <w:vAlign w:val="center"/>
          </w:tcPr>
          <w:p w:rsidR="00C75F3A" w:rsidRPr="00926E81" w:rsidRDefault="00BB5F12">
            <w:pPr>
              <w:jc w:val="center"/>
              <w:rPr>
                <w:sz w:val="24"/>
              </w:rPr>
            </w:pPr>
            <w:r w:rsidRPr="00926E81">
              <w:rPr>
                <w:sz w:val="24"/>
              </w:rPr>
              <w:t>600276</w:t>
            </w:r>
          </w:p>
        </w:tc>
        <w:tc>
          <w:tcPr>
            <w:tcW w:w="1980" w:type="dxa"/>
            <w:vAlign w:val="center"/>
          </w:tcPr>
          <w:p w:rsidR="00C75F3A" w:rsidRPr="00926E81" w:rsidRDefault="00BB5F12">
            <w:pPr>
              <w:jc w:val="center"/>
              <w:rPr>
                <w:sz w:val="24"/>
              </w:rPr>
            </w:pPr>
            <w:r w:rsidRPr="00926E81">
              <w:rPr>
                <w:sz w:val="24"/>
              </w:rPr>
              <w:t>恒瑞医药</w:t>
            </w:r>
          </w:p>
        </w:tc>
        <w:tc>
          <w:tcPr>
            <w:tcW w:w="2879" w:type="dxa"/>
            <w:vAlign w:val="center"/>
          </w:tcPr>
          <w:p w:rsidR="00C75F3A" w:rsidRPr="00926E81" w:rsidRDefault="00BB5F12">
            <w:pPr>
              <w:jc w:val="right"/>
              <w:rPr>
                <w:sz w:val="24"/>
              </w:rPr>
            </w:pPr>
            <w:r w:rsidRPr="00926E81">
              <w:rPr>
                <w:sz w:val="24"/>
              </w:rPr>
              <w:t>2,651,614.40</w:t>
            </w:r>
          </w:p>
        </w:tc>
        <w:tc>
          <w:tcPr>
            <w:tcW w:w="1620" w:type="dxa"/>
            <w:vAlign w:val="center"/>
          </w:tcPr>
          <w:p w:rsidR="00C75F3A" w:rsidRPr="00926E81" w:rsidRDefault="00BB5F12">
            <w:pPr>
              <w:jc w:val="right"/>
              <w:rPr>
                <w:sz w:val="24"/>
              </w:rPr>
            </w:pPr>
            <w:r w:rsidRPr="00926E81">
              <w:rPr>
                <w:sz w:val="24"/>
              </w:rPr>
              <w:t>0.54</w:t>
            </w:r>
          </w:p>
        </w:tc>
      </w:tr>
      <w:tr w:rsidR="00C75F3A" w:rsidRPr="00926E81">
        <w:tc>
          <w:tcPr>
            <w:tcW w:w="869" w:type="dxa"/>
            <w:vAlign w:val="center"/>
          </w:tcPr>
          <w:p w:rsidR="00C75F3A" w:rsidRPr="00926E81" w:rsidRDefault="00BB5F12">
            <w:pPr>
              <w:jc w:val="center"/>
              <w:rPr>
                <w:sz w:val="24"/>
              </w:rPr>
            </w:pPr>
            <w:r w:rsidRPr="00926E81">
              <w:rPr>
                <w:sz w:val="24"/>
              </w:rPr>
              <w:t>11</w:t>
            </w:r>
          </w:p>
        </w:tc>
        <w:tc>
          <w:tcPr>
            <w:tcW w:w="1650" w:type="dxa"/>
            <w:vAlign w:val="center"/>
          </w:tcPr>
          <w:p w:rsidR="00C75F3A" w:rsidRPr="00926E81" w:rsidRDefault="00BB5F12">
            <w:pPr>
              <w:jc w:val="center"/>
              <w:rPr>
                <w:sz w:val="24"/>
              </w:rPr>
            </w:pPr>
            <w:r w:rsidRPr="00926E81">
              <w:rPr>
                <w:sz w:val="24"/>
              </w:rPr>
              <w:t>601186</w:t>
            </w:r>
          </w:p>
        </w:tc>
        <w:tc>
          <w:tcPr>
            <w:tcW w:w="1980" w:type="dxa"/>
            <w:vAlign w:val="center"/>
          </w:tcPr>
          <w:p w:rsidR="00C75F3A" w:rsidRPr="00926E81" w:rsidRDefault="00BB5F12">
            <w:pPr>
              <w:jc w:val="center"/>
              <w:rPr>
                <w:sz w:val="24"/>
              </w:rPr>
            </w:pPr>
            <w:r w:rsidRPr="00926E81">
              <w:rPr>
                <w:sz w:val="24"/>
              </w:rPr>
              <w:t>中国铁建</w:t>
            </w:r>
          </w:p>
        </w:tc>
        <w:tc>
          <w:tcPr>
            <w:tcW w:w="2879" w:type="dxa"/>
            <w:vAlign w:val="center"/>
          </w:tcPr>
          <w:p w:rsidR="00C75F3A" w:rsidRPr="00926E81" w:rsidRDefault="00BB5F12">
            <w:pPr>
              <w:jc w:val="right"/>
              <w:rPr>
                <w:sz w:val="24"/>
              </w:rPr>
            </w:pPr>
            <w:r w:rsidRPr="00926E81">
              <w:rPr>
                <w:sz w:val="24"/>
              </w:rPr>
              <w:t>2,258,202.00</w:t>
            </w:r>
          </w:p>
        </w:tc>
        <w:tc>
          <w:tcPr>
            <w:tcW w:w="1620" w:type="dxa"/>
            <w:vAlign w:val="center"/>
          </w:tcPr>
          <w:p w:rsidR="00C75F3A" w:rsidRPr="00926E81" w:rsidRDefault="00BB5F12">
            <w:pPr>
              <w:jc w:val="right"/>
              <w:rPr>
                <w:sz w:val="24"/>
              </w:rPr>
            </w:pPr>
            <w:r w:rsidRPr="00926E81">
              <w:rPr>
                <w:sz w:val="24"/>
              </w:rPr>
              <w:t>0.46</w:t>
            </w:r>
          </w:p>
        </w:tc>
      </w:tr>
      <w:tr w:rsidR="00C75F3A" w:rsidRPr="00926E81">
        <w:tc>
          <w:tcPr>
            <w:tcW w:w="869" w:type="dxa"/>
            <w:vAlign w:val="center"/>
          </w:tcPr>
          <w:p w:rsidR="00C75F3A" w:rsidRPr="00926E81" w:rsidRDefault="00BB5F12">
            <w:pPr>
              <w:jc w:val="center"/>
              <w:rPr>
                <w:sz w:val="24"/>
              </w:rPr>
            </w:pPr>
            <w:r w:rsidRPr="00926E81">
              <w:rPr>
                <w:sz w:val="24"/>
              </w:rPr>
              <w:t>12</w:t>
            </w:r>
          </w:p>
        </w:tc>
        <w:tc>
          <w:tcPr>
            <w:tcW w:w="1650" w:type="dxa"/>
            <w:vAlign w:val="center"/>
          </w:tcPr>
          <w:p w:rsidR="00C75F3A" w:rsidRPr="00926E81" w:rsidRDefault="00BB5F12">
            <w:pPr>
              <w:jc w:val="center"/>
              <w:rPr>
                <w:sz w:val="24"/>
              </w:rPr>
            </w:pPr>
            <w:r w:rsidRPr="00926E81">
              <w:rPr>
                <w:sz w:val="24"/>
              </w:rPr>
              <w:t>600028</w:t>
            </w:r>
          </w:p>
        </w:tc>
        <w:tc>
          <w:tcPr>
            <w:tcW w:w="1980" w:type="dxa"/>
            <w:vAlign w:val="center"/>
          </w:tcPr>
          <w:p w:rsidR="00C75F3A" w:rsidRPr="00926E81" w:rsidRDefault="00BB5F12">
            <w:pPr>
              <w:jc w:val="center"/>
              <w:rPr>
                <w:sz w:val="24"/>
              </w:rPr>
            </w:pPr>
            <w:r w:rsidRPr="00926E81">
              <w:rPr>
                <w:sz w:val="24"/>
              </w:rPr>
              <w:t>中国石化</w:t>
            </w:r>
          </w:p>
        </w:tc>
        <w:tc>
          <w:tcPr>
            <w:tcW w:w="2879" w:type="dxa"/>
            <w:vAlign w:val="center"/>
          </w:tcPr>
          <w:p w:rsidR="00C75F3A" w:rsidRPr="00926E81" w:rsidRDefault="00BB5F12">
            <w:pPr>
              <w:jc w:val="right"/>
              <w:rPr>
                <w:sz w:val="24"/>
              </w:rPr>
            </w:pPr>
            <w:r w:rsidRPr="00926E81">
              <w:rPr>
                <w:sz w:val="24"/>
              </w:rPr>
              <w:t>2,010,600.00</w:t>
            </w:r>
          </w:p>
        </w:tc>
        <w:tc>
          <w:tcPr>
            <w:tcW w:w="1620" w:type="dxa"/>
            <w:vAlign w:val="center"/>
          </w:tcPr>
          <w:p w:rsidR="00C75F3A" w:rsidRPr="00926E81" w:rsidRDefault="00BB5F12">
            <w:pPr>
              <w:jc w:val="right"/>
              <w:rPr>
                <w:sz w:val="24"/>
              </w:rPr>
            </w:pPr>
            <w:r w:rsidRPr="00926E81">
              <w:rPr>
                <w:sz w:val="24"/>
              </w:rPr>
              <w:t>0.41</w:t>
            </w:r>
          </w:p>
        </w:tc>
      </w:tr>
      <w:tr w:rsidR="00C75F3A" w:rsidRPr="00926E81">
        <w:tc>
          <w:tcPr>
            <w:tcW w:w="869" w:type="dxa"/>
            <w:vAlign w:val="center"/>
          </w:tcPr>
          <w:p w:rsidR="00C75F3A" w:rsidRPr="00926E81" w:rsidRDefault="00BB5F12">
            <w:pPr>
              <w:jc w:val="center"/>
              <w:rPr>
                <w:sz w:val="24"/>
              </w:rPr>
            </w:pPr>
            <w:r w:rsidRPr="00926E81">
              <w:rPr>
                <w:sz w:val="24"/>
              </w:rPr>
              <w:t>13</w:t>
            </w:r>
          </w:p>
        </w:tc>
        <w:tc>
          <w:tcPr>
            <w:tcW w:w="1650" w:type="dxa"/>
            <w:vAlign w:val="center"/>
          </w:tcPr>
          <w:p w:rsidR="00C75F3A" w:rsidRPr="00926E81" w:rsidRDefault="00BB5F12">
            <w:pPr>
              <w:jc w:val="center"/>
              <w:rPr>
                <w:sz w:val="24"/>
              </w:rPr>
            </w:pPr>
            <w:r w:rsidRPr="00926E81">
              <w:rPr>
                <w:sz w:val="24"/>
              </w:rPr>
              <w:t>600436</w:t>
            </w:r>
          </w:p>
        </w:tc>
        <w:tc>
          <w:tcPr>
            <w:tcW w:w="1980" w:type="dxa"/>
            <w:vAlign w:val="center"/>
          </w:tcPr>
          <w:p w:rsidR="00C75F3A" w:rsidRPr="00926E81" w:rsidRDefault="00BB5F12">
            <w:pPr>
              <w:jc w:val="center"/>
              <w:rPr>
                <w:sz w:val="24"/>
              </w:rPr>
            </w:pPr>
            <w:r w:rsidRPr="00926E81">
              <w:rPr>
                <w:sz w:val="24"/>
              </w:rPr>
              <w:t>片仔</w:t>
            </w:r>
            <w:proofErr w:type="gramStart"/>
            <w:r w:rsidRPr="00926E81">
              <w:rPr>
                <w:sz w:val="24"/>
              </w:rPr>
              <w:t>癀</w:t>
            </w:r>
            <w:proofErr w:type="gramEnd"/>
          </w:p>
        </w:tc>
        <w:tc>
          <w:tcPr>
            <w:tcW w:w="2879" w:type="dxa"/>
            <w:vAlign w:val="center"/>
          </w:tcPr>
          <w:p w:rsidR="00C75F3A" w:rsidRPr="00926E81" w:rsidRDefault="00BB5F12">
            <w:pPr>
              <w:jc w:val="right"/>
              <w:rPr>
                <w:sz w:val="24"/>
              </w:rPr>
            </w:pPr>
            <w:r w:rsidRPr="00926E81">
              <w:rPr>
                <w:sz w:val="24"/>
              </w:rPr>
              <w:t>1,627,317.00</w:t>
            </w:r>
          </w:p>
        </w:tc>
        <w:tc>
          <w:tcPr>
            <w:tcW w:w="1620" w:type="dxa"/>
            <w:vAlign w:val="center"/>
          </w:tcPr>
          <w:p w:rsidR="00C75F3A" w:rsidRPr="00926E81" w:rsidRDefault="00BB5F12">
            <w:pPr>
              <w:jc w:val="right"/>
              <w:rPr>
                <w:sz w:val="24"/>
              </w:rPr>
            </w:pPr>
            <w:r w:rsidRPr="00926E81">
              <w:rPr>
                <w:sz w:val="24"/>
              </w:rPr>
              <w:t>0.33</w:t>
            </w:r>
          </w:p>
        </w:tc>
      </w:tr>
      <w:tr w:rsidR="00C75F3A" w:rsidRPr="00926E81">
        <w:tc>
          <w:tcPr>
            <w:tcW w:w="869" w:type="dxa"/>
            <w:vAlign w:val="center"/>
          </w:tcPr>
          <w:p w:rsidR="00C75F3A" w:rsidRPr="00926E81" w:rsidRDefault="00BB5F12">
            <w:pPr>
              <w:jc w:val="center"/>
              <w:rPr>
                <w:sz w:val="24"/>
              </w:rPr>
            </w:pPr>
            <w:r w:rsidRPr="00926E81">
              <w:rPr>
                <w:sz w:val="24"/>
              </w:rPr>
              <w:t>14</w:t>
            </w:r>
          </w:p>
        </w:tc>
        <w:tc>
          <w:tcPr>
            <w:tcW w:w="1650" w:type="dxa"/>
            <w:vAlign w:val="center"/>
          </w:tcPr>
          <w:p w:rsidR="00C75F3A" w:rsidRPr="00926E81" w:rsidRDefault="00BB5F12">
            <w:pPr>
              <w:jc w:val="center"/>
              <w:rPr>
                <w:sz w:val="24"/>
              </w:rPr>
            </w:pPr>
            <w:r w:rsidRPr="00926E81">
              <w:rPr>
                <w:sz w:val="24"/>
              </w:rPr>
              <w:t>601877</w:t>
            </w:r>
          </w:p>
        </w:tc>
        <w:tc>
          <w:tcPr>
            <w:tcW w:w="1980" w:type="dxa"/>
            <w:vAlign w:val="center"/>
          </w:tcPr>
          <w:p w:rsidR="00C75F3A" w:rsidRPr="00926E81" w:rsidRDefault="00BB5F12">
            <w:pPr>
              <w:jc w:val="center"/>
              <w:rPr>
                <w:sz w:val="24"/>
              </w:rPr>
            </w:pPr>
            <w:r w:rsidRPr="00926E81">
              <w:rPr>
                <w:sz w:val="24"/>
              </w:rPr>
              <w:t>正泰电器</w:t>
            </w:r>
          </w:p>
        </w:tc>
        <w:tc>
          <w:tcPr>
            <w:tcW w:w="2879" w:type="dxa"/>
            <w:vAlign w:val="center"/>
          </w:tcPr>
          <w:p w:rsidR="00C75F3A" w:rsidRPr="00926E81" w:rsidRDefault="00BB5F12">
            <w:pPr>
              <w:jc w:val="right"/>
              <w:rPr>
                <w:sz w:val="24"/>
              </w:rPr>
            </w:pPr>
            <w:r w:rsidRPr="00926E81">
              <w:rPr>
                <w:sz w:val="24"/>
              </w:rPr>
              <w:t>1,586,262.75</w:t>
            </w:r>
          </w:p>
        </w:tc>
        <w:tc>
          <w:tcPr>
            <w:tcW w:w="1620" w:type="dxa"/>
            <w:vAlign w:val="center"/>
          </w:tcPr>
          <w:p w:rsidR="00C75F3A" w:rsidRPr="00926E81" w:rsidRDefault="00BB5F12">
            <w:pPr>
              <w:jc w:val="right"/>
              <w:rPr>
                <w:sz w:val="24"/>
              </w:rPr>
            </w:pPr>
            <w:r w:rsidRPr="00926E81">
              <w:rPr>
                <w:sz w:val="24"/>
              </w:rPr>
              <w:t>0.32</w:t>
            </w:r>
          </w:p>
        </w:tc>
      </w:tr>
      <w:tr w:rsidR="00C75F3A" w:rsidRPr="00926E81">
        <w:tc>
          <w:tcPr>
            <w:tcW w:w="869" w:type="dxa"/>
            <w:vAlign w:val="center"/>
          </w:tcPr>
          <w:p w:rsidR="00C75F3A" w:rsidRPr="00926E81" w:rsidRDefault="00BB5F12">
            <w:pPr>
              <w:jc w:val="center"/>
              <w:rPr>
                <w:sz w:val="24"/>
              </w:rPr>
            </w:pPr>
            <w:r w:rsidRPr="00926E81">
              <w:rPr>
                <w:sz w:val="24"/>
              </w:rPr>
              <w:t>15</w:t>
            </w:r>
          </w:p>
        </w:tc>
        <w:tc>
          <w:tcPr>
            <w:tcW w:w="1650" w:type="dxa"/>
            <w:vAlign w:val="center"/>
          </w:tcPr>
          <w:p w:rsidR="00C75F3A" w:rsidRPr="00926E81" w:rsidRDefault="00BB5F12">
            <w:pPr>
              <w:jc w:val="center"/>
              <w:rPr>
                <w:sz w:val="24"/>
              </w:rPr>
            </w:pPr>
            <w:r w:rsidRPr="00926E81">
              <w:rPr>
                <w:sz w:val="24"/>
              </w:rPr>
              <w:t>600690</w:t>
            </w:r>
          </w:p>
        </w:tc>
        <w:tc>
          <w:tcPr>
            <w:tcW w:w="1980" w:type="dxa"/>
            <w:vAlign w:val="center"/>
          </w:tcPr>
          <w:p w:rsidR="00C75F3A" w:rsidRPr="00926E81" w:rsidRDefault="00BB5F12">
            <w:pPr>
              <w:jc w:val="center"/>
              <w:rPr>
                <w:sz w:val="24"/>
              </w:rPr>
            </w:pPr>
            <w:r w:rsidRPr="00926E81">
              <w:rPr>
                <w:sz w:val="24"/>
              </w:rPr>
              <w:t>海尔智家</w:t>
            </w:r>
          </w:p>
        </w:tc>
        <w:tc>
          <w:tcPr>
            <w:tcW w:w="2879" w:type="dxa"/>
            <w:vAlign w:val="center"/>
          </w:tcPr>
          <w:p w:rsidR="00C75F3A" w:rsidRPr="00926E81" w:rsidRDefault="00BB5F12">
            <w:pPr>
              <w:jc w:val="right"/>
              <w:rPr>
                <w:sz w:val="24"/>
              </w:rPr>
            </w:pPr>
            <w:r w:rsidRPr="00926E81">
              <w:rPr>
                <w:sz w:val="24"/>
              </w:rPr>
              <w:t>1,205,450.00</w:t>
            </w:r>
          </w:p>
        </w:tc>
        <w:tc>
          <w:tcPr>
            <w:tcW w:w="1620" w:type="dxa"/>
            <w:vAlign w:val="center"/>
          </w:tcPr>
          <w:p w:rsidR="00C75F3A" w:rsidRPr="00926E81" w:rsidRDefault="00BB5F12">
            <w:pPr>
              <w:jc w:val="right"/>
              <w:rPr>
                <w:sz w:val="24"/>
              </w:rPr>
            </w:pPr>
            <w:r w:rsidRPr="00926E81">
              <w:rPr>
                <w:sz w:val="24"/>
              </w:rPr>
              <w:t>0.24</w:t>
            </w:r>
          </w:p>
        </w:tc>
      </w:tr>
      <w:tr w:rsidR="00C75F3A" w:rsidRPr="00926E81">
        <w:tc>
          <w:tcPr>
            <w:tcW w:w="869" w:type="dxa"/>
            <w:vAlign w:val="center"/>
          </w:tcPr>
          <w:p w:rsidR="00C75F3A" w:rsidRPr="00926E81" w:rsidRDefault="00BB5F12">
            <w:pPr>
              <w:jc w:val="center"/>
              <w:rPr>
                <w:sz w:val="24"/>
              </w:rPr>
            </w:pPr>
            <w:r w:rsidRPr="00926E81">
              <w:rPr>
                <w:sz w:val="24"/>
              </w:rPr>
              <w:t>16</w:t>
            </w:r>
          </w:p>
        </w:tc>
        <w:tc>
          <w:tcPr>
            <w:tcW w:w="1650" w:type="dxa"/>
            <w:vAlign w:val="center"/>
          </w:tcPr>
          <w:p w:rsidR="00C75F3A" w:rsidRPr="00926E81" w:rsidRDefault="00BB5F12">
            <w:pPr>
              <w:jc w:val="center"/>
              <w:rPr>
                <w:sz w:val="24"/>
              </w:rPr>
            </w:pPr>
            <w:r w:rsidRPr="00926E81">
              <w:rPr>
                <w:sz w:val="24"/>
              </w:rPr>
              <w:t>600048</w:t>
            </w:r>
          </w:p>
        </w:tc>
        <w:tc>
          <w:tcPr>
            <w:tcW w:w="1980" w:type="dxa"/>
            <w:vAlign w:val="center"/>
          </w:tcPr>
          <w:p w:rsidR="00C75F3A" w:rsidRPr="00926E81" w:rsidRDefault="00BB5F12">
            <w:pPr>
              <w:jc w:val="center"/>
              <w:rPr>
                <w:sz w:val="24"/>
              </w:rPr>
            </w:pPr>
            <w:r w:rsidRPr="00926E81">
              <w:rPr>
                <w:sz w:val="24"/>
              </w:rPr>
              <w:t>保利地产</w:t>
            </w:r>
          </w:p>
        </w:tc>
        <w:tc>
          <w:tcPr>
            <w:tcW w:w="2879" w:type="dxa"/>
            <w:vAlign w:val="center"/>
          </w:tcPr>
          <w:p w:rsidR="00C75F3A" w:rsidRPr="00926E81" w:rsidRDefault="00BB5F12">
            <w:pPr>
              <w:jc w:val="right"/>
              <w:rPr>
                <w:sz w:val="24"/>
              </w:rPr>
            </w:pPr>
            <w:r w:rsidRPr="00926E81">
              <w:rPr>
                <w:sz w:val="24"/>
              </w:rPr>
              <w:t>1,185,266.00</w:t>
            </w:r>
          </w:p>
        </w:tc>
        <w:tc>
          <w:tcPr>
            <w:tcW w:w="1620" w:type="dxa"/>
            <w:vAlign w:val="center"/>
          </w:tcPr>
          <w:p w:rsidR="00C75F3A" w:rsidRPr="00926E81" w:rsidRDefault="00BB5F12">
            <w:pPr>
              <w:jc w:val="right"/>
              <w:rPr>
                <w:sz w:val="24"/>
              </w:rPr>
            </w:pPr>
            <w:r w:rsidRPr="00926E81">
              <w:rPr>
                <w:sz w:val="24"/>
              </w:rPr>
              <w:t>0.24</w:t>
            </w:r>
          </w:p>
        </w:tc>
      </w:tr>
      <w:tr w:rsidR="00C75F3A" w:rsidRPr="00926E81">
        <w:tc>
          <w:tcPr>
            <w:tcW w:w="869" w:type="dxa"/>
            <w:vAlign w:val="center"/>
          </w:tcPr>
          <w:p w:rsidR="00C75F3A" w:rsidRPr="00926E81" w:rsidRDefault="00BB5F12">
            <w:pPr>
              <w:jc w:val="center"/>
              <w:rPr>
                <w:sz w:val="24"/>
              </w:rPr>
            </w:pPr>
            <w:r w:rsidRPr="00926E81">
              <w:rPr>
                <w:sz w:val="24"/>
              </w:rPr>
              <w:t>17</w:t>
            </w:r>
          </w:p>
        </w:tc>
        <w:tc>
          <w:tcPr>
            <w:tcW w:w="1650" w:type="dxa"/>
            <w:vAlign w:val="center"/>
          </w:tcPr>
          <w:p w:rsidR="00C75F3A" w:rsidRPr="00926E81" w:rsidRDefault="00BB5F12">
            <w:pPr>
              <w:jc w:val="center"/>
              <w:rPr>
                <w:sz w:val="24"/>
              </w:rPr>
            </w:pPr>
            <w:r w:rsidRPr="00926E81">
              <w:rPr>
                <w:sz w:val="24"/>
              </w:rPr>
              <w:t>600009</w:t>
            </w:r>
          </w:p>
        </w:tc>
        <w:tc>
          <w:tcPr>
            <w:tcW w:w="1980" w:type="dxa"/>
            <w:vAlign w:val="center"/>
          </w:tcPr>
          <w:p w:rsidR="00C75F3A" w:rsidRPr="00926E81" w:rsidRDefault="00BB5F12">
            <w:pPr>
              <w:jc w:val="center"/>
              <w:rPr>
                <w:sz w:val="24"/>
              </w:rPr>
            </w:pPr>
            <w:r w:rsidRPr="00926E81">
              <w:rPr>
                <w:sz w:val="24"/>
              </w:rPr>
              <w:t>上海机场</w:t>
            </w:r>
          </w:p>
        </w:tc>
        <w:tc>
          <w:tcPr>
            <w:tcW w:w="2879" w:type="dxa"/>
            <w:vAlign w:val="center"/>
          </w:tcPr>
          <w:p w:rsidR="00C75F3A" w:rsidRPr="00926E81" w:rsidRDefault="00BB5F12">
            <w:pPr>
              <w:jc w:val="right"/>
              <w:rPr>
                <w:sz w:val="24"/>
              </w:rPr>
            </w:pPr>
            <w:r w:rsidRPr="00926E81">
              <w:rPr>
                <w:sz w:val="24"/>
              </w:rPr>
              <w:t>995,768.00</w:t>
            </w:r>
          </w:p>
        </w:tc>
        <w:tc>
          <w:tcPr>
            <w:tcW w:w="1620" w:type="dxa"/>
            <w:vAlign w:val="center"/>
          </w:tcPr>
          <w:p w:rsidR="00C75F3A" w:rsidRPr="00926E81" w:rsidRDefault="00BB5F12">
            <w:pPr>
              <w:jc w:val="right"/>
              <w:rPr>
                <w:sz w:val="24"/>
              </w:rPr>
            </w:pPr>
            <w:r w:rsidRPr="00926E81">
              <w:rPr>
                <w:sz w:val="24"/>
              </w:rPr>
              <w:t>0.20</w:t>
            </w:r>
          </w:p>
        </w:tc>
      </w:tr>
      <w:tr w:rsidR="00C75F3A" w:rsidRPr="00926E81">
        <w:tc>
          <w:tcPr>
            <w:tcW w:w="869" w:type="dxa"/>
            <w:vAlign w:val="center"/>
          </w:tcPr>
          <w:p w:rsidR="00C75F3A" w:rsidRPr="00926E81" w:rsidRDefault="00BB5F12">
            <w:pPr>
              <w:jc w:val="center"/>
              <w:rPr>
                <w:sz w:val="24"/>
              </w:rPr>
            </w:pPr>
            <w:r w:rsidRPr="00926E81">
              <w:rPr>
                <w:sz w:val="24"/>
              </w:rPr>
              <w:t>18</w:t>
            </w:r>
          </w:p>
        </w:tc>
        <w:tc>
          <w:tcPr>
            <w:tcW w:w="1650" w:type="dxa"/>
            <w:vAlign w:val="center"/>
          </w:tcPr>
          <w:p w:rsidR="00C75F3A" w:rsidRPr="00926E81" w:rsidRDefault="00BB5F12">
            <w:pPr>
              <w:jc w:val="center"/>
              <w:rPr>
                <w:sz w:val="24"/>
              </w:rPr>
            </w:pPr>
            <w:r w:rsidRPr="00926E81">
              <w:rPr>
                <w:sz w:val="24"/>
              </w:rPr>
              <w:t>300146</w:t>
            </w:r>
          </w:p>
        </w:tc>
        <w:tc>
          <w:tcPr>
            <w:tcW w:w="1980" w:type="dxa"/>
            <w:vAlign w:val="center"/>
          </w:tcPr>
          <w:p w:rsidR="00C75F3A" w:rsidRPr="00926E81" w:rsidRDefault="00BB5F12">
            <w:pPr>
              <w:jc w:val="center"/>
              <w:rPr>
                <w:sz w:val="24"/>
              </w:rPr>
            </w:pPr>
            <w:r w:rsidRPr="00926E81">
              <w:rPr>
                <w:sz w:val="24"/>
              </w:rPr>
              <w:t>汤臣</w:t>
            </w:r>
            <w:proofErr w:type="gramStart"/>
            <w:r w:rsidRPr="00926E81">
              <w:rPr>
                <w:sz w:val="24"/>
              </w:rPr>
              <w:t>倍</w:t>
            </w:r>
            <w:proofErr w:type="gramEnd"/>
            <w:r w:rsidRPr="00926E81">
              <w:rPr>
                <w:sz w:val="24"/>
              </w:rPr>
              <w:t>健</w:t>
            </w:r>
          </w:p>
        </w:tc>
        <w:tc>
          <w:tcPr>
            <w:tcW w:w="2879" w:type="dxa"/>
            <w:vAlign w:val="center"/>
          </w:tcPr>
          <w:p w:rsidR="00C75F3A" w:rsidRPr="00926E81" w:rsidRDefault="00BB5F12">
            <w:pPr>
              <w:jc w:val="right"/>
              <w:rPr>
                <w:sz w:val="24"/>
              </w:rPr>
            </w:pPr>
            <w:r w:rsidRPr="00926E81">
              <w:rPr>
                <w:sz w:val="24"/>
              </w:rPr>
              <w:t>985,543.00</w:t>
            </w:r>
          </w:p>
        </w:tc>
        <w:tc>
          <w:tcPr>
            <w:tcW w:w="1620" w:type="dxa"/>
            <w:vAlign w:val="center"/>
          </w:tcPr>
          <w:p w:rsidR="00C75F3A" w:rsidRPr="00926E81" w:rsidRDefault="00BB5F12">
            <w:pPr>
              <w:jc w:val="right"/>
              <w:rPr>
                <w:sz w:val="24"/>
              </w:rPr>
            </w:pPr>
            <w:r w:rsidRPr="00926E81">
              <w:rPr>
                <w:sz w:val="24"/>
              </w:rPr>
              <w:t>0.20</w:t>
            </w:r>
          </w:p>
        </w:tc>
      </w:tr>
      <w:tr w:rsidR="00C75F3A" w:rsidRPr="00926E81">
        <w:tc>
          <w:tcPr>
            <w:tcW w:w="869" w:type="dxa"/>
            <w:vAlign w:val="center"/>
          </w:tcPr>
          <w:p w:rsidR="00C75F3A" w:rsidRPr="00926E81" w:rsidRDefault="00BB5F12">
            <w:pPr>
              <w:jc w:val="center"/>
              <w:rPr>
                <w:sz w:val="24"/>
              </w:rPr>
            </w:pPr>
            <w:r w:rsidRPr="00926E81">
              <w:rPr>
                <w:sz w:val="24"/>
              </w:rPr>
              <w:t>19</w:t>
            </w:r>
          </w:p>
        </w:tc>
        <w:tc>
          <w:tcPr>
            <w:tcW w:w="1650" w:type="dxa"/>
            <w:vAlign w:val="center"/>
          </w:tcPr>
          <w:p w:rsidR="00C75F3A" w:rsidRPr="00926E81" w:rsidRDefault="00BB5F12">
            <w:pPr>
              <w:jc w:val="center"/>
              <w:rPr>
                <w:sz w:val="24"/>
              </w:rPr>
            </w:pPr>
            <w:r w:rsidRPr="00926E81">
              <w:rPr>
                <w:sz w:val="24"/>
              </w:rPr>
              <w:t>601100</w:t>
            </w:r>
          </w:p>
        </w:tc>
        <w:tc>
          <w:tcPr>
            <w:tcW w:w="1980" w:type="dxa"/>
            <w:vAlign w:val="center"/>
          </w:tcPr>
          <w:p w:rsidR="00C75F3A" w:rsidRPr="00926E81" w:rsidRDefault="00BB5F12">
            <w:pPr>
              <w:jc w:val="center"/>
              <w:rPr>
                <w:sz w:val="24"/>
              </w:rPr>
            </w:pPr>
            <w:r w:rsidRPr="00926E81">
              <w:rPr>
                <w:sz w:val="24"/>
              </w:rPr>
              <w:t>恒立液压</w:t>
            </w:r>
          </w:p>
        </w:tc>
        <w:tc>
          <w:tcPr>
            <w:tcW w:w="2879" w:type="dxa"/>
            <w:vAlign w:val="center"/>
          </w:tcPr>
          <w:p w:rsidR="00C75F3A" w:rsidRPr="00926E81" w:rsidRDefault="00BB5F12">
            <w:pPr>
              <w:jc w:val="right"/>
              <w:rPr>
                <w:sz w:val="24"/>
              </w:rPr>
            </w:pPr>
            <w:r w:rsidRPr="00926E81">
              <w:rPr>
                <w:sz w:val="24"/>
              </w:rPr>
              <w:t>889,217.00</w:t>
            </w:r>
          </w:p>
        </w:tc>
        <w:tc>
          <w:tcPr>
            <w:tcW w:w="1620" w:type="dxa"/>
            <w:vAlign w:val="center"/>
          </w:tcPr>
          <w:p w:rsidR="00C75F3A" w:rsidRPr="00926E81" w:rsidRDefault="00BB5F12">
            <w:pPr>
              <w:jc w:val="right"/>
              <w:rPr>
                <w:sz w:val="24"/>
              </w:rPr>
            </w:pPr>
            <w:r w:rsidRPr="00926E81">
              <w:rPr>
                <w:sz w:val="24"/>
              </w:rPr>
              <w:t>0.18</w:t>
            </w:r>
          </w:p>
        </w:tc>
      </w:tr>
      <w:tr w:rsidR="00C75F3A" w:rsidRPr="00926E81">
        <w:tc>
          <w:tcPr>
            <w:tcW w:w="869" w:type="dxa"/>
            <w:vAlign w:val="center"/>
          </w:tcPr>
          <w:p w:rsidR="00C75F3A" w:rsidRPr="00926E81" w:rsidRDefault="00BB5F12">
            <w:pPr>
              <w:jc w:val="center"/>
              <w:rPr>
                <w:sz w:val="24"/>
              </w:rPr>
            </w:pPr>
            <w:r w:rsidRPr="00926E81">
              <w:rPr>
                <w:sz w:val="24"/>
              </w:rPr>
              <w:t>20</w:t>
            </w:r>
          </w:p>
        </w:tc>
        <w:tc>
          <w:tcPr>
            <w:tcW w:w="1650" w:type="dxa"/>
            <w:vAlign w:val="center"/>
          </w:tcPr>
          <w:p w:rsidR="00C75F3A" w:rsidRPr="00926E81" w:rsidRDefault="00BB5F12">
            <w:pPr>
              <w:jc w:val="center"/>
              <w:rPr>
                <w:sz w:val="24"/>
              </w:rPr>
            </w:pPr>
            <w:r w:rsidRPr="00926E81">
              <w:rPr>
                <w:sz w:val="24"/>
              </w:rPr>
              <w:t>002044</w:t>
            </w:r>
          </w:p>
        </w:tc>
        <w:tc>
          <w:tcPr>
            <w:tcW w:w="1980" w:type="dxa"/>
            <w:vAlign w:val="center"/>
          </w:tcPr>
          <w:p w:rsidR="00C75F3A" w:rsidRPr="00926E81" w:rsidRDefault="00BB5F12">
            <w:pPr>
              <w:jc w:val="center"/>
              <w:rPr>
                <w:sz w:val="24"/>
              </w:rPr>
            </w:pPr>
            <w:r w:rsidRPr="00926E81">
              <w:rPr>
                <w:sz w:val="24"/>
              </w:rPr>
              <w:t>美</w:t>
            </w:r>
            <w:proofErr w:type="gramStart"/>
            <w:r w:rsidRPr="00926E81">
              <w:rPr>
                <w:sz w:val="24"/>
              </w:rPr>
              <w:t>年健康</w:t>
            </w:r>
            <w:proofErr w:type="gramEnd"/>
          </w:p>
        </w:tc>
        <w:tc>
          <w:tcPr>
            <w:tcW w:w="2879" w:type="dxa"/>
            <w:vAlign w:val="center"/>
          </w:tcPr>
          <w:p w:rsidR="00C75F3A" w:rsidRPr="00926E81" w:rsidRDefault="00BB5F12">
            <w:pPr>
              <w:jc w:val="right"/>
              <w:rPr>
                <w:sz w:val="24"/>
              </w:rPr>
            </w:pPr>
            <w:r w:rsidRPr="00926E81">
              <w:rPr>
                <w:sz w:val="24"/>
              </w:rPr>
              <w:t>832,159.80</w:t>
            </w:r>
          </w:p>
        </w:tc>
        <w:tc>
          <w:tcPr>
            <w:tcW w:w="1620" w:type="dxa"/>
            <w:vAlign w:val="center"/>
          </w:tcPr>
          <w:p w:rsidR="00C75F3A" w:rsidRPr="00926E81" w:rsidRDefault="00BB5F12">
            <w:pPr>
              <w:jc w:val="right"/>
              <w:rPr>
                <w:sz w:val="24"/>
              </w:rPr>
            </w:pPr>
            <w:r w:rsidRPr="00926E81">
              <w:rPr>
                <w:sz w:val="24"/>
              </w:rPr>
              <w:t>0.17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59,722,142.15</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56,409,129.25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28,397,028.00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6.05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28,397,028.00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6.05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191,939,000.00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40.89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20,058,000.00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4.27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161,523,000.00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34.41</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1,304,802.00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0.28</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403,221,830.00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85.90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C75F3A">
        <w:tc>
          <w:tcPr>
            <w:tcW w:w="1320" w:type="dxa"/>
            <w:vAlign w:val="center"/>
          </w:tcPr>
          <w:p w:rsidR="00C75F3A" w:rsidRDefault="00BB5F12">
            <w:pPr>
              <w:jc w:val="center"/>
            </w:pPr>
            <w:r>
              <w:rPr>
                <w:color w:val="000000"/>
                <w:sz w:val="24"/>
              </w:rPr>
              <w:t>1</w:t>
            </w:r>
          </w:p>
        </w:tc>
        <w:tc>
          <w:tcPr>
            <w:tcW w:w="1382" w:type="dxa"/>
            <w:vAlign w:val="center"/>
          </w:tcPr>
          <w:p w:rsidR="00C75F3A" w:rsidRDefault="00BB5F12">
            <w:pPr>
              <w:jc w:val="center"/>
            </w:pPr>
            <w:r>
              <w:rPr>
                <w:color w:val="000000"/>
                <w:sz w:val="24"/>
              </w:rPr>
              <w:t>108603</w:t>
            </w:r>
          </w:p>
        </w:tc>
        <w:tc>
          <w:tcPr>
            <w:tcW w:w="1353" w:type="dxa"/>
            <w:vAlign w:val="center"/>
          </w:tcPr>
          <w:p w:rsidR="00C75F3A" w:rsidRDefault="00BB5F12">
            <w:pPr>
              <w:jc w:val="center"/>
            </w:pPr>
            <w:r>
              <w:rPr>
                <w:color w:val="000000"/>
                <w:sz w:val="24"/>
              </w:rPr>
              <w:t>国开</w:t>
            </w:r>
            <w:r>
              <w:rPr>
                <w:color w:val="000000"/>
                <w:sz w:val="24"/>
              </w:rPr>
              <w:t>1804</w:t>
            </w:r>
          </w:p>
        </w:tc>
        <w:tc>
          <w:tcPr>
            <w:tcW w:w="1505" w:type="dxa"/>
            <w:vAlign w:val="center"/>
          </w:tcPr>
          <w:p w:rsidR="00C75F3A" w:rsidRDefault="00BB5F12">
            <w:pPr>
              <w:jc w:val="right"/>
            </w:pPr>
            <w:r>
              <w:rPr>
                <w:color w:val="000000"/>
                <w:sz w:val="24"/>
              </w:rPr>
              <w:t>283,800</w:t>
            </w:r>
          </w:p>
        </w:tc>
        <w:tc>
          <w:tcPr>
            <w:tcW w:w="1737" w:type="dxa"/>
            <w:vAlign w:val="center"/>
          </w:tcPr>
          <w:p w:rsidR="00C75F3A" w:rsidRDefault="00BB5F12">
            <w:pPr>
              <w:jc w:val="right"/>
            </w:pPr>
            <w:r>
              <w:rPr>
                <w:color w:val="000000"/>
                <w:sz w:val="24"/>
              </w:rPr>
              <w:t>28,397,028.00</w:t>
            </w:r>
          </w:p>
        </w:tc>
        <w:tc>
          <w:tcPr>
            <w:tcW w:w="1701" w:type="dxa"/>
            <w:vAlign w:val="center"/>
          </w:tcPr>
          <w:p w:rsidR="00C75F3A" w:rsidRDefault="00BB5F12">
            <w:pPr>
              <w:jc w:val="right"/>
            </w:pPr>
            <w:r>
              <w:rPr>
                <w:color w:val="000000"/>
                <w:sz w:val="24"/>
              </w:rPr>
              <w:t>6.05</w:t>
            </w:r>
          </w:p>
        </w:tc>
      </w:tr>
      <w:tr w:rsidR="00C75F3A">
        <w:tc>
          <w:tcPr>
            <w:tcW w:w="1320" w:type="dxa"/>
            <w:vAlign w:val="center"/>
          </w:tcPr>
          <w:p w:rsidR="00C75F3A" w:rsidRDefault="00BB5F12">
            <w:pPr>
              <w:jc w:val="center"/>
            </w:pPr>
            <w:r>
              <w:rPr>
                <w:color w:val="000000"/>
                <w:sz w:val="24"/>
              </w:rPr>
              <w:t>2</w:t>
            </w:r>
          </w:p>
        </w:tc>
        <w:tc>
          <w:tcPr>
            <w:tcW w:w="1382" w:type="dxa"/>
            <w:vAlign w:val="center"/>
          </w:tcPr>
          <w:p w:rsidR="00C75F3A" w:rsidRDefault="00BB5F12">
            <w:pPr>
              <w:jc w:val="center"/>
            </w:pPr>
            <w:r>
              <w:rPr>
                <w:color w:val="000000"/>
                <w:sz w:val="24"/>
              </w:rPr>
              <w:t>101800696</w:t>
            </w:r>
          </w:p>
        </w:tc>
        <w:tc>
          <w:tcPr>
            <w:tcW w:w="1353" w:type="dxa"/>
            <w:vAlign w:val="center"/>
          </w:tcPr>
          <w:p w:rsidR="00C75F3A" w:rsidRDefault="00BB5F12">
            <w:pPr>
              <w:jc w:val="center"/>
            </w:pPr>
            <w:r>
              <w:rPr>
                <w:color w:val="000000"/>
                <w:sz w:val="24"/>
              </w:rPr>
              <w:t>18</w:t>
            </w:r>
            <w:proofErr w:type="gramStart"/>
            <w:r>
              <w:rPr>
                <w:color w:val="000000"/>
                <w:sz w:val="24"/>
              </w:rPr>
              <w:t>闽投</w:t>
            </w:r>
            <w:proofErr w:type="gramEnd"/>
            <w:r>
              <w:rPr>
                <w:color w:val="000000"/>
                <w:sz w:val="24"/>
              </w:rPr>
              <w:t>MTN002</w:t>
            </w:r>
          </w:p>
        </w:tc>
        <w:tc>
          <w:tcPr>
            <w:tcW w:w="1505" w:type="dxa"/>
            <w:vAlign w:val="center"/>
          </w:tcPr>
          <w:p w:rsidR="00C75F3A" w:rsidRDefault="00BB5F12">
            <w:pPr>
              <w:jc w:val="right"/>
            </w:pPr>
            <w:r>
              <w:rPr>
                <w:color w:val="000000"/>
                <w:sz w:val="24"/>
              </w:rPr>
              <w:t>200,000</w:t>
            </w:r>
          </w:p>
        </w:tc>
        <w:tc>
          <w:tcPr>
            <w:tcW w:w="1737" w:type="dxa"/>
            <w:vAlign w:val="center"/>
          </w:tcPr>
          <w:p w:rsidR="00C75F3A" w:rsidRDefault="00BB5F12">
            <w:pPr>
              <w:jc w:val="right"/>
            </w:pPr>
            <w:r>
              <w:rPr>
                <w:color w:val="000000"/>
                <w:sz w:val="24"/>
              </w:rPr>
              <w:t>20,484,000.00</w:t>
            </w:r>
          </w:p>
        </w:tc>
        <w:tc>
          <w:tcPr>
            <w:tcW w:w="1701" w:type="dxa"/>
            <w:vAlign w:val="center"/>
          </w:tcPr>
          <w:p w:rsidR="00C75F3A" w:rsidRDefault="00BB5F12">
            <w:pPr>
              <w:jc w:val="right"/>
            </w:pPr>
            <w:r>
              <w:rPr>
                <w:color w:val="000000"/>
                <w:sz w:val="24"/>
              </w:rPr>
              <w:t>4.36</w:t>
            </w:r>
          </w:p>
        </w:tc>
      </w:tr>
      <w:tr w:rsidR="00C75F3A">
        <w:tc>
          <w:tcPr>
            <w:tcW w:w="1320" w:type="dxa"/>
            <w:vAlign w:val="center"/>
          </w:tcPr>
          <w:p w:rsidR="00C75F3A" w:rsidRDefault="00BB5F12">
            <w:pPr>
              <w:jc w:val="center"/>
            </w:pPr>
            <w:r>
              <w:rPr>
                <w:color w:val="000000"/>
                <w:sz w:val="24"/>
              </w:rPr>
              <w:t>3</w:t>
            </w:r>
          </w:p>
        </w:tc>
        <w:tc>
          <w:tcPr>
            <w:tcW w:w="1382" w:type="dxa"/>
            <w:vAlign w:val="center"/>
          </w:tcPr>
          <w:p w:rsidR="00C75F3A" w:rsidRDefault="00BB5F12">
            <w:pPr>
              <w:jc w:val="center"/>
            </w:pPr>
            <w:r>
              <w:rPr>
                <w:color w:val="000000"/>
                <w:sz w:val="24"/>
              </w:rPr>
              <w:t>143662</w:t>
            </w:r>
          </w:p>
        </w:tc>
        <w:tc>
          <w:tcPr>
            <w:tcW w:w="1353" w:type="dxa"/>
            <w:vAlign w:val="center"/>
          </w:tcPr>
          <w:p w:rsidR="00C75F3A" w:rsidRDefault="00BB5F12">
            <w:pPr>
              <w:jc w:val="center"/>
            </w:pPr>
            <w:r>
              <w:rPr>
                <w:color w:val="000000"/>
                <w:sz w:val="24"/>
              </w:rPr>
              <w:t>18</w:t>
            </w:r>
            <w:r>
              <w:rPr>
                <w:color w:val="000000"/>
                <w:sz w:val="24"/>
              </w:rPr>
              <w:t>国电</w:t>
            </w:r>
            <w:r>
              <w:rPr>
                <w:color w:val="000000"/>
                <w:sz w:val="24"/>
              </w:rPr>
              <w:t>02</w:t>
            </w:r>
          </w:p>
        </w:tc>
        <w:tc>
          <w:tcPr>
            <w:tcW w:w="1505" w:type="dxa"/>
            <w:vAlign w:val="center"/>
          </w:tcPr>
          <w:p w:rsidR="00C75F3A" w:rsidRDefault="00BB5F12">
            <w:pPr>
              <w:jc w:val="right"/>
            </w:pPr>
            <w:r>
              <w:rPr>
                <w:color w:val="000000"/>
                <w:sz w:val="24"/>
              </w:rPr>
              <w:t>200,000</w:t>
            </w:r>
          </w:p>
        </w:tc>
        <w:tc>
          <w:tcPr>
            <w:tcW w:w="1737" w:type="dxa"/>
            <w:vAlign w:val="center"/>
          </w:tcPr>
          <w:p w:rsidR="00C75F3A" w:rsidRDefault="00BB5F12">
            <w:pPr>
              <w:jc w:val="right"/>
            </w:pPr>
            <w:r>
              <w:rPr>
                <w:color w:val="000000"/>
                <w:sz w:val="24"/>
              </w:rPr>
              <w:t>20,462,000.00</w:t>
            </w:r>
          </w:p>
        </w:tc>
        <w:tc>
          <w:tcPr>
            <w:tcW w:w="1701" w:type="dxa"/>
            <w:vAlign w:val="center"/>
          </w:tcPr>
          <w:p w:rsidR="00C75F3A" w:rsidRDefault="00BB5F12">
            <w:pPr>
              <w:jc w:val="right"/>
            </w:pPr>
            <w:r>
              <w:rPr>
                <w:color w:val="000000"/>
                <w:sz w:val="24"/>
              </w:rPr>
              <w:t>4.36</w:t>
            </w:r>
          </w:p>
        </w:tc>
      </w:tr>
      <w:tr w:rsidR="00C75F3A">
        <w:tc>
          <w:tcPr>
            <w:tcW w:w="1320" w:type="dxa"/>
            <w:vAlign w:val="center"/>
          </w:tcPr>
          <w:p w:rsidR="00C75F3A" w:rsidRDefault="00BB5F12">
            <w:pPr>
              <w:jc w:val="center"/>
            </w:pPr>
            <w:r>
              <w:rPr>
                <w:color w:val="000000"/>
                <w:sz w:val="24"/>
              </w:rPr>
              <w:t>3</w:t>
            </w:r>
          </w:p>
        </w:tc>
        <w:tc>
          <w:tcPr>
            <w:tcW w:w="1382" w:type="dxa"/>
            <w:vAlign w:val="center"/>
          </w:tcPr>
          <w:p w:rsidR="00C75F3A" w:rsidRDefault="00BB5F12">
            <w:pPr>
              <w:jc w:val="center"/>
            </w:pPr>
            <w:r>
              <w:rPr>
                <w:color w:val="000000"/>
                <w:sz w:val="24"/>
              </w:rPr>
              <w:t>101800784</w:t>
            </w:r>
          </w:p>
        </w:tc>
        <w:tc>
          <w:tcPr>
            <w:tcW w:w="1353" w:type="dxa"/>
            <w:vAlign w:val="center"/>
          </w:tcPr>
          <w:p w:rsidR="00C75F3A" w:rsidRDefault="00BB5F12">
            <w:pPr>
              <w:jc w:val="center"/>
            </w:pPr>
            <w:r>
              <w:rPr>
                <w:color w:val="000000"/>
                <w:sz w:val="24"/>
              </w:rPr>
              <w:t>18</w:t>
            </w:r>
            <w:r>
              <w:rPr>
                <w:color w:val="000000"/>
                <w:sz w:val="24"/>
              </w:rPr>
              <w:t>光明</w:t>
            </w:r>
            <w:r>
              <w:rPr>
                <w:color w:val="000000"/>
                <w:sz w:val="24"/>
              </w:rPr>
              <w:t>MTN001</w:t>
            </w:r>
          </w:p>
        </w:tc>
        <w:tc>
          <w:tcPr>
            <w:tcW w:w="1505" w:type="dxa"/>
            <w:vAlign w:val="center"/>
          </w:tcPr>
          <w:p w:rsidR="00C75F3A" w:rsidRDefault="00BB5F12">
            <w:pPr>
              <w:jc w:val="right"/>
            </w:pPr>
            <w:r>
              <w:rPr>
                <w:color w:val="000000"/>
                <w:sz w:val="24"/>
              </w:rPr>
              <w:t>200,000</w:t>
            </w:r>
          </w:p>
        </w:tc>
        <w:tc>
          <w:tcPr>
            <w:tcW w:w="1737" w:type="dxa"/>
            <w:vAlign w:val="center"/>
          </w:tcPr>
          <w:p w:rsidR="00C75F3A" w:rsidRDefault="00BB5F12">
            <w:pPr>
              <w:jc w:val="right"/>
            </w:pPr>
            <w:r>
              <w:rPr>
                <w:color w:val="000000"/>
                <w:sz w:val="24"/>
              </w:rPr>
              <w:t>20,462,000.00</w:t>
            </w:r>
          </w:p>
        </w:tc>
        <w:tc>
          <w:tcPr>
            <w:tcW w:w="1701" w:type="dxa"/>
            <w:vAlign w:val="center"/>
          </w:tcPr>
          <w:p w:rsidR="00C75F3A" w:rsidRDefault="00BB5F12">
            <w:pPr>
              <w:jc w:val="right"/>
            </w:pPr>
            <w:r>
              <w:rPr>
                <w:color w:val="000000"/>
                <w:sz w:val="24"/>
              </w:rPr>
              <w:t>4.36</w:t>
            </w:r>
          </w:p>
        </w:tc>
      </w:tr>
      <w:tr w:rsidR="00C75F3A">
        <w:tc>
          <w:tcPr>
            <w:tcW w:w="1320" w:type="dxa"/>
            <w:vAlign w:val="center"/>
          </w:tcPr>
          <w:p w:rsidR="00C75F3A" w:rsidRDefault="00BB5F12">
            <w:pPr>
              <w:jc w:val="center"/>
            </w:pPr>
            <w:r>
              <w:rPr>
                <w:color w:val="000000"/>
                <w:sz w:val="24"/>
              </w:rPr>
              <w:t>5</w:t>
            </w:r>
          </w:p>
        </w:tc>
        <w:tc>
          <w:tcPr>
            <w:tcW w:w="1382" w:type="dxa"/>
            <w:vAlign w:val="center"/>
          </w:tcPr>
          <w:p w:rsidR="00C75F3A" w:rsidRDefault="00BB5F12">
            <w:pPr>
              <w:jc w:val="center"/>
            </w:pPr>
            <w:r>
              <w:rPr>
                <w:color w:val="000000"/>
                <w:sz w:val="24"/>
              </w:rPr>
              <w:t>143647</w:t>
            </w:r>
          </w:p>
        </w:tc>
        <w:tc>
          <w:tcPr>
            <w:tcW w:w="1353" w:type="dxa"/>
            <w:vAlign w:val="center"/>
          </w:tcPr>
          <w:p w:rsidR="00C75F3A" w:rsidRDefault="00BB5F12">
            <w:pPr>
              <w:jc w:val="center"/>
            </w:pPr>
            <w:r>
              <w:rPr>
                <w:color w:val="000000"/>
                <w:sz w:val="24"/>
              </w:rPr>
              <w:t>18</w:t>
            </w:r>
            <w:proofErr w:type="gramStart"/>
            <w:r>
              <w:rPr>
                <w:color w:val="000000"/>
                <w:sz w:val="24"/>
              </w:rPr>
              <w:t>电投</w:t>
            </w:r>
            <w:proofErr w:type="gramEnd"/>
            <w:r>
              <w:rPr>
                <w:color w:val="000000"/>
                <w:sz w:val="24"/>
              </w:rPr>
              <w:t>03</w:t>
            </w:r>
          </w:p>
        </w:tc>
        <w:tc>
          <w:tcPr>
            <w:tcW w:w="1505" w:type="dxa"/>
            <w:vAlign w:val="center"/>
          </w:tcPr>
          <w:p w:rsidR="00C75F3A" w:rsidRDefault="00BB5F12">
            <w:pPr>
              <w:jc w:val="right"/>
            </w:pPr>
            <w:r>
              <w:rPr>
                <w:color w:val="000000"/>
                <w:sz w:val="24"/>
              </w:rPr>
              <w:t>200,000</w:t>
            </w:r>
          </w:p>
        </w:tc>
        <w:tc>
          <w:tcPr>
            <w:tcW w:w="1737" w:type="dxa"/>
            <w:vAlign w:val="center"/>
          </w:tcPr>
          <w:p w:rsidR="00C75F3A" w:rsidRDefault="00BB5F12">
            <w:pPr>
              <w:jc w:val="right"/>
            </w:pPr>
            <w:r>
              <w:rPr>
                <w:color w:val="000000"/>
                <w:sz w:val="24"/>
              </w:rPr>
              <w:t>20,460,000.00</w:t>
            </w:r>
          </w:p>
        </w:tc>
        <w:tc>
          <w:tcPr>
            <w:tcW w:w="1701" w:type="dxa"/>
            <w:vAlign w:val="center"/>
          </w:tcPr>
          <w:p w:rsidR="00C75F3A" w:rsidRDefault="00BB5F12">
            <w:pPr>
              <w:jc w:val="right"/>
            </w:pPr>
            <w:r>
              <w:rPr>
                <w:color w:val="000000"/>
                <w:sz w:val="24"/>
              </w:rPr>
              <w:t>4.36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lastRenderedPageBreak/>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926E81" w:rsidRPr="008A1551" w:rsidRDefault="00926E81" w:rsidP="003F4AC3">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68,856.12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6,164,207.67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480,465.65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6,713,529.44</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8F3D66" w:rsidRPr="008A1551" w:rsidRDefault="008F3D66"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w:t>
      </w:r>
      <w:proofErr w:type="gramStart"/>
      <w:r w:rsidRPr="008A1551">
        <w:rPr>
          <w:kern w:val="0"/>
          <w:sz w:val="24"/>
        </w:rPr>
        <w:t>期末前</w:t>
      </w:r>
      <w:proofErr w:type="gramEnd"/>
      <w:r w:rsidRPr="008A1551">
        <w:rPr>
          <w:kern w:val="0"/>
          <w:sz w:val="24"/>
        </w:rPr>
        <w:t>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C75F3A" w:rsidRDefault="00BB5F12">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8A1551" w:rsidRDefault="001548F9" w:rsidP="009E1EA4">
      <w:pPr>
        <w:spacing w:before="29" w:line="288" w:lineRule="auto"/>
        <w:ind w:firstLineChars="200" w:firstLine="480"/>
        <w:rPr>
          <w:color w:val="000000"/>
          <w:sz w:val="24"/>
        </w:rPr>
      </w:pPr>
      <w:r w:rsidRPr="008A1551">
        <w:rPr>
          <w:color w:val="000000"/>
          <w:sz w:val="24"/>
        </w:rPr>
        <w:t>2</w:t>
      </w: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交银新回报灵活配置混合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12,984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26,915.91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294,201,461.10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84.18%</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55,274,698.44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15.82%</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交银新回报灵活配置混合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1,055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12,305.66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10,441,589.44</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80.43%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2,540,885.13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19.57%</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14,039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25,817.98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304,643,050.54</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84.05%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57,815,583.57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15.95%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交银新回报灵活配置混合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108,555.93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0.03%</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交银新回报灵活配置混合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46.69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108,602.62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0.03%</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w:t>
            </w:r>
            <w:r w:rsidRPr="008A1551">
              <w:rPr>
                <w:color w:val="000000"/>
                <w:sz w:val="24"/>
              </w:rPr>
              <w:lastRenderedPageBreak/>
              <w:t>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lastRenderedPageBreak/>
              <w:t>交银新回报灵活配置混合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交银新回报灵活配置混合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交银新回报灵活配置混合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5</w:t>
            </w:r>
            <w:r w:rsidRPr="008A1551">
              <w:rPr>
                <w:sz w:val="24"/>
              </w:rPr>
              <w:t>月</w:t>
            </w:r>
            <w:r w:rsidRPr="008A1551">
              <w:rPr>
                <w:sz w:val="24"/>
              </w:rPr>
              <w:t>15</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8,747,076,426.25</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415,041,442.81</w:t>
            </w:r>
          </w:p>
        </w:tc>
        <w:tc>
          <w:tcPr>
            <w:tcW w:w="1615" w:type="pct"/>
            <w:vAlign w:val="center"/>
          </w:tcPr>
          <w:p w:rsidR="001548F9" w:rsidRPr="008A1551" w:rsidRDefault="001548F9" w:rsidP="009E1EA4">
            <w:pPr>
              <w:spacing w:before="29" w:line="288" w:lineRule="auto"/>
              <w:jc w:val="right"/>
              <w:rPr>
                <w:sz w:val="24"/>
              </w:rPr>
            </w:pPr>
            <w:r w:rsidRPr="008A1551">
              <w:rPr>
                <w:sz w:val="24"/>
              </w:rPr>
              <w:t>4,691,094.07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152,658,535.26</w:t>
            </w:r>
          </w:p>
        </w:tc>
        <w:tc>
          <w:tcPr>
            <w:tcW w:w="1615" w:type="pct"/>
            <w:vAlign w:val="center"/>
          </w:tcPr>
          <w:p w:rsidR="001548F9" w:rsidRPr="008A1551" w:rsidRDefault="001548F9" w:rsidP="009E1EA4">
            <w:pPr>
              <w:spacing w:before="29" w:line="288" w:lineRule="auto"/>
              <w:jc w:val="right"/>
              <w:rPr>
                <w:sz w:val="24"/>
              </w:rPr>
            </w:pPr>
            <w:r w:rsidRPr="008A1551">
              <w:rPr>
                <w:sz w:val="24"/>
              </w:rPr>
              <w:t>12,600,749.34</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218,223,818.53</w:t>
            </w:r>
          </w:p>
        </w:tc>
        <w:tc>
          <w:tcPr>
            <w:tcW w:w="1615" w:type="pct"/>
            <w:vAlign w:val="center"/>
          </w:tcPr>
          <w:p w:rsidR="001548F9" w:rsidRPr="008A1551" w:rsidRDefault="001548F9" w:rsidP="009E1EA4">
            <w:pPr>
              <w:spacing w:before="29" w:line="288" w:lineRule="auto"/>
              <w:jc w:val="right"/>
              <w:rPr>
                <w:sz w:val="24"/>
              </w:rPr>
            </w:pPr>
            <w:r w:rsidRPr="008A1551">
              <w:rPr>
                <w:sz w:val="24"/>
              </w:rPr>
              <w:t>4,309,368.84</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349,476,159.54</w:t>
            </w:r>
          </w:p>
        </w:tc>
        <w:tc>
          <w:tcPr>
            <w:tcW w:w="1615" w:type="pct"/>
            <w:vAlign w:val="center"/>
          </w:tcPr>
          <w:p w:rsidR="001548F9" w:rsidRPr="008A1551" w:rsidRDefault="001548F9" w:rsidP="009E1EA4">
            <w:pPr>
              <w:spacing w:before="29" w:line="288" w:lineRule="auto"/>
              <w:jc w:val="right"/>
              <w:rPr>
                <w:sz w:val="24"/>
              </w:rPr>
            </w:pPr>
            <w:r w:rsidRPr="008A1551">
              <w:rPr>
                <w:sz w:val="24"/>
              </w:rPr>
              <w:t>12,982,474.57</w:t>
            </w:r>
          </w:p>
        </w:tc>
      </w:tr>
    </w:tbl>
    <w:p w:rsidR="00C75F3A" w:rsidRDefault="00BB5F1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w:t>
      </w: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990177"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C75F3A" w:rsidRDefault="00BB5F12">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、基金托管人的基金托管部门的重大人事变动：本报告期内，经中信银行股份有限公司董事会会议审议通过，聘任方合英先生为中信银行行长，任职资格于</w:t>
      </w:r>
      <w:r w:rsidRPr="00690ED2">
        <w:rPr>
          <w:kern w:val="0"/>
          <w:sz w:val="24"/>
        </w:rPr>
        <w:t>2019</w:t>
      </w:r>
      <w:r w:rsidRPr="00690ED2">
        <w:rPr>
          <w:kern w:val="0"/>
          <w:sz w:val="24"/>
        </w:rPr>
        <w:t>年</w:t>
      </w:r>
      <w:r w:rsidRPr="00690ED2">
        <w:rPr>
          <w:kern w:val="0"/>
          <w:sz w:val="24"/>
        </w:rPr>
        <w:t>3</w:t>
      </w:r>
      <w:r w:rsidRPr="00690ED2">
        <w:rPr>
          <w:kern w:val="0"/>
          <w:sz w:val="24"/>
        </w:rPr>
        <w:t>月</w:t>
      </w:r>
      <w:r w:rsidRPr="00690ED2">
        <w:rPr>
          <w:kern w:val="0"/>
          <w:sz w:val="24"/>
        </w:rPr>
        <w:t>29</w:t>
      </w:r>
      <w:r w:rsidRPr="00690ED2">
        <w:rPr>
          <w:kern w:val="0"/>
          <w:sz w:val="24"/>
        </w:rPr>
        <w:lastRenderedPageBreak/>
        <w:t>日获中国银行保险监督管理委员批复核准。孙德顺先生因年龄原因不再担任执行董事、行长等职务。根据工作需要，任命杨璋琪先生担任资产托管部副总经理，主持资产托管部相关工作。</w:t>
      </w:r>
    </w:p>
    <w:p w:rsidR="00990177" w:rsidRPr="00690ED2" w:rsidRDefault="00990177" w:rsidP="00990177">
      <w:pPr>
        <w:tabs>
          <w:tab w:val="left" w:pos="426"/>
        </w:tabs>
        <w:spacing w:before="29" w:line="288" w:lineRule="auto"/>
        <w:jc w:val="left"/>
        <w:rPr>
          <w:kern w:val="0"/>
          <w:sz w:val="24"/>
        </w:rPr>
      </w:pPr>
    </w:p>
    <w:p w:rsidR="00990177" w:rsidRPr="00690ED2" w:rsidRDefault="008F3D66" w:rsidP="00990177">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90177"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8F3D66" w:rsidP="00990177">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r w:rsidR="00990177"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90177" w:rsidRDefault="00990177" w:rsidP="00990177">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C75F3A" w:rsidRDefault="00BB5F1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75F3A" w:rsidRDefault="00BB5F12">
      <w:pPr>
        <w:tabs>
          <w:tab w:val="left" w:pos="426"/>
        </w:tabs>
        <w:spacing w:before="29" w:line="288" w:lineRule="auto"/>
        <w:jc w:val="left"/>
        <w:rPr>
          <w:kern w:val="0"/>
          <w:sz w:val="24"/>
        </w:rPr>
      </w:pPr>
      <w:r>
        <w:rPr>
          <w:kern w:val="0"/>
          <w:sz w:val="24"/>
        </w:rPr>
        <w:t>基金管理人及其高级管理人员本报告期内未受监管部门稽查或处罚。</w:t>
      </w:r>
    </w:p>
    <w:p w:rsidR="00C75F3A" w:rsidRDefault="00BB5F1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90177" w:rsidRPr="00690ED2" w:rsidRDefault="00990177" w:rsidP="00990177">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0"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C75F3A">
        <w:tc>
          <w:tcPr>
            <w:tcW w:w="1559" w:type="dxa"/>
            <w:vAlign w:val="center"/>
          </w:tcPr>
          <w:p w:rsidR="00C75F3A" w:rsidRDefault="00BB5F12">
            <w:pPr>
              <w:jc w:val="center"/>
            </w:pPr>
            <w:r>
              <w:rPr>
                <w:color w:val="000000"/>
                <w:sz w:val="24"/>
              </w:rPr>
              <w:t>国金证券股份有限公司</w:t>
            </w:r>
          </w:p>
        </w:tc>
        <w:tc>
          <w:tcPr>
            <w:tcW w:w="779" w:type="dxa"/>
            <w:vAlign w:val="center"/>
          </w:tcPr>
          <w:p w:rsidR="00C75F3A" w:rsidRDefault="00BB5F12">
            <w:pPr>
              <w:jc w:val="center"/>
            </w:pPr>
            <w:r>
              <w:rPr>
                <w:color w:val="000000"/>
                <w:sz w:val="24"/>
              </w:rPr>
              <w:t>2</w:t>
            </w:r>
          </w:p>
        </w:tc>
        <w:tc>
          <w:tcPr>
            <w:tcW w:w="1800" w:type="dxa"/>
            <w:vAlign w:val="center"/>
          </w:tcPr>
          <w:p w:rsidR="00C75F3A" w:rsidRDefault="00BB5F12">
            <w:pPr>
              <w:jc w:val="right"/>
            </w:pPr>
            <w:r>
              <w:rPr>
                <w:color w:val="000000"/>
                <w:sz w:val="24"/>
              </w:rPr>
              <w:t>804,407.90</w:t>
            </w:r>
          </w:p>
        </w:tc>
        <w:tc>
          <w:tcPr>
            <w:tcW w:w="1080" w:type="dxa"/>
            <w:vAlign w:val="center"/>
          </w:tcPr>
          <w:p w:rsidR="00C75F3A" w:rsidRDefault="00BB5F12">
            <w:pPr>
              <w:jc w:val="right"/>
            </w:pPr>
            <w:r>
              <w:rPr>
                <w:color w:val="000000"/>
                <w:sz w:val="24"/>
              </w:rPr>
              <w:t>0.70%</w:t>
            </w:r>
          </w:p>
        </w:tc>
        <w:tc>
          <w:tcPr>
            <w:tcW w:w="1620" w:type="dxa"/>
            <w:vAlign w:val="center"/>
          </w:tcPr>
          <w:p w:rsidR="00C75F3A" w:rsidRDefault="00BB5F12">
            <w:pPr>
              <w:jc w:val="right"/>
            </w:pPr>
            <w:r>
              <w:rPr>
                <w:color w:val="000000"/>
                <w:sz w:val="24"/>
              </w:rPr>
              <w:t>749.13</w:t>
            </w:r>
          </w:p>
        </w:tc>
        <w:tc>
          <w:tcPr>
            <w:tcW w:w="1080" w:type="dxa"/>
            <w:vAlign w:val="center"/>
          </w:tcPr>
          <w:p w:rsidR="00C75F3A" w:rsidRDefault="00BB5F12">
            <w:pPr>
              <w:jc w:val="right"/>
            </w:pPr>
            <w:r>
              <w:rPr>
                <w:color w:val="000000"/>
                <w:sz w:val="24"/>
              </w:rPr>
              <w:t>0.70%</w:t>
            </w:r>
          </w:p>
        </w:tc>
        <w:tc>
          <w:tcPr>
            <w:tcW w:w="1080" w:type="dxa"/>
            <w:vAlign w:val="center"/>
          </w:tcPr>
          <w:p w:rsidR="00C75F3A" w:rsidRDefault="00BB5F12">
            <w:pPr>
              <w:jc w:val="left"/>
            </w:pPr>
            <w:r>
              <w:rPr>
                <w:color w:val="000000"/>
                <w:sz w:val="24"/>
              </w:rPr>
              <w:t>-</w:t>
            </w:r>
          </w:p>
        </w:tc>
      </w:tr>
      <w:tr w:rsidR="00C75F3A">
        <w:tc>
          <w:tcPr>
            <w:tcW w:w="1559" w:type="dxa"/>
            <w:vAlign w:val="center"/>
          </w:tcPr>
          <w:p w:rsidR="00C75F3A" w:rsidRDefault="00BB5F12">
            <w:pPr>
              <w:jc w:val="center"/>
            </w:pPr>
            <w:r>
              <w:rPr>
                <w:color w:val="000000"/>
                <w:sz w:val="24"/>
              </w:rPr>
              <w:t>安信证券股份有限公司</w:t>
            </w:r>
          </w:p>
        </w:tc>
        <w:tc>
          <w:tcPr>
            <w:tcW w:w="779" w:type="dxa"/>
            <w:vAlign w:val="center"/>
          </w:tcPr>
          <w:p w:rsidR="00C75F3A" w:rsidRDefault="00BB5F12">
            <w:pPr>
              <w:jc w:val="center"/>
            </w:pPr>
            <w:r>
              <w:rPr>
                <w:color w:val="000000"/>
                <w:sz w:val="24"/>
              </w:rPr>
              <w:t>2</w:t>
            </w:r>
          </w:p>
        </w:tc>
        <w:tc>
          <w:tcPr>
            <w:tcW w:w="1800" w:type="dxa"/>
            <w:vAlign w:val="center"/>
          </w:tcPr>
          <w:p w:rsidR="00C75F3A" w:rsidRDefault="00BB5F12">
            <w:pPr>
              <w:jc w:val="right"/>
            </w:pPr>
            <w:r>
              <w:rPr>
                <w:color w:val="000000"/>
                <w:sz w:val="24"/>
              </w:rPr>
              <w:t>60,021,214.73</w:t>
            </w:r>
          </w:p>
        </w:tc>
        <w:tc>
          <w:tcPr>
            <w:tcW w:w="1080" w:type="dxa"/>
            <w:vAlign w:val="center"/>
          </w:tcPr>
          <w:p w:rsidR="00C75F3A" w:rsidRDefault="00BB5F12">
            <w:pPr>
              <w:jc w:val="right"/>
            </w:pPr>
            <w:r>
              <w:rPr>
                <w:color w:val="000000"/>
                <w:sz w:val="24"/>
              </w:rPr>
              <w:t>52.36%</w:t>
            </w:r>
          </w:p>
        </w:tc>
        <w:tc>
          <w:tcPr>
            <w:tcW w:w="1620" w:type="dxa"/>
            <w:vAlign w:val="center"/>
          </w:tcPr>
          <w:p w:rsidR="00C75F3A" w:rsidRDefault="00BB5F12">
            <w:pPr>
              <w:jc w:val="right"/>
            </w:pPr>
            <w:r>
              <w:rPr>
                <w:color w:val="000000"/>
                <w:sz w:val="24"/>
              </w:rPr>
              <w:t>55,897.31</w:t>
            </w:r>
          </w:p>
        </w:tc>
        <w:tc>
          <w:tcPr>
            <w:tcW w:w="1080" w:type="dxa"/>
            <w:vAlign w:val="center"/>
          </w:tcPr>
          <w:p w:rsidR="00C75F3A" w:rsidRDefault="00BB5F12">
            <w:pPr>
              <w:jc w:val="right"/>
            </w:pPr>
            <w:r>
              <w:rPr>
                <w:color w:val="000000"/>
                <w:sz w:val="24"/>
              </w:rPr>
              <w:t>52.36%</w:t>
            </w:r>
          </w:p>
        </w:tc>
        <w:tc>
          <w:tcPr>
            <w:tcW w:w="1080" w:type="dxa"/>
            <w:vAlign w:val="center"/>
          </w:tcPr>
          <w:p w:rsidR="00C75F3A" w:rsidRDefault="00BB5F12">
            <w:pPr>
              <w:jc w:val="left"/>
            </w:pPr>
            <w:r>
              <w:rPr>
                <w:color w:val="000000"/>
                <w:sz w:val="24"/>
              </w:rPr>
              <w:t>-</w:t>
            </w:r>
          </w:p>
        </w:tc>
      </w:tr>
      <w:tr w:rsidR="00C75F3A">
        <w:tc>
          <w:tcPr>
            <w:tcW w:w="1559" w:type="dxa"/>
            <w:vAlign w:val="center"/>
          </w:tcPr>
          <w:p w:rsidR="00C75F3A" w:rsidRDefault="00BB5F12">
            <w:pPr>
              <w:jc w:val="center"/>
            </w:pPr>
            <w:r>
              <w:rPr>
                <w:color w:val="000000"/>
                <w:sz w:val="24"/>
              </w:rPr>
              <w:t>中信证券股</w:t>
            </w:r>
            <w:r>
              <w:rPr>
                <w:color w:val="000000"/>
                <w:sz w:val="24"/>
              </w:rPr>
              <w:lastRenderedPageBreak/>
              <w:t>份有限公司</w:t>
            </w:r>
          </w:p>
        </w:tc>
        <w:tc>
          <w:tcPr>
            <w:tcW w:w="779" w:type="dxa"/>
            <w:vAlign w:val="center"/>
          </w:tcPr>
          <w:p w:rsidR="00C75F3A" w:rsidRDefault="00BB5F12">
            <w:pPr>
              <w:jc w:val="center"/>
            </w:pPr>
            <w:r>
              <w:rPr>
                <w:color w:val="000000"/>
                <w:sz w:val="24"/>
              </w:rPr>
              <w:lastRenderedPageBreak/>
              <w:t>1</w:t>
            </w:r>
          </w:p>
        </w:tc>
        <w:tc>
          <w:tcPr>
            <w:tcW w:w="1800" w:type="dxa"/>
            <w:vAlign w:val="center"/>
          </w:tcPr>
          <w:p w:rsidR="00C75F3A" w:rsidRDefault="00BB5F12">
            <w:pPr>
              <w:jc w:val="right"/>
            </w:pPr>
            <w:r>
              <w:rPr>
                <w:color w:val="000000"/>
                <w:sz w:val="24"/>
              </w:rPr>
              <w:t>48,363,886.13</w:t>
            </w:r>
          </w:p>
        </w:tc>
        <w:tc>
          <w:tcPr>
            <w:tcW w:w="1080" w:type="dxa"/>
            <w:vAlign w:val="center"/>
          </w:tcPr>
          <w:p w:rsidR="00C75F3A" w:rsidRDefault="00BB5F12">
            <w:pPr>
              <w:jc w:val="right"/>
            </w:pPr>
            <w:r>
              <w:rPr>
                <w:color w:val="000000"/>
                <w:sz w:val="24"/>
              </w:rPr>
              <w:t>42.19%</w:t>
            </w:r>
          </w:p>
        </w:tc>
        <w:tc>
          <w:tcPr>
            <w:tcW w:w="1620" w:type="dxa"/>
            <w:vAlign w:val="center"/>
          </w:tcPr>
          <w:p w:rsidR="00C75F3A" w:rsidRDefault="00BB5F12">
            <w:pPr>
              <w:jc w:val="right"/>
            </w:pPr>
            <w:r>
              <w:rPr>
                <w:color w:val="000000"/>
                <w:sz w:val="24"/>
              </w:rPr>
              <w:t>45,041.28</w:t>
            </w:r>
          </w:p>
        </w:tc>
        <w:tc>
          <w:tcPr>
            <w:tcW w:w="1080" w:type="dxa"/>
            <w:vAlign w:val="center"/>
          </w:tcPr>
          <w:p w:rsidR="00C75F3A" w:rsidRDefault="00BB5F12">
            <w:pPr>
              <w:jc w:val="right"/>
            </w:pPr>
            <w:r>
              <w:rPr>
                <w:color w:val="000000"/>
                <w:sz w:val="24"/>
              </w:rPr>
              <w:t>42.19%</w:t>
            </w:r>
          </w:p>
        </w:tc>
        <w:tc>
          <w:tcPr>
            <w:tcW w:w="1080" w:type="dxa"/>
            <w:vAlign w:val="center"/>
          </w:tcPr>
          <w:p w:rsidR="00C75F3A" w:rsidRDefault="00BB5F12">
            <w:pPr>
              <w:jc w:val="left"/>
            </w:pPr>
            <w:r>
              <w:rPr>
                <w:color w:val="000000"/>
                <w:sz w:val="24"/>
              </w:rPr>
              <w:t>-</w:t>
            </w:r>
          </w:p>
        </w:tc>
      </w:tr>
      <w:tr w:rsidR="00C75F3A">
        <w:tc>
          <w:tcPr>
            <w:tcW w:w="1559" w:type="dxa"/>
            <w:vAlign w:val="center"/>
          </w:tcPr>
          <w:p w:rsidR="00C75F3A" w:rsidRDefault="00BB5F12">
            <w:pPr>
              <w:jc w:val="center"/>
            </w:pPr>
            <w:r>
              <w:rPr>
                <w:color w:val="000000"/>
                <w:sz w:val="24"/>
              </w:rPr>
              <w:t>中泰证券股份有限公司</w:t>
            </w:r>
          </w:p>
        </w:tc>
        <w:tc>
          <w:tcPr>
            <w:tcW w:w="779" w:type="dxa"/>
            <w:vAlign w:val="center"/>
          </w:tcPr>
          <w:p w:rsidR="00C75F3A" w:rsidRDefault="00BB5F12">
            <w:pPr>
              <w:jc w:val="center"/>
            </w:pPr>
            <w:r>
              <w:rPr>
                <w:color w:val="000000"/>
                <w:sz w:val="24"/>
              </w:rPr>
              <w:t>3</w:t>
            </w:r>
          </w:p>
        </w:tc>
        <w:tc>
          <w:tcPr>
            <w:tcW w:w="1800" w:type="dxa"/>
            <w:vAlign w:val="center"/>
          </w:tcPr>
          <w:p w:rsidR="00C75F3A" w:rsidRDefault="00BB5F12">
            <w:pPr>
              <w:jc w:val="right"/>
            </w:pPr>
            <w:r>
              <w:rPr>
                <w:color w:val="000000"/>
                <w:sz w:val="24"/>
              </w:rPr>
              <w:t>3,364,144.97</w:t>
            </w:r>
          </w:p>
        </w:tc>
        <w:tc>
          <w:tcPr>
            <w:tcW w:w="1080" w:type="dxa"/>
            <w:vAlign w:val="center"/>
          </w:tcPr>
          <w:p w:rsidR="00C75F3A" w:rsidRDefault="00BB5F12">
            <w:pPr>
              <w:jc w:val="right"/>
            </w:pPr>
            <w:r>
              <w:rPr>
                <w:color w:val="000000"/>
                <w:sz w:val="24"/>
              </w:rPr>
              <w:t>2.93%</w:t>
            </w:r>
          </w:p>
        </w:tc>
        <w:tc>
          <w:tcPr>
            <w:tcW w:w="1620" w:type="dxa"/>
            <w:vAlign w:val="center"/>
          </w:tcPr>
          <w:p w:rsidR="00C75F3A" w:rsidRDefault="00BB5F12">
            <w:pPr>
              <w:jc w:val="right"/>
            </w:pPr>
            <w:r>
              <w:rPr>
                <w:color w:val="000000"/>
                <w:sz w:val="24"/>
              </w:rPr>
              <w:t>3,133.01</w:t>
            </w:r>
          </w:p>
        </w:tc>
        <w:tc>
          <w:tcPr>
            <w:tcW w:w="1080" w:type="dxa"/>
            <w:vAlign w:val="center"/>
          </w:tcPr>
          <w:p w:rsidR="00C75F3A" w:rsidRDefault="00BB5F12">
            <w:pPr>
              <w:jc w:val="right"/>
            </w:pPr>
            <w:r>
              <w:rPr>
                <w:color w:val="000000"/>
                <w:sz w:val="24"/>
              </w:rPr>
              <w:t>2.93%</w:t>
            </w:r>
          </w:p>
        </w:tc>
        <w:tc>
          <w:tcPr>
            <w:tcW w:w="1080" w:type="dxa"/>
            <w:vAlign w:val="center"/>
          </w:tcPr>
          <w:p w:rsidR="00C75F3A" w:rsidRDefault="00BB5F12">
            <w:pPr>
              <w:jc w:val="left"/>
            </w:pPr>
            <w:r>
              <w:rPr>
                <w:color w:val="000000"/>
                <w:sz w:val="24"/>
              </w:rPr>
              <w:t>-</w:t>
            </w:r>
          </w:p>
        </w:tc>
      </w:tr>
      <w:tr w:rsidR="00C75F3A">
        <w:tc>
          <w:tcPr>
            <w:tcW w:w="1559" w:type="dxa"/>
            <w:vAlign w:val="center"/>
          </w:tcPr>
          <w:p w:rsidR="00C75F3A" w:rsidRDefault="00BB5F12">
            <w:pPr>
              <w:jc w:val="center"/>
            </w:pPr>
            <w:r>
              <w:rPr>
                <w:color w:val="000000"/>
                <w:sz w:val="24"/>
              </w:rPr>
              <w:t>国盛证券有限责任公司</w:t>
            </w:r>
          </w:p>
        </w:tc>
        <w:tc>
          <w:tcPr>
            <w:tcW w:w="779" w:type="dxa"/>
            <w:vAlign w:val="center"/>
          </w:tcPr>
          <w:p w:rsidR="00C75F3A" w:rsidRDefault="00BB5F12">
            <w:pPr>
              <w:jc w:val="center"/>
            </w:pPr>
            <w:r>
              <w:rPr>
                <w:color w:val="000000"/>
                <w:sz w:val="24"/>
              </w:rPr>
              <w:t>1</w:t>
            </w:r>
          </w:p>
        </w:tc>
        <w:tc>
          <w:tcPr>
            <w:tcW w:w="1800" w:type="dxa"/>
            <w:vAlign w:val="center"/>
          </w:tcPr>
          <w:p w:rsidR="00C75F3A" w:rsidRDefault="00BB5F12">
            <w:pPr>
              <w:jc w:val="right"/>
            </w:pPr>
            <w:r>
              <w:rPr>
                <w:color w:val="000000"/>
                <w:sz w:val="24"/>
              </w:rPr>
              <w:t>2,087,490.11</w:t>
            </w:r>
          </w:p>
        </w:tc>
        <w:tc>
          <w:tcPr>
            <w:tcW w:w="1080" w:type="dxa"/>
            <w:vAlign w:val="center"/>
          </w:tcPr>
          <w:p w:rsidR="00C75F3A" w:rsidRDefault="00BB5F12">
            <w:pPr>
              <w:jc w:val="right"/>
            </w:pPr>
            <w:r>
              <w:rPr>
                <w:color w:val="000000"/>
                <w:sz w:val="24"/>
              </w:rPr>
              <w:t>1.82%</w:t>
            </w:r>
          </w:p>
        </w:tc>
        <w:tc>
          <w:tcPr>
            <w:tcW w:w="1620" w:type="dxa"/>
            <w:vAlign w:val="center"/>
          </w:tcPr>
          <w:p w:rsidR="00C75F3A" w:rsidRDefault="00BB5F12">
            <w:pPr>
              <w:jc w:val="right"/>
            </w:pPr>
            <w:r>
              <w:rPr>
                <w:color w:val="000000"/>
                <w:sz w:val="24"/>
              </w:rPr>
              <w:t>1,944.06</w:t>
            </w:r>
          </w:p>
        </w:tc>
        <w:tc>
          <w:tcPr>
            <w:tcW w:w="1080" w:type="dxa"/>
            <w:vAlign w:val="center"/>
          </w:tcPr>
          <w:p w:rsidR="00C75F3A" w:rsidRDefault="00BB5F12">
            <w:pPr>
              <w:jc w:val="right"/>
            </w:pPr>
            <w:r>
              <w:rPr>
                <w:color w:val="000000"/>
                <w:sz w:val="24"/>
              </w:rPr>
              <w:t>1.82%</w:t>
            </w:r>
          </w:p>
        </w:tc>
        <w:tc>
          <w:tcPr>
            <w:tcW w:w="1080" w:type="dxa"/>
            <w:vAlign w:val="center"/>
          </w:tcPr>
          <w:p w:rsidR="00C75F3A" w:rsidRDefault="00BB5F12">
            <w:pPr>
              <w:jc w:val="left"/>
            </w:pPr>
            <w:r>
              <w:rPr>
                <w:color w:val="000000"/>
                <w:sz w:val="24"/>
              </w:rPr>
              <w:t>-</w:t>
            </w:r>
          </w:p>
        </w:tc>
      </w:tr>
      <w:tr w:rsidR="00C75F3A">
        <w:tc>
          <w:tcPr>
            <w:tcW w:w="1559" w:type="dxa"/>
            <w:vAlign w:val="center"/>
          </w:tcPr>
          <w:p w:rsidR="00C75F3A" w:rsidRDefault="00BB5F12">
            <w:pPr>
              <w:jc w:val="center"/>
            </w:pPr>
            <w:r>
              <w:rPr>
                <w:color w:val="000000"/>
                <w:sz w:val="24"/>
              </w:rPr>
              <w:t>新时代证券股份有限公司</w:t>
            </w:r>
          </w:p>
        </w:tc>
        <w:tc>
          <w:tcPr>
            <w:tcW w:w="779" w:type="dxa"/>
            <w:vAlign w:val="center"/>
          </w:tcPr>
          <w:p w:rsidR="00C75F3A" w:rsidRDefault="00BB5F12">
            <w:pPr>
              <w:jc w:val="center"/>
            </w:pPr>
            <w:r>
              <w:rPr>
                <w:color w:val="000000"/>
                <w:sz w:val="24"/>
              </w:rPr>
              <w:t>1</w:t>
            </w:r>
          </w:p>
        </w:tc>
        <w:tc>
          <w:tcPr>
            <w:tcW w:w="1800" w:type="dxa"/>
            <w:vAlign w:val="center"/>
          </w:tcPr>
          <w:p w:rsidR="00C75F3A" w:rsidRDefault="00BB5F12">
            <w:pPr>
              <w:jc w:val="right"/>
            </w:pPr>
            <w:r>
              <w:rPr>
                <w:color w:val="000000"/>
                <w:sz w:val="24"/>
              </w:rPr>
              <w:t>-</w:t>
            </w:r>
          </w:p>
        </w:tc>
        <w:tc>
          <w:tcPr>
            <w:tcW w:w="1080" w:type="dxa"/>
            <w:vAlign w:val="center"/>
          </w:tcPr>
          <w:p w:rsidR="00C75F3A" w:rsidRDefault="00BB5F12">
            <w:pPr>
              <w:jc w:val="right"/>
            </w:pPr>
            <w:r>
              <w:rPr>
                <w:color w:val="000000"/>
                <w:sz w:val="24"/>
              </w:rPr>
              <w:t>-</w:t>
            </w:r>
          </w:p>
        </w:tc>
        <w:tc>
          <w:tcPr>
            <w:tcW w:w="1620" w:type="dxa"/>
            <w:vAlign w:val="center"/>
          </w:tcPr>
          <w:p w:rsidR="00C75F3A" w:rsidRDefault="00BB5F12">
            <w:pPr>
              <w:jc w:val="right"/>
            </w:pPr>
            <w:r>
              <w:rPr>
                <w:color w:val="000000"/>
                <w:sz w:val="24"/>
              </w:rPr>
              <w:t>-</w:t>
            </w:r>
          </w:p>
        </w:tc>
        <w:tc>
          <w:tcPr>
            <w:tcW w:w="1080" w:type="dxa"/>
            <w:vAlign w:val="center"/>
          </w:tcPr>
          <w:p w:rsidR="00C75F3A" w:rsidRDefault="00BB5F12">
            <w:pPr>
              <w:jc w:val="right"/>
            </w:pPr>
            <w:r>
              <w:rPr>
                <w:color w:val="000000"/>
                <w:sz w:val="24"/>
              </w:rPr>
              <w:t>-</w:t>
            </w:r>
          </w:p>
        </w:tc>
        <w:tc>
          <w:tcPr>
            <w:tcW w:w="1080" w:type="dxa"/>
            <w:vAlign w:val="center"/>
          </w:tcPr>
          <w:p w:rsidR="00C75F3A" w:rsidRDefault="00BB5F12">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证成交</w:t>
            </w:r>
            <w:proofErr w:type="gramEnd"/>
            <w:r w:rsidRPr="008A1551">
              <w:rPr>
                <w:color w:val="000000"/>
                <w:sz w:val="24"/>
              </w:rPr>
              <w:t>总额的比例</w:t>
            </w:r>
          </w:p>
        </w:tc>
      </w:tr>
      <w:tr w:rsidR="00C75F3A">
        <w:tc>
          <w:tcPr>
            <w:tcW w:w="2437" w:type="dxa"/>
            <w:vAlign w:val="center"/>
          </w:tcPr>
          <w:p w:rsidR="00C75F3A" w:rsidRDefault="00BB5F12">
            <w:r>
              <w:rPr>
                <w:sz w:val="24"/>
              </w:rPr>
              <w:t>国金证券股份有限公司</w:t>
            </w:r>
          </w:p>
        </w:tc>
        <w:tc>
          <w:tcPr>
            <w:tcW w:w="1092" w:type="dxa"/>
            <w:vAlign w:val="center"/>
          </w:tcPr>
          <w:p w:rsidR="00C75F3A" w:rsidRDefault="00BB5F12">
            <w:pPr>
              <w:jc w:val="right"/>
            </w:pPr>
            <w:r>
              <w:rPr>
                <w:sz w:val="24"/>
              </w:rPr>
              <w:t>28,474,133.60</w:t>
            </w:r>
          </w:p>
        </w:tc>
        <w:tc>
          <w:tcPr>
            <w:tcW w:w="1093" w:type="dxa"/>
            <w:vAlign w:val="center"/>
          </w:tcPr>
          <w:p w:rsidR="00C75F3A" w:rsidRDefault="00BB5F12">
            <w:pPr>
              <w:jc w:val="right"/>
            </w:pPr>
            <w:r>
              <w:rPr>
                <w:sz w:val="24"/>
              </w:rPr>
              <w:t>10.17%</w:t>
            </w:r>
          </w:p>
        </w:tc>
        <w:tc>
          <w:tcPr>
            <w:tcW w:w="1093" w:type="dxa"/>
            <w:vAlign w:val="center"/>
          </w:tcPr>
          <w:p w:rsidR="00C75F3A" w:rsidRDefault="00BB5F12">
            <w:pPr>
              <w:jc w:val="right"/>
            </w:pPr>
            <w:r>
              <w:rPr>
                <w:sz w:val="24"/>
              </w:rPr>
              <w:t>70,000,000.00</w:t>
            </w:r>
          </w:p>
        </w:tc>
        <w:tc>
          <w:tcPr>
            <w:tcW w:w="1093" w:type="dxa"/>
            <w:vAlign w:val="center"/>
          </w:tcPr>
          <w:p w:rsidR="00C75F3A" w:rsidRDefault="00BB5F12">
            <w:pPr>
              <w:jc w:val="right"/>
            </w:pPr>
            <w:r>
              <w:rPr>
                <w:sz w:val="24"/>
              </w:rPr>
              <w:t>4.63%</w:t>
            </w:r>
          </w:p>
        </w:tc>
        <w:tc>
          <w:tcPr>
            <w:tcW w:w="1093" w:type="dxa"/>
            <w:vAlign w:val="center"/>
          </w:tcPr>
          <w:p w:rsidR="00C75F3A" w:rsidRDefault="00BB5F12">
            <w:pPr>
              <w:jc w:val="right"/>
            </w:pPr>
            <w:r>
              <w:rPr>
                <w:sz w:val="24"/>
              </w:rPr>
              <w:t>-</w:t>
            </w:r>
          </w:p>
        </w:tc>
        <w:tc>
          <w:tcPr>
            <w:tcW w:w="1097" w:type="dxa"/>
            <w:vAlign w:val="center"/>
          </w:tcPr>
          <w:p w:rsidR="00C75F3A" w:rsidRDefault="00BB5F12">
            <w:pPr>
              <w:jc w:val="right"/>
            </w:pPr>
            <w:r>
              <w:rPr>
                <w:sz w:val="24"/>
              </w:rPr>
              <w:t>-</w:t>
            </w:r>
          </w:p>
        </w:tc>
      </w:tr>
      <w:tr w:rsidR="00C75F3A">
        <w:tc>
          <w:tcPr>
            <w:tcW w:w="2437" w:type="dxa"/>
            <w:vAlign w:val="center"/>
          </w:tcPr>
          <w:p w:rsidR="00C75F3A" w:rsidRDefault="00BB5F12">
            <w:r>
              <w:rPr>
                <w:sz w:val="24"/>
              </w:rPr>
              <w:t>安信证券股份有限公司</w:t>
            </w:r>
          </w:p>
        </w:tc>
        <w:tc>
          <w:tcPr>
            <w:tcW w:w="1092" w:type="dxa"/>
            <w:vAlign w:val="center"/>
          </w:tcPr>
          <w:p w:rsidR="00C75F3A" w:rsidRDefault="00BB5F12">
            <w:pPr>
              <w:jc w:val="right"/>
            </w:pPr>
            <w:r>
              <w:rPr>
                <w:sz w:val="24"/>
              </w:rPr>
              <w:t>212,302,075.34</w:t>
            </w:r>
          </w:p>
        </w:tc>
        <w:tc>
          <w:tcPr>
            <w:tcW w:w="1093" w:type="dxa"/>
            <w:vAlign w:val="center"/>
          </w:tcPr>
          <w:p w:rsidR="00C75F3A" w:rsidRDefault="00BB5F12">
            <w:pPr>
              <w:jc w:val="right"/>
            </w:pPr>
            <w:r>
              <w:rPr>
                <w:sz w:val="24"/>
              </w:rPr>
              <w:t>75.84%</w:t>
            </w:r>
          </w:p>
        </w:tc>
        <w:tc>
          <w:tcPr>
            <w:tcW w:w="1093" w:type="dxa"/>
            <w:vAlign w:val="center"/>
          </w:tcPr>
          <w:p w:rsidR="00C75F3A" w:rsidRDefault="00BB5F12">
            <w:pPr>
              <w:jc w:val="right"/>
            </w:pPr>
            <w:r>
              <w:rPr>
                <w:sz w:val="24"/>
              </w:rPr>
              <w:t>412,200,000.00</w:t>
            </w:r>
          </w:p>
        </w:tc>
        <w:tc>
          <w:tcPr>
            <w:tcW w:w="1093" w:type="dxa"/>
            <w:vAlign w:val="center"/>
          </w:tcPr>
          <w:p w:rsidR="00C75F3A" w:rsidRDefault="00BB5F12">
            <w:pPr>
              <w:jc w:val="right"/>
            </w:pPr>
            <w:r>
              <w:rPr>
                <w:sz w:val="24"/>
              </w:rPr>
              <w:t>27.24%</w:t>
            </w:r>
          </w:p>
        </w:tc>
        <w:tc>
          <w:tcPr>
            <w:tcW w:w="1093" w:type="dxa"/>
            <w:vAlign w:val="center"/>
          </w:tcPr>
          <w:p w:rsidR="00C75F3A" w:rsidRDefault="00BB5F12">
            <w:pPr>
              <w:jc w:val="right"/>
            </w:pPr>
            <w:r>
              <w:rPr>
                <w:sz w:val="24"/>
              </w:rPr>
              <w:t>-</w:t>
            </w:r>
          </w:p>
        </w:tc>
        <w:tc>
          <w:tcPr>
            <w:tcW w:w="1097" w:type="dxa"/>
            <w:vAlign w:val="center"/>
          </w:tcPr>
          <w:p w:rsidR="00C75F3A" w:rsidRDefault="00BB5F12">
            <w:pPr>
              <w:jc w:val="right"/>
            </w:pPr>
            <w:r>
              <w:rPr>
                <w:sz w:val="24"/>
              </w:rPr>
              <w:t>-</w:t>
            </w:r>
          </w:p>
        </w:tc>
      </w:tr>
      <w:tr w:rsidR="00C75F3A">
        <w:tc>
          <w:tcPr>
            <w:tcW w:w="2437" w:type="dxa"/>
            <w:vAlign w:val="center"/>
          </w:tcPr>
          <w:p w:rsidR="00C75F3A" w:rsidRDefault="00BB5F12">
            <w:r>
              <w:rPr>
                <w:sz w:val="24"/>
              </w:rPr>
              <w:t>中信证券股份有限公司</w:t>
            </w:r>
          </w:p>
        </w:tc>
        <w:tc>
          <w:tcPr>
            <w:tcW w:w="1092" w:type="dxa"/>
            <w:vAlign w:val="center"/>
          </w:tcPr>
          <w:p w:rsidR="00C75F3A" w:rsidRDefault="00BB5F12">
            <w:pPr>
              <w:jc w:val="right"/>
            </w:pPr>
            <w:r>
              <w:rPr>
                <w:sz w:val="24"/>
              </w:rPr>
              <w:t>38,331,645.23</w:t>
            </w:r>
          </w:p>
        </w:tc>
        <w:tc>
          <w:tcPr>
            <w:tcW w:w="1093" w:type="dxa"/>
            <w:vAlign w:val="center"/>
          </w:tcPr>
          <w:p w:rsidR="00C75F3A" w:rsidRDefault="00BB5F12">
            <w:pPr>
              <w:jc w:val="right"/>
            </w:pPr>
            <w:r>
              <w:rPr>
                <w:sz w:val="24"/>
              </w:rPr>
              <w:t>13.69%</w:t>
            </w:r>
          </w:p>
        </w:tc>
        <w:tc>
          <w:tcPr>
            <w:tcW w:w="1093" w:type="dxa"/>
            <w:vAlign w:val="center"/>
          </w:tcPr>
          <w:p w:rsidR="00C75F3A" w:rsidRDefault="00BB5F12">
            <w:pPr>
              <w:jc w:val="right"/>
            </w:pPr>
            <w:r>
              <w:rPr>
                <w:sz w:val="24"/>
              </w:rPr>
              <w:t>379,700,000.00</w:t>
            </w:r>
          </w:p>
        </w:tc>
        <w:tc>
          <w:tcPr>
            <w:tcW w:w="1093" w:type="dxa"/>
            <w:vAlign w:val="center"/>
          </w:tcPr>
          <w:p w:rsidR="00C75F3A" w:rsidRDefault="00BB5F12">
            <w:pPr>
              <w:jc w:val="right"/>
            </w:pPr>
            <w:r>
              <w:rPr>
                <w:sz w:val="24"/>
              </w:rPr>
              <w:t>25.09%</w:t>
            </w:r>
          </w:p>
        </w:tc>
        <w:tc>
          <w:tcPr>
            <w:tcW w:w="1093" w:type="dxa"/>
            <w:vAlign w:val="center"/>
          </w:tcPr>
          <w:p w:rsidR="00C75F3A" w:rsidRDefault="00BB5F12">
            <w:pPr>
              <w:jc w:val="right"/>
            </w:pPr>
            <w:r>
              <w:rPr>
                <w:sz w:val="24"/>
              </w:rPr>
              <w:t>-</w:t>
            </w:r>
          </w:p>
        </w:tc>
        <w:tc>
          <w:tcPr>
            <w:tcW w:w="1097" w:type="dxa"/>
            <w:vAlign w:val="center"/>
          </w:tcPr>
          <w:p w:rsidR="00C75F3A" w:rsidRDefault="00BB5F12">
            <w:pPr>
              <w:jc w:val="right"/>
            </w:pPr>
            <w:r>
              <w:rPr>
                <w:sz w:val="24"/>
              </w:rPr>
              <w:t>-</w:t>
            </w:r>
          </w:p>
        </w:tc>
      </w:tr>
      <w:tr w:rsidR="00C75F3A">
        <w:tc>
          <w:tcPr>
            <w:tcW w:w="2437" w:type="dxa"/>
            <w:vAlign w:val="center"/>
          </w:tcPr>
          <w:p w:rsidR="00C75F3A" w:rsidRDefault="00BB5F12">
            <w:r>
              <w:rPr>
                <w:sz w:val="24"/>
              </w:rPr>
              <w:t>中泰证券股份有限公司</w:t>
            </w:r>
          </w:p>
        </w:tc>
        <w:tc>
          <w:tcPr>
            <w:tcW w:w="1092" w:type="dxa"/>
            <w:vAlign w:val="center"/>
          </w:tcPr>
          <w:p w:rsidR="00C75F3A" w:rsidRDefault="00BB5F12">
            <w:pPr>
              <w:jc w:val="right"/>
            </w:pPr>
            <w:r>
              <w:rPr>
                <w:sz w:val="24"/>
              </w:rPr>
              <w:t>823,594.71</w:t>
            </w:r>
          </w:p>
        </w:tc>
        <w:tc>
          <w:tcPr>
            <w:tcW w:w="1093" w:type="dxa"/>
            <w:vAlign w:val="center"/>
          </w:tcPr>
          <w:p w:rsidR="00C75F3A" w:rsidRDefault="00BB5F12">
            <w:pPr>
              <w:jc w:val="right"/>
            </w:pPr>
            <w:r>
              <w:rPr>
                <w:sz w:val="24"/>
              </w:rPr>
              <w:t>0.29%</w:t>
            </w:r>
          </w:p>
        </w:tc>
        <w:tc>
          <w:tcPr>
            <w:tcW w:w="1093" w:type="dxa"/>
            <w:vAlign w:val="center"/>
          </w:tcPr>
          <w:p w:rsidR="00C75F3A" w:rsidRDefault="00BB5F12">
            <w:pPr>
              <w:jc w:val="right"/>
            </w:pPr>
            <w:r>
              <w:rPr>
                <w:sz w:val="24"/>
              </w:rPr>
              <w:t>256,300,000.00</w:t>
            </w:r>
          </w:p>
        </w:tc>
        <w:tc>
          <w:tcPr>
            <w:tcW w:w="1093" w:type="dxa"/>
            <w:vAlign w:val="center"/>
          </w:tcPr>
          <w:p w:rsidR="00C75F3A" w:rsidRDefault="00BB5F12">
            <w:pPr>
              <w:jc w:val="right"/>
            </w:pPr>
            <w:r>
              <w:rPr>
                <w:sz w:val="24"/>
              </w:rPr>
              <w:t>16.94%</w:t>
            </w:r>
          </w:p>
        </w:tc>
        <w:tc>
          <w:tcPr>
            <w:tcW w:w="1093" w:type="dxa"/>
            <w:vAlign w:val="center"/>
          </w:tcPr>
          <w:p w:rsidR="00C75F3A" w:rsidRDefault="00BB5F12">
            <w:pPr>
              <w:jc w:val="right"/>
            </w:pPr>
            <w:r>
              <w:rPr>
                <w:sz w:val="24"/>
              </w:rPr>
              <w:t>-</w:t>
            </w:r>
          </w:p>
        </w:tc>
        <w:tc>
          <w:tcPr>
            <w:tcW w:w="1097" w:type="dxa"/>
            <w:vAlign w:val="center"/>
          </w:tcPr>
          <w:p w:rsidR="00C75F3A" w:rsidRDefault="00BB5F12">
            <w:pPr>
              <w:jc w:val="right"/>
            </w:pPr>
            <w:r>
              <w:rPr>
                <w:sz w:val="24"/>
              </w:rPr>
              <w:t>-</w:t>
            </w:r>
          </w:p>
        </w:tc>
      </w:tr>
      <w:tr w:rsidR="00C75F3A">
        <w:tc>
          <w:tcPr>
            <w:tcW w:w="2437" w:type="dxa"/>
            <w:vAlign w:val="center"/>
          </w:tcPr>
          <w:p w:rsidR="00C75F3A" w:rsidRDefault="00BB5F12">
            <w:r>
              <w:rPr>
                <w:sz w:val="24"/>
              </w:rPr>
              <w:t>国盛证券有限责任公司</w:t>
            </w:r>
          </w:p>
        </w:tc>
        <w:tc>
          <w:tcPr>
            <w:tcW w:w="1092" w:type="dxa"/>
            <w:vAlign w:val="center"/>
          </w:tcPr>
          <w:p w:rsidR="00C75F3A" w:rsidRDefault="00BB5F12">
            <w:pPr>
              <w:jc w:val="right"/>
            </w:pPr>
            <w:r>
              <w:rPr>
                <w:sz w:val="24"/>
              </w:rPr>
              <w:t>-</w:t>
            </w:r>
          </w:p>
        </w:tc>
        <w:tc>
          <w:tcPr>
            <w:tcW w:w="1093" w:type="dxa"/>
            <w:vAlign w:val="center"/>
          </w:tcPr>
          <w:p w:rsidR="00C75F3A" w:rsidRDefault="00BB5F12">
            <w:pPr>
              <w:jc w:val="right"/>
            </w:pPr>
            <w:r>
              <w:rPr>
                <w:sz w:val="24"/>
              </w:rPr>
              <w:t>-</w:t>
            </w:r>
          </w:p>
        </w:tc>
        <w:tc>
          <w:tcPr>
            <w:tcW w:w="1093" w:type="dxa"/>
            <w:vAlign w:val="center"/>
          </w:tcPr>
          <w:p w:rsidR="00C75F3A" w:rsidRDefault="00BB5F12">
            <w:pPr>
              <w:jc w:val="right"/>
            </w:pPr>
            <w:r>
              <w:rPr>
                <w:sz w:val="24"/>
              </w:rPr>
              <w:t>395,000,000.00</w:t>
            </w:r>
          </w:p>
        </w:tc>
        <w:tc>
          <w:tcPr>
            <w:tcW w:w="1093" w:type="dxa"/>
            <w:vAlign w:val="center"/>
          </w:tcPr>
          <w:p w:rsidR="00C75F3A" w:rsidRDefault="00BB5F12">
            <w:pPr>
              <w:jc w:val="right"/>
            </w:pPr>
            <w:r>
              <w:rPr>
                <w:sz w:val="24"/>
              </w:rPr>
              <w:t>26.10%</w:t>
            </w:r>
          </w:p>
        </w:tc>
        <w:tc>
          <w:tcPr>
            <w:tcW w:w="1093" w:type="dxa"/>
            <w:vAlign w:val="center"/>
          </w:tcPr>
          <w:p w:rsidR="00C75F3A" w:rsidRDefault="00BB5F12">
            <w:pPr>
              <w:jc w:val="right"/>
            </w:pPr>
            <w:r>
              <w:rPr>
                <w:sz w:val="24"/>
              </w:rPr>
              <w:t>-</w:t>
            </w:r>
          </w:p>
        </w:tc>
        <w:tc>
          <w:tcPr>
            <w:tcW w:w="1097" w:type="dxa"/>
            <w:vAlign w:val="center"/>
          </w:tcPr>
          <w:p w:rsidR="00C75F3A" w:rsidRDefault="00BB5F12">
            <w:pPr>
              <w:jc w:val="right"/>
            </w:pPr>
            <w:r>
              <w:rPr>
                <w:sz w:val="24"/>
              </w:rPr>
              <w:t>-</w:t>
            </w:r>
          </w:p>
        </w:tc>
      </w:tr>
    </w:tbl>
    <w:p w:rsidR="00C75F3A" w:rsidRDefault="00BB5F1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、报告期内，本基金新增加国盛证券有限责任公司，其它交易单元未发生变化；</w:t>
      </w:r>
    </w:p>
    <w:p w:rsidR="00C75F3A" w:rsidRDefault="00BB5F12">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8F3D66" w:rsidRDefault="00DA3AB8" w:rsidP="00A7746B">
      <w:pPr>
        <w:pStyle w:val="1"/>
        <w:keepNext/>
        <w:keepLines/>
        <w:widowControl w:val="0"/>
        <w:spacing w:beforeLines="100" w:before="312" w:afterLines="100" w:after="312" w:line="360" w:lineRule="auto"/>
        <w:jc w:val="center"/>
        <w:rPr>
          <w:rFonts w:eastAsiaTheme="minorEastAsia"/>
          <w:b/>
          <w:bCs/>
          <w:szCs w:val="24"/>
          <w:lang w:val="en-US"/>
        </w:rPr>
      </w:pPr>
      <w:bookmarkStart w:id="135" w:name="_Toc361324902"/>
      <w:r w:rsidRPr="008F3D66">
        <w:rPr>
          <w:rFonts w:eastAsiaTheme="minorEastAsia"/>
          <w:b/>
          <w:bCs/>
          <w:szCs w:val="24"/>
          <w:lang w:val="en-US"/>
        </w:rPr>
        <w:t xml:space="preserve">11  </w:t>
      </w:r>
      <w:r w:rsidRPr="008F3D66">
        <w:rPr>
          <w:rFonts w:eastAsiaTheme="minorEastAsia"/>
          <w:b/>
          <w:bCs/>
          <w:szCs w:val="24"/>
          <w:lang w:val="en-US"/>
        </w:rPr>
        <w:t>影响投资者决策的其他重要信息</w:t>
      </w:r>
      <w:bookmarkEnd w:id="135"/>
    </w:p>
    <w:p w:rsidR="00DA3AB8" w:rsidRPr="008F3D66" w:rsidRDefault="00DA3AB8" w:rsidP="00DA3AB8">
      <w:pPr>
        <w:autoSpaceDE w:val="0"/>
        <w:autoSpaceDN w:val="0"/>
        <w:adjustRightInd w:val="0"/>
        <w:spacing w:line="360" w:lineRule="auto"/>
        <w:jc w:val="left"/>
        <w:rPr>
          <w:rFonts w:ascii="宋体" w:hAnsi="宋体"/>
          <w:b/>
          <w:bCs/>
          <w:color w:val="000000"/>
          <w:kern w:val="0"/>
          <w:sz w:val="24"/>
        </w:rPr>
      </w:pPr>
      <w:r w:rsidRPr="008F3D66">
        <w:rPr>
          <w:rFonts w:ascii="宋体" w:hAnsi="宋体"/>
          <w:b/>
          <w:bCs/>
          <w:color w:val="000000"/>
          <w:kern w:val="0"/>
          <w:sz w:val="24"/>
        </w:rPr>
        <w:t>11.</w:t>
      </w:r>
      <w:r w:rsidRPr="008F3D66">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8F3D66" w:rsidTr="00926E81">
        <w:tc>
          <w:tcPr>
            <w:tcW w:w="993" w:type="dxa"/>
            <w:vMerge w:val="restart"/>
            <w:vAlign w:val="center"/>
          </w:tcPr>
          <w:p w:rsidR="00DA3AB8" w:rsidRPr="008F3D66" w:rsidRDefault="00DA3AB8" w:rsidP="00926E81">
            <w:pPr>
              <w:autoSpaceDE w:val="0"/>
              <w:autoSpaceDN w:val="0"/>
              <w:adjustRightInd w:val="0"/>
              <w:jc w:val="center"/>
              <w:rPr>
                <w:rFonts w:ascii="宋体" w:hAnsi="宋体"/>
                <w:b/>
                <w:bCs/>
                <w:color w:val="000000"/>
                <w:kern w:val="0"/>
                <w:sz w:val="24"/>
              </w:rPr>
            </w:pPr>
            <w:r w:rsidRPr="008F3D66">
              <w:rPr>
                <w:rFonts w:ascii="宋体" w:hAnsi="宋体" w:hint="eastAsia"/>
                <w:color w:val="000000"/>
                <w:kern w:val="0"/>
                <w:sz w:val="24"/>
              </w:rPr>
              <w:t>投资者类别</w:t>
            </w:r>
            <w:r w:rsidRPr="008F3D66">
              <w:rPr>
                <w:rFonts w:ascii="宋体" w:hAnsi="宋体"/>
                <w:color w:val="000000"/>
                <w:kern w:val="0"/>
                <w:sz w:val="24"/>
              </w:rPr>
              <w:t xml:space="preserve">  </w:t>
            </w:r>
          </w:p>
        </w:tc>
        <w:tc>
          <w:tcPr>
            <w:tcW w:w="5670" w:type="dxa"/>
            <w:gridSpan w:val="5"/>
            <w:vAlign w:val="center"/>
          </w:tcPr>
          <w:p w:rsidR="00DA3AB8" w:rsidRPr="008F3D66" w:rsidRDefault="00DA3AB8" w:rsidP="00926E81">
            <w:pPr>
              <w:autoSpaceDE w:val="0"/>
              <w:autoSpaceDN w:val="0"/>
              <w:adjustRightInd w:val="0"/>
              <w:jc w:val="center"/>
              <w:rPr>
                <w:rFonts w:ascii="宋体" w:hAnsi="宋体"/>
                <w:b/>
                <w:bCs/>
                <w:color w:val="000000"/>
                <w:kern w:val="0"/>
                <w:sz w:val="24"/>
              </w:rPr>
            </w:pPr>
            <w:r w:rsidRPr="008F3D66">
              <w:rPr>
                <w:rFonts w:ascii="宋体" w:hAnsi="宋体" w:hint="eastAsia"/>
                <w:color w:val="000000"/>
                <w:kern w:val="0"/>
                <w:sz w:val="24"/>
              </w:rPr>
              <w:t>报告期内持有基金份额变化情况</w:t>
            </w:r>
          </w:p>
        </w:tc>
        <w:tc>
          <w:tcPr>
            <w:tcW w:w="2549" w:type="dxa"/>
            <w:gridSpan w:val="2"/>
            <w:vAlign w:val="center"/>
          </w:tcPr>
          <w:p w:rsidR="00DA3AB8" w:rsidRPr="008F3D66" w:rsidRDefault="00DA3AB8" w:rsidP="00926E81">
            <w:pPr>
              <w:autoSpaceDE w:val="0"/>
              <w:autoSpaceDN w:val="0"/>
              <w:adjustRightInd w:val="0"/>
              <w:jc w:val="center"/>
              <w:rPr>
                <w:rFonts w:ascii="宋体" w:hAnsi="宋体"/>
                <w:b/>
                <w:bCs/>
                <w:color w:val="000000"/>
                <w:kern w:val="0"/>
                <w:sz w:val="24"/>
              </w:rPr>
            </w:pPr>
            <w:r w:rsidRPr="008F3D66">
              <w:rPr>
                <w:rFonts w:ascii="宋体" w:hAnsi="宋体" w:hint="eastAsia"/>
                <w:color w:val="000000"/>
                <w:kern w:val="0"/>
                <w:sz w:val="24"/>
              </w:rPr>
              <w:t>报告期末持有基金情况</w:t>
            </w:r>
          </w:p>
        </w:tc>
      </w:tr>
      <w:tr w:rsidR="00DA3AB8" w:rsidRPr="008F3D66" w:rsidTr="00926E81">
        <w:tc>
          <w:tcPr>
            <w:tcW w:w="993" w:type="dxa"/>
            <w:vMerge/>
            <w:vAlign w:val="center"/>
          </w:tcPr>
          <w:p w:rsidR="00DA3AB8" w:rsidRPr="008F3D66" w:rsidRDefault="00DA3AB8" w:rsidP="00926E81">
            <w:pPr>
              <w:autoSpaceDE w:val="0"/>
              <w:autoSpaceDN w:val="0"/>
              <w:adjustRightInd w:val="0"/>
              <w:jc w:val="center"/>
              <w:rPr>
                <w:rFonts w:ascii="宋体" w:hAnsi="宋体"/>
                <w:b/>
                <w:bCs/>
                <w:color w:val="000000"/>
                <w:kern w:val="0"/>
                <w:sz w:val="24"/>
              </w:rPr>
            </w:pPr>
          </w:p>
        </w:tc>
        <w:tc>
          <w:tcPr>
            <w:tcW w:w="992" w:type="dxa"/>
            <w:vAlign w:val="center"/>
          </w:tcPr>
          <w:p w:rsidR="00DA3AB8" w:rsidRPr="008F3D66" w:rsidRDefault="00DA3AB8" w:rsidP="00926E81">
            <w:pPr>
              <w:autoSpaceDE w:val="0"/>
              <w:autoSpaceDN w:val="0"/>
              <w:adjustRightInd w:val="0"/>
              <w:jc w:val="center"/>
              <w:rPr>
                <w:rFonts w:ascii="宋体" w:hAnsi="宋体"/>
                <w:b/>
                <w:bCs/>
                <w:color w:val="000000"/>
                <w:kern w:val="0"/>
                <w:sz w:val="24"/>
              </w:rPr>
            </w:pPr>
            <w:r w:rsidRPr="008F3D66">
              <w:rPr>
                <w:rFonts w:ascii="宋体" w:hAnsi="宋体" w:hint="eastAsia"/>
                <w:color w:val="000000"/>
                <w:kern w:val="0"/>
                <w:sz w:val="24"/>
              </w:rPr>
              <w:t>序号</w:t>
            </w:r>
          </w:p>
        </w:tc>
        <w:tc>
          <w:tcPr>
            <w:tcW w:w="1843" w:type="dxa"/>
            <w:vAlign w:val="center"/>
          </w:tcPr>
          <w:p w:rsidR="00DA3AB8" w:rsidRPr="008F3D66" w:rsidRDefault="00DA3AB8" w:rsidP="00926E81">
            <w:pPr>
              <w:autoSpaceDE w:val="0"/>
              <w:autoSpaceDN w:val="0"/>
              <w:adjustRightInd w:val="0"/>
              <w:jc w:val="center"/>
              <w:rPr>
                <w:rFonts w:ascii="宋体" w:hAnsi="宋体"/>
                <w:b/>
                <w:bCs/>
                <w:color w:val="000000"/>
                <w:kern w:val="0"/>
                <w:sz w:val="24"/>
              </w:rPr>
            </w:pPr>
            <w:r w:rsidRPr="008F3D66">
              <w:rPr>
                <w:rFonts w:ascii="宋体" w:hAnsi="宋体" w:hint="eastAsia"/>
                <w:color w:val="000000"/>
                <w:kern w:val="0"/>
                <w:sz w:val="24"/>
              </w:rPr>
              <w:t>持有基金份额</w:t>
            </w:r>
            <w:r w:rsidRPr="008F3D66">
              <w:rPr>
                <w:rFonts w:ascii="宋体" w:hAnsi="宋体" w:hint="eastAsia"/>
                <w:color w:val="000000"/>
                <w:kern w:val="0"/>
                <w:sz w:val="24"/>
              </w:rPr>
              <w:lastRenderedPageBreak/>
              <w:t>比例达到或者超过20%的时间区间</w:t>
            </w:r>
          </w:p>
        </w:tc>
        <w:tc>
          <w:tcPr>
            <w:tcW w:w="851" w:type="dxa"/>
            <w:vAlign w:val="center"/>
          </w:tcPr>
          <w:p w:rsidR="00DA3AB8" w:rsidRPr="008F3D66" w:rsidRDefault="00DA3AB8" w:rsidP="00926E81">
            <w:pPr>
              <w:widowControl/>
              <w:jc w:val="center"/>
              <w:rPr>
                <w:rFonts w:ascii="宋体" w:hAnsi="宋体"/>
                <w:b/>
                <w:bCs/>
                <w:color w:val="000000"/>
                <w:kern w:val="0"/>
                <w:sz w:val="24"/>
              </w:rPr>
            </w:pPr>
            <w:r w:rsidRPr="008F3D66">
              <w:rPr>
                <w:rFonts w:ascii="宋体" w:hAnsi="宋体" w:hint="eastAsia"/>
                <w:color w:val="000000"/>
                <w:kern w:val="0"/>
                <w:sz w:val="24"/>
              </w:rPr>
              <w:lastRenderedPageBreak/>
              <w:t>期初</w:t>
            </w:r>
            <w:r w:rsidRPr="008F3D66">
              <w:rPr>
                <w:rFonts w:ascii="宋体" w:hAnsi="宋体" w:hint="eastAsia"/>
                <w:color w:val="000000"/>
                <w:kern w:val="0"/>
                <w:sz w:val="24"/>
              </w:rPr>
              <w:lastRenderedPageBreak/>
              <w:t>份额</w:t>
            </w:r>
          </w:p>
        </w:tc>
        <w:tc>
          <w:tcPr>
            <w:tcW w:w="850" w:type="dxa"/>
            <w:vAlign w:val="center"/>
          </w:tcPr>
          <w:p w:rsidR="00DA3AB8" w:rsidRPr="008F3D66" w:rsidRDefault="00DA3AB8" w:rsidP="00926E81">
            <w:pPr>
              <w:widowControl/>
              <w:jc w:val="center"/>
              <w:rPr>
                <w:rFonts w:ascii="宋体" w:hAnsi="宋体"/>
                <w:b/>
                <w:bCs/>
                <w:color w:val="000000"/>
                <w:kern w:val="0"/>
                <w:sz w:val="24"/>
              </w:rPr>
            </w:pPr>
            <w:r w:rsidRPr="008F3D66">
              <w:rPr>
                <w:rFonts w:ascii="宋体" w:hAnsi="宋体" w:hint="eastAsia"/>
                <w:color w:val="000000"/>
                <w:kern w:val="0"/>
                <w:sz w:val="24"/>
              </w:rPr>
              <w:lastRenderedPageBreak/>
              <w:t>申购</w:t>
            </w:r>
            <w:r w:rsidRPr="008F3D66">
              <w:rPr>
                <w:rFonts w:ascii="宋体" w:hAnsi="宋体" w:hint="eastAsia"/>
                <w:color w:val="000000"/>
                <w:kern w:val="0"/>
                <w:sz w:val="24"/>
              </w:rPr>
              <w:lastRenderedPageBreak/>
              <w:t>份额</w:t>
            </w:r>
          </w:p>
        </w:tc>
        <w:tc>
          <w:tcPr>
            <w:tcW w:w="1134" w:type="dxa"/>
            <w:vAlign w:val="center"/>
          </w:tcPr>
          <w:p w:rsidR="00DA3AB8" w:rsidRPr="008F3D66" w:rsidRDefault="00DA3AB8" w:rsidP="00926E81">
            <w:pPr>
              <w:widowControl/>
              <w:jc w:val="center"/>
              <w:rPr>
                <w:rFonts w:ascii="宋体" w:hAnsi="宋体"/>
                <w:b/>
                <w:bCs/>
                <w:color w:val="000000"/>
                <w:kern w:val="0"/>
                <w:sz w:val="24"/>
              </w:rPr>
            </w:pPr>
            <w:r w:rsidRPr="008F3D66">
              <w:rPr>
                <w:rFonts w:ascii="宋体" w:hAnsi="宋体" w:hint="eastAsia"/>
                <w:color w:val="000000"/>
                <w:kern w:val="0"/>
                <w:sz w:val="24"/>
              </w:rPr>
              <w:lastRenderedPageBreak/>
              <w:t>赎回份</w:t>
            </w:r>
            <w:r w:rsidRPr="008F3D66">
              <w:rPr>
                <w:rFonts w:ascii="宋体" w:hAnsi="宋体" w:hint="eastAsia"/>
                <w:color w:val="000000"/>
                <w:kern w:val="0"/>
                <w:sz w:val="24"/>
              </w:rPr>
              <w:lastRenderedPageBreak/>
              <w:t>额</w:t>
            </w:r>
          </w:p>
        </w:tc>
        <w:tc>
          <w:tcPr>
            <w:tcW w:w="1419" w:type="dxa"/>
            <w:vAlign w:val="center"/>
          </w:tcPr>
          <w:p w:rsidR="00DA3AB8" w:rsidRPr="008F3D66" w:rsidRDefault="00DA3AB8" w:rsidP="00926E81">
            <w:pPr>
              <w:autoSpaceDE w:val="0"/>
              <w:autoSpaceDN w:val="0"/>
              <w:adjustRightInd w:val="0"/>
              <w:jc w:val="center"/>
              <w:rPr>
                <w:rFonts w:ascii="宋体" w:hAnsi="宋体"/>
                <w:b/>
                <w:bCs/>
                <w:color w:val="000000"/>
                <w:kern w:val="0"/>
                <w:sz w:val="24"/>
              </w:rPr>
            </w:pPr>
            <w:r w:rsidRPr="008F3D66">
              <w:rPr>
                <w:rFonts w:ascii="宋体" w:hAnsi="宋体" w:hint="eastAsia"/>
                <w:color w:val="000000"/>
                <w:kern w:val="0"/>
                <w:sz w:val="24"/>
              </w:rPr>
              <w:lastRenderedPageBreak/>
              <w:t>持有份额</w:t>
            </w:r>
          </w:p>
        </w:tc>
        <w:tc>
          <w:tcPr>
            <w:tcW w:w="1130" w:type="dxa"/>
            <w:vAlign w:val="center"/>
          </w:tcPr>
          <w:p w:rsidR="00DA3AB8" w:rsidRPr="008F3D66" w:rsidRDefault="00DA3AB8" w:rsidP="00926E81">
            <w:pPr>
              <w:autoSpaceDE w:val="0"/>
              <w:autoSpaceDN w:val="0"/>
              <w:adjustRightInd w:val="0"/>
              <w:jc w:val="center"/>
              <w:rPr>
                <w:rFonts w:ascii="宋体" w:hAnsi="宋体"/>
                <w:b/>
                <w:bCs/>
                <w:color w:val="000000"/>
                <w:kern w:val="0"/>
                <w:sz w:val="24"/>
              </w:rPr>
            </w:pPr>
            <w:r w:rsidRPr="008F3D66">
              <w:rPr>
                <w:rFonts w:ascii="宋体" w:hAnsi="宋体" w:hint="eastAsia"/>
                <w:color w:val="000000"/>
                <w:kern w:val="0"/>
                <w:sz w:val="24"/>
              </w:rPr>
              <w:t>份额占</w:t>
            </w:r>
            <w:r w:rsidRPr="008F3D66">
              <w:rPr>
                <w:rFonts w:ascii="宋体" w:hAnsi="宋体" w:hint="eastAsia"/>
                <w:color w:val="000000"/>
                <w:kern w:val="0"/>
                <w:sz w:val="24"/>
              </w:rPr>
              <w:lastRenderedPageBreak/>
              <w:t>比</w:t>
            </w:r>
          </w:p>
        </w:tc>
      </w:tr>
      <w:tr w:rsidR="00C75F3A" w:rsidRPr="008F3D66">
        <w:tc>
          <w:tcPr>
            <w:tcW w:w="993" w:type="dxa"/>
            <w:vMerge w:val="restart"/>
          </w:tcPr>
          <w:p w:rsidR="00C75F3A" w:rsidRPr="008F3D66" w:rsidRDefault="00C75F3A">
            <w:pPr>
              <w:rPr>
                <w:sz w:val="24"/>
              </w:rPr>
            </w:pPr>
          </w:p>
          <w:p w:rsidR="00C75F3A" w:rsidRPr="008F3D66" w:rsidRDefault="00BB5F12">
            <w:pPr>
              <w:rPr>
                <w:sz w:val="24"/>
              </w:rPr>
            </w:pPr>
            <w:r w:rsidRPr="008F3D66">
              <w:rPr>
                <w:rFonts w:ascii="宋体" w:hAnsi="宋体" w:hint="eastAsia"/>
                <w:bCs/>
                <w:color w:val="000000"/>
                <w:kern w:val="0"/>
                <w:sz w:val="24"/>
              </w:rPr>
              <w:t>机构</w:t>
            </w:r>
          </w:p>
        </w:tc>
        <w:tc>
          <w:tcPr>
            <w:tcW w:w="992" w:type="dxa"/>
            <w:vAlign w:val="center"/>
          </w:tcPr>
          <w:p w:rsidR="00C75F3A" w:rsidRPr="008F3D66" w:rsidRDefault="00BB5F12">
            <w:pPr>
              <w:jc w:val="center"/>
              <w:rPr>
                <w:sz w:val="24"/>
              </w:rPr>
            </w:pPr>
            <w:r w:rsidRPr="008F3D66">
              <w:rPr>
                <w:rFonts w:ascii="宋体" w:hAnsi="宋体"/>
                <w:color w:val="000000"/>
                <w:kern w:val="0"/>
                <w:sz w:val="24"/>
              </w:rPr>
              <w:t>1</w:t>
            </w:r>
          </w:p>
        </w:tc>
        <w:tc>
          <w:tcPr>
            <w:tcW w:w="1843" w:type="dxa"/>
            <w:vAlign w:val="center"/>
          </w:tcPr>
          <w:p w:rsidR="00C75F3A" w:rsidRPr="008F3D66" w:rsidRDefault="00BB5F12">
            <w:pPr>
              <w:jc w:val="center"/>
              <w:rPr>
                <w:sz w:val="24"/>
              </w:rPr>
            </w:pPr>
            <w:r w:rsidRPr="008F3D66">
              <w:rPr>
                <w:rFonts w:ascii="宋体" w:hAnsi="宋体"/>
                <w:color w:val="000000"/>
                <w:kern w:val="0"/>
                <w:sz w:val="24"/>
              </w:rPr>
              <w:t>2019/1/1-2019/6/30</w:t>
            </w:r>
          </w:p>
        </w:tc>
        <w:tc>
          <w:tcPr>
            <w:tcW w:w="851" w:type="dxa"/>
            <w:vAlign w:val="center"/>
          </w:tcPr>
          <w:p w:rsidR="00C75F3A" w:rsidRPr="008F3D66" w:rsidRDefault="00BB5F12">
            <w:pPr>
              <w:jc w:val="center"/>
              <w:rPr>
                <w:sz w:val="24"/>
              </w:rPr>
            </w:pPr>
            <w:r w:rsidRPr="008F3D66">
              <w:rPr>
                <w:rFonts w:ascii="宋体" w:hAnsi="宋体"/>
                <w:color w:val="000000"/>
                <w:kern w:val="0"/>
                <w:sz w:val="24"/>
              </w:rPr>
              <w:t>200,035,000.00</w:t>
            </w:r>
          </w:p>
        </w:tc>
        <w:tc>
          <w:tcPr>
            <w:tcW w:w="850" w:type="dxa"/>
            <w:vAlign w:val="center"/>
          </w:tcPr>
          <w:p w:rsidR="00C75F3A" w:rsidRPr="008F3D66" w:rsidRDefault="00BB5F12">
            <w:pPr>
              <w:jc w:val="center"/>
              <w:rPr>
                <w:sz w:val="24"/>
              </w:rPr>
            </w:pPr>
            <w:r w:rsidRPr="008F3D66">
              <w:rPr>
                <w:rFonts w:ascii="宋体" w:hAnsi="宋体"/>
                <w:color w:val="000000"/>
                <w:kern w:val="0"/>
                <w:sz w:val="24"/>
              </w:rPr>
              <w:t>-</w:t>
            </w:r>
          </w:p>
        </w:tc>
        <w:tc>
          <w:tcPr>
            <w:tcW w:w="1134" w:type="dxa"/>
            <w:vAlign w:val="center"/>
          </w:tcPr>
          <w:p w:rsidR="00C75F3A" w:rsidRPr="008F3D66" w:rsidRDefault="00BB5F12">
            <w:pPr>
              <w:jc w:val="center"/>
              <w:rPr>
                <w:sz w:val="24"/>
              </w:rPr>
            </w:pPr>
            <w:r w:rsidRPr="008F3D66">
              <w:rPr>
                <w:rFonts w:ascii="宋体" w:hAnsi="宋体"/>
                <w:color w:val="000000"/>
                <w:kern w:val="0"/>
                <w:sz w:val="24"/>
              </w:rPr>
              <w:t>200,035,000.00</w:t>
            </w:r>
          </w:p>
        </w:tc>
        <w:tc>
          <w:tcPr>
            <w:tcW w:w="1419" w:type="dxa"/>
            <w:vAlign w:val="center"/>
          </w:tcPr>
          <w:p w:rsidR="00C75F3A" w:rsidRPr="008F3D66" w:rsidRDefault="00BB5F12">
            <w:pPr>
              <w:jc w:val="center"/>
              <w:rPr>
                <w:sz w:val="24"/>
              </w:rPr>
            </w:pPr>
            <w:r w:rsidRPr="008F3D66">
              <w:rPr>
                <w:rFonts w:ascii="宋体" w:hAnsi="宋体"/>
                <w:color w:val="000000"/>
                <w:kern w:val="0"/>
                <w:sz w:val="24"/>
              </w:rPr>
              <w:t>-</w:t>
            </w:r>
          </w:p>
        </w:tc>
        <w:tc>
          <w:tcPr>
            <w:tcW w:w="1130" w:type="dxa"/>
            <w:vAlign w:val="center"/>
          </w:tcPr>
          <w:p w:rsidR="00C75F3A" w:rsidRPr="008F3D66" w:rsidRDefault="00BB5F12">
            <w:pPr>
              <w:jc w:val="center"/>
              <w:rPr>
                <w:sz w:val="24"/>
              </w:rPr>
            </w:pPr>
            <w:r w:rsidRPr="008F3D66">
              <w:rPr>
                <w:rFonts w:ascii="宋体" w:hAnsi="宋体"/>
                <w:color w:val="000000"/>
                <w:kern w:val="0"/>
                <w:sz w:val="24"/>
              </w:rPr>
              <w:t>-</w:t>
            </w:r>
          </w:p>
        </w:tc>
      </w:tr>
      <w:tr w:rsidR="00C75F3A" w:rsidRPr="008F3D66">
        <w:tc>
          <w:tcPr>
            <w:tcW w:w="993" w:type="dxa"/>
            <w:vMerge/>
          </w:tcPr>
          <w:p w:rsidR="00C75F3A" w:rsidRPr="008F3D66" w:rsidRDefault="00C75F3A">
            <w:pPr>
              <w:rPr>
                <w:sz w:val="24"/>
              </w:rPr>
            </w:pPr>
          </w:p>
        </w:tc>
        <w:tc>
          <w:tcPr>
            <w:tcW w:w="992" w:type="dxa"/>
            <w:vAlign w:val="center"/>
          </w:tcPr>
          <w:p w:rsidR="00C75F3A" w:rsidRPr="008F3D66" w:rsidRDefault="00BB5F12">
            <w:pPr>
              <w:jc w:val="center"/>
              <w:rPr>
                <w:sz w:val="24"/>
              </w:rPr>
            </w:pPr>
            <w:r w:rsidRPr="008F3D66">
              <w:rPr>
                <w:rFonts w:ascii="宋体" w:hAnsi="宋体"/>
                <w:color w:val="000000"/>
                <w:kern w:val="0"/>
                <w:sz w:val="24"/>
              </w:rPr>
              <w:t>2</w:t>
            </w:r>
          </w:p>
        </w:tc>
        <w:tc>
          <w:tcPr>
            <w:tcW w:w="1843" w:type="dxa"/>
            <w:vAlign w:val="center"/>
          </w:tcPr>
          <w:p w:rsidR="00C75F3A" w:rsidRPr="008F3D66" w:rsidRDefault="00BB5F12">
            <w:pPr>
              <w:jc w:val="center"/>
              <w:rPr>
                <w:sz w:val="24"/>
              </w:rPr>
            </w:pPr>
            <w:r w:rsidRPr="008F3D66">
              <w:rPr>
                <w:rFonts w:ascii="宋体" w:hAnsi="宋体"/>
                <w:color w:val="000000"/>
                <w:kern w:val="0"/>
                <w:sz w:val="24"/>
              </w:rPr>
              <w:t>2019/1/1-2019/6/30</w:t>
            </w:r>
          </w:p>
        </w:tc>
        <w:tc>
          <w:tcPr>
            <w:tcW w:w="851" w:type="dxa"/>
            <w:vAlign w:val="center"/>
          </w:tcPr>
          <w:p w:rsidR="00C75F3A" w:rsidRPr="008F3D66" w:rsidRDefault="00BB5F12">
            <w:pPr>
              <w:jc w:val="center"/>
              <w:rPr>
                <w:sz w:val="24"/>
              </w:rPr>
            </w:pPr>
            <w:r w:rsidRPr="008F3D66">
              <w:rPr>
                <w:rFonts w:ascii="宋体" w:hAnsi="宋体"/>
                <w:color w:val="000000"/>
                <w:kern w:val="0"/>
                <w:sz w:val="24"/>
              </w:rPr>
              <w:t>144,229,807.69</w:t>
            </w:r>
          </w:p>
        </w:tc>
        <w:tc>
          <w:tcPr>
            <w:tcW w:w="850" w:type="dxa"/>
            <w:vAlign w:val="center"/>
          </w:tcPr>
          <w:p w:rsidR="00C75F3A" w:rsidRPr="008F3D66" w:rsidRDefault="00BB5F12">
            <w:pPr>
              <w:jc w:val="center"/>
              <w:rPr>
                <w:sz w:val="24"/>
              </w:rPr>
            </w:pPr>
            <w:r w:rsidRPr="008F3D66">
              <w:rPr>
                <w:rFonts w:ascii="宋体" w:hAnsi="宋体"/>
                <w:color w:val="000000"/>
                <w:kern w:val="0"/>
                <w:sz w:val="24"/>
              </w:rPr>
              <w:t>-</w:t>
            </w:r>
          </w:p>
        </w:tc>
        <w:tc>
          <w:tcPr>
            <w:tcW w:w="1134" w:type="dxa"/>
            <w:vAlign w:val="center"/>
          </w:tcPr>
          <w:p w:rsidR="00C75F3A" w:rsidRPr="008F3D66" w:rsidRDefault="00BB5F12">
            <w:pPr>
              <w:jc w:val="center"/>
              <w:rPr>
                <w:sz w:val="24"/>
              </w:rPr>
            </w:pPr>
            <w:r w:rsidRPr="008F3D66">
              <w:rPr>
                <w:rFonts w:ascii="宋体" w:hAnsi="宋体"/>
                <w:color w:val="000000"/>
                <w:kern w:val="0"/>
                <w:sz w:val="24"/>
              </w:rPr>
              <w:t>-</w:t>
            </w:r>
          </w:p>
        </w:tc>
        <w:tc>
          <w:tcPr>
            <w:tcW w:w="1419" w:type="dxa"/>
            <w:vAlign w:val="center"/>
          </w:tcPr>
          <w:p w:rsidR="00C75F3A" w:rsidRPr="008F3D66" w:rsidRDefault="00BB5F12">
            <w:pPr>
              <w:jc w:val="center"/>
              <w:rPr>
                <w:sz w:val="24"/>
              </w:rPr>
            </w:pPr>
            <w:r w:rsidRPr="008F3D66">
              <w:rPr>
                <w:rFonts w:ascii="宋体" w:hAnsi="宋体"/>
                <w:color w:val="000000"/>
                <w:kern w:val="0"/>
                <w:sz w:val="24"/>
              </w:rPr>
              <w:t>144,229,807.69</w:t>
            </w:r>
          </w:p>
        </w:tc>
        <w:tc>
          <w:tcPr>
            <w:tcW w:w="1130" w:type="dxa"/>
            <w:vAlign w:val="center"/>
          </w:tcPr>
          <w:p w:rsidR="00C75F3A" w:rsidRPr="008F3D66" w:rsidRDefault="00BB5F12">
            <w:pPr>
              <w:jc w:val="center"/>
              <w:rPr>
                <w:sz w:val="24"/>
              </w:rPr>
            </w:pPr>
            <w:r w:rsidRPr="008F3D66">
              <w:rPr>
                <w:rFonts w:ascii="宋体" w:hAnsi="宋体"/>
                <w:color w:val="000000"/>
                <w:kern w:val="0"/>
                <w:sz w:val="24"/>
              </w:rPr>
              <w:t>39.79%</w:t>
            </w:r>
          </w:p>
        </w:tc>
      </w:tr>
      <w:tr w:rsidR="00C75F3A" w:rsidRPr="008F3D66">
        <w:tc>
          <w:tcPr>
            <w:tcW w:w="993" w:type="dxa"/>
            <w:vMerge/>
          </w:tcPr>
          <w:p w:rsidR="00C75F3A" w:rsidRPr="008F3D66" w:rsidRDefault="00C75F3A">
            <w:pPr>
              <w:rPr>
                <w:sz w:val="24"/>
              </w:rPr>
            </w:pPr>
          </w:p>
        </w:tc>
        <w:tc>
          <w:tcPr>
            <w:tcW w:w="992" w:type="dxa"/>
            <w:vAlign w:val="center"/>
          </w:tcPr>
          <w:p w:rsidR="00C75F3A" w:rsidRPr="008F3D66" w:rsidRDefault="00BB5F12">
            <w:pPr>
              <w:jc w:val="center"/>
              <w:rPr>
                <w:sz w:val="24"/>
              </w:rPr>
            </w:pPr>
            <w:r w:rsidRPr="008F3D66">
              <w:rPr>
                <w:rFonts w:ascii="宋体" w:hAnsi="宋体"/>
                <w:color w:val="000000"/>
                <w:kern w:val="0"/>
                <w:sz w:val="24"/>
              </w:rPr>
              <w:t>3</w:t>
            </w:r>
          </w:p>
        </w:tc>
        <w:tc>
          <w:tcPr>
            <w:tcW w:w="1843" w:type="dxa"/>
            <w:vAlign w:val="center"/>
          </w:tcPr>
          <w:p w:rsidR="00C75F3A" w:rsidRPr="008F3D66" w:rsidRDefault="00BB5F12">
            <w:pPr>
              <w:jc w:val="center"/>
              <w:rPr>
                <w:sz w:val="24"/>
              </w:rPr>
            </w:pPr>
            <w:r w:rsidRPr="008F3D66">
              <w:rPr>
                <w:rFonts w:ascii="宋体" w:hAnsi="宋体"/>
                <w:color w:val="000000"/>
                <w:kern w:val="0"/>
                <w:sz w:val="24"/>
              </w:rPr>
              <w:t>2019/1/1-2019/6/30</w:t>
            </w:r>
          </w:p>
        </w:tc>
        <w:tc>
          <w:tcPr>
            <w:tcW w:w="851" w:type="dxa"/>
            <w:vAlign w:val="center"/>
          </w:tcPr>
          <w:p w:rsidR="00C75F3A" w:rsidRPr="008F3D66" w:rsidRDefault="00BB5F12">
            <w:pPr>
              <w:jc w:val="center"/>
              <w:rPr>
                <w:sz w:val="24"/>
              </w:rPr>
            </w:pPr>
            <w:r w:rsidRPr="008F3D66">
              <w:rPr>
                <w:rFonts w:ascii="宋体" w:hAnsi="宋体"/>
                <w:color w:val="000000"/>
                <w:kern w:val="0"/>
                <w:sz w:val="24"/>
              </w:rPr>
              <w:t>-</w:t>
            </w:r>
          </w:p>
        </w:tc>
        <w:tc>
          <w:tcPr>
            <w:tcW w:w="850" w:type="dxa"/>
            <w:vAlign w:val="center"/>
          </w:tcPr>
          <w:p w:rsidR="00C75F3A" w:rsidRPr="008F3D66" w:rsidRDefault="00BB5F12">
            <w:pPr>
              <w:jc w:val="center"/>
              <w:rPr>
                <w:sz w:val="24"/>
              </w:rPr>
            </w:pPr>
            <w:r w:rsidRPr="008F3D66">
              <w:rPr>
                <w:rFonts w:ascii="宋体" w:hAnsi="宋体"/>
                <w:color w:val="000000"/>
                <w:kern w:val="0"/>
                <w:sz w:val="24"/>
              </w:rPr>
              <w:t>102,475,661.83</w:t>
            </w:r>
          </w:p>
        </w:tc>
        <w:tc>
          <w:tcPr>
            <w:tcW w:w="1134" w:type="dxa"/>
            <w:vAlign w:val="center"/>
          </w:tcPr>
          <w:p w:rsidR="00C75F3A" w:rsidRPr="008F3D66" w:rsidRDefault="00BB5F12">
            <w:pPr>
              <w:jc w:val="center"/>
              <w:rPr>
                <w:sz w:val="24"/>
              </w:rPr>
            </w:pPr>
            <w:r w:rsidRPr="008F3D66">
              <w:rPr>
                <w:rFonts w:ascii="宋体" w:hAnsi="宋体"/>
                <w:color w:val="000000"/>
                <w:kern w:val="0"/>
                <w:sz w:val="24"/>
              </w:rPr>
              <w:t>-</w:t>
            </w:r>
          </w:p>
        </w:tc>
        <w:tc>
          <w:tcPr>
            <w:tcW w:w="1419" w:type="dxa"/>
            <w:vAlign w:val="center"/>
          </w:tcPr>
          <w:p w:rsidR="00C75F3A" w:rsidRPr="008F3D66" w:rsidRDefault="00BB5F12">
            <w:pPr>
              <w:jc w:val="center"/>
              <w:rPr>
                <w:sz w:val="24"/>
              </w:rPr>
            </w:pPr>
            <w:r w:rsidRPr="008F3D66">
              <w:rPr>
                <w:rFonts w:ascii="宋体" w:hAnsi="宋体"/>
                <w:color w:val="000000"/>
                <w:kern w:val="0"/>
                <w:sz w:val="24"/>
              </w:rPr>
              <w:t>102,475,661.83</w:t>
            </w:r>
          </w:p>
        </w:tc>
        <w:tc>
          <w:tcPr>
            <w:tcW w:w="1130" w:type="dxa"/>
            <w:vAlign w:val="center"/>
          </w:tcPr>
          <w:p w:rsidR="00C75F3A" w:rsidRPr="008F3D66" w:rsidRDefault="00BB5F12">
            <w:pPr>
              <w:jc w:val="center"/>
              <w:rPr>
                <w:sz w:val="24"/>
              </w:rPr>
            </w:pPr>
            <w:r w:rsidRPr="008F3D66">
              <w:rPr>
                <w:rFonts w:ascii="宋体" w:hAnsi="宋体"/>
                <w:color w:val="000000"/>
                <w:kern w:val="0"/>
                <w:sz w:val="24"/>
              </w:rPr>
              <w:t>28.27%</w:t>
            </w:r>
          </w:p>
        </w:tc>
      </w:tr>
      <w:tr w:rsidR="00DA3AB8" w:rsidRPr="008F3D66" w:rsidTr="00926E81">
        <w:tc>
          <w:tcPr>
            <w:tcW w:w="9212" w:type="dxa"/>
            <w:gridSpan w:val="8"/>
            <w:vAlign w:val="center"/>
          </w:tcPr>
          <w:p w:rsidR="00DA3AB8" w:rsidRPr="008F3D66" w:rsidRDefault="00DA3AB8" w:rsidP="00926E81">
            <w:pPr>
              <w:autoSpaceDE w:val="0"/>
              <w:autoSpaceDN w:val="0"/>
              <w:adjustRightInd w:val="0"/>
              <w:jc w:val="center"/>
              <w:rPr>
                <w:rFonts w:ascii="宋体" w:hAnsi="宋体"/>
                <w:kern w:val="0"/>
                <w:sz w:val="24"/>
              </w:rPr>
            </w:pPr>
            <w:r w:rsidRPr="008F3D66">
              <w:rPr>
                <w:rFonts w:ascii="宋体" w:hAnsi="宋体"/>
                <w:color w:val="000000"/>
                <w:kern w:val="0"/>
                <w:sz w:val="24"/>
              </w:rPr>
              <w:t>产品特有风险</w:t>
            </w:r>
          </w:p>
        </w:tc>
      </w:tr>
      <w:tr w:rsidR="00DA3AB8" w:rsidRPr="008F3D66" w:rsidTr="00926E81">
        <w:tc>
          <w:tcPr>
            <w:tcW w:w="9212" w:type="dxa"/>
            <w:gridSpan w:val="8"/>
            <w:vAlign w:val="center"/>
          </w:tcPr>
          <w:p w:rsidR="00DA3AB8" w:rsidRPr="008F3D66" w:rsidRDefault="00DA3AB8" w:rsidP="00926E81">
            <w:pPr>
              <w:autoSpaceDE w:val="0"/>
              <w:autoSpaceDN w:val="0"/>
              <w:adjustRightInd w:val="0"/>
              <w:jc w:val="left"/>
              <w:rPr>
                <w:rFonts w:ascii="宋体" w:hAnsi="宋体"/>
                <w:kern w:val="0"/>
                <w:sz w:val="24"/>
              </w:rPr>
            </w:pPr>
            <w:r w:rsidRPr="008F3D66">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F3D66" w:rsidRDefault="008F3D66" w:rsidP="00DA3AB8">
      <w:pPr>
        <w:autoSpaceDE w:val="0"/>
        <w:autoSpaceDN w:val="0"/>
        <w:adjustRightInd w:val="0"/>
        <w:spacing w:line="360" w:lineRule="auto"/>
        <w:jc w:val="left"/>
        <w:rPr>
          <w:rFonts w:ascii="宋体" w:hAnsi="宋体"/>
          <w:b/>
          <w:bCs/>
          <w:color w:val="000000"/>
          <w:kern w:val="0"/>
          <w:sz w:val="24"/>
        </w:rPr>
      </w:pPr>
    </w:p>
    <w:p w:rsidR="00DA3AB8" w:rsidRPr="008F3D66" w:rsidRDefault="00DA3AB8" w:rsidP="00DA3AB8">
      <w:pPr>
        <w:autoSpaceDE w:val="0"/>
        <w:autoSpaceDN w:val="0"/>
        <w:adjustRightInd w:val="0"/>
        <w:spacing w:line="360" w:lineRule="auto"/>
        <w:jc w:val="left"/>
        <w:rPr>
          <w:rFonts w:ascii="宋体" w:hAnsi="宋体"/>
          <w:b/>
          <w:bCs/>
          <w:color w:val="000000"/>
          <w:kern w:val="0"/>
          <w:sz w:val="24"/>
        </w:rPr>
      </w:pPr>
      <w:bookmarkStart w:id="136" w:name="_GoBack"/>
      <w:bookmarkEnd w:id="136"/>
      <w:r w:rsidRPr="008F3D66">
        <w:rPr>
          <w:rFonts w:ascii="宋体" w:hAnsi="宋体" w:hint="eastAsia"/>
          <w:b/>
          <w:bCs/>
          <w:color w:val="000000"/>
          <w:kern w:val="0"/>
          <w:sz w:val="24"/>
        </w:rPr>
        <w:t>11.2 影响投资者决策的其他重要信息</w:t>
      </w:r>
    </w:p>
    <w:p w:rsidR="00DA3AB8" w:rsidRPr="008F3D66" w:rsidRDefault="00DA3AB8" w:rsidP="00DA3AB8">
      <w:pPr>
        <w:spacing w:line="360" w:lineRule="auto"/>
        <w:ind w:firstLineChars="200" w:firstLine="480"/>
        <w:rPr>
          <w:rFonts w:ascii="宋体" w:hAnsi="宋体"/>
          <w:color w:val="000000"/>
          <w:sz w:val="24"/>
        </w:rPr>
      </w:pPr>
      <w:r w:rsidRPr="008F3D66">
        <w:rPr>
          <w:rFonts w:ascii="宋体" w:hAnsi="宋体"/>
          <w:color w:val="000000"/>
          <w:sz w:val="24"/>
        </w:rPr>
        <w:t>根据有关法律法规规定和基金合同的约定，本基金可投资</w:t>
      </w:r>
      <w:proofErr w:type="gramStart"/>
      <w:r w:rsidRPr="008F3D66">
        <w:rPr>
          <w:rFonts w:ascii="宋体" w:hAnsi="宋体"/>
          <w:color w:val="000000"/>
          <w:sz w:val="24"/>
        </w:rPr>
        <w:t>科创板</w:t>
      </w:r>
      <w:proofErr w:type="gramEnd"/>
      <w:r w:rsidRPr="008F3D66">
        <w:rPr>
          <w:rFonts w:ascii="宋体" w:hAnsi="宋体"/>
          <w:color w:val="000000"/>
          <w:sz w:val="24"/>
        </w:rPr>
        <w:t>股票。基金资产投资于</w:t>
      </w:r>
      <w:proofErr w:type="gramStart"/>
      <w:r w:rsidRPr="008F3D66">
        <w:rPr>
          <w:rFonts w:ascii="宋体" w:hAnsi="宋体"/>
          <w:color w:val="000000"/>
          <w:sz w:val="24"/>
        </w:rPr>
        <w:t>科创板</w:t>
      </w:r>
      <w:proofErr w:type="gramEnd"/>
      <w:r w:rsidRPr="008F3D66">
        <w:rPr>
          <w:rFonts w:ascii="宋体" w:hAnsi="宋体"/>
          <w:color w:val="000000"/>
          <w:sz w:val="24"/>
        </w:rPr>
        <w:t>股票，会</w:t>
      </w:r>
      <w:proofErr w:type="gramStart"/>
      <w:r w:rsidRPr="008F3D66">
        <w:rPr>
          <w:rFonts w:ascii="宋体" w:hAnsi="宋体"/>
          <w:color w:val="000000"/>
          <w:sz w:val="24"/>
        </w:rPr>
        <w:t>面临科创板机制</w:t>
      </w:r>
      <w:proofErr w:type="gramEnd"/>
      <w:r w:rsidRPr="008F3D66">
        <w:rPr>
          <w:rFonts w:ascii="宋体" w:hAnsi="宋体"/>
          <w:color w:val="000000"/>
          <w:sz w:val="24"/>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C43" w:rsidRDefault="006D1C43">
      <w:r>
        <w:separator/>
      </w:r>
    </w:p>
  </w:endnote>
  <w:endnote w:type="continuationSeparator" w:id="0">
    <w:p w:rsidR="006D1C43" w:rsidRDefault="006D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81" w:rsidRDefault="00926E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81" w:rsidRDefault="00926E8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81" w:rsidRDefault="00926E8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81" w:rsidRDefault="00926E81"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6E81" w:rsidRDefault="00926E81"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81" w:rsidRDefault="00926E81"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3D66">
      <w:rPr>
        <w:noProof/>
        <w:kern w:val="0"/>
        <w:szCs w:val="21"/>
      </w:rPr>
      <w:t>32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8F3D66">
      <w:rPr>
        <w:noProof/>
        <w:kern w:val="0"/>
        <w:szCs w:val="21"/>
      </w:rPr>
      <w:t>33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C43" w:rsidRDefault="006D1C43">
      <w:r>
        <w:separator/>
      </w:r>
    </w:p>
  </w:footnote>
  <w:footnote w:type="continuationSeparator" w:id="0">
    <w:p w:rsidR="006D1C43" w:rsidRDefault="006D1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81" w:rsidRDefault="00926E8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81" w:rsidRPr="003B6CAA" w:rsidRDefault="00926E81" w:rsidP="002243A3">
    <w:pPr>
      <w:pStyle w:val="a9"/>
      <w:pBdr>
        <w:bottom w:val="single" w:sz="6" w:space="0" w:color="auto"/>
      </w:pBdr>
      <w:jc w:val="right"/>
    </w:pPr>
    <w:r w:rsidRPr="003B6CAA">
      <w:t>交银施罗德新回报灵活配置混合型证券投资基金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81" w:rsidRDefault="00926E8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1C43"/>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6"/>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6E81"/>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5F12"/>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5F3A"/>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DA802C-14F1-41C2-AF37-11743A23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3742</Words>
  <Characters>21336</Characters>
  <Application>Microsoft Office Word</Application>
  <DocSecurity>0</DocSecurity>
  <Lines>177</Lines>
  <Paragraphs>50</Paragraphs>
  <ScaleCrop>false</ScaleCrop>
  <Company/>
  <LinksUpToDate>false</LinksUpToDate>
  <CharactersWithSpaces>25028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665</cp:revision>
  <cp:lastPrinted>2007-07-19T00:46:00Z</cp:lastPrinted>
  <dcterms:created xsi:type="dcterms:W3CDTF">2013-08-19T07:43:00Z</dcterms:created>
  <dcterms:modified xsi:type="dcterms:W3CDTF">2019-08-27T08:05:00Z</dcterms:modified>
</cp:coreProperties>
</file>