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交银施罗德丰盈收益债券型证券投资基金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交银丰盈收益债券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519740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bookmarkStart w:id="6" w:name="_GoBack"/>
            <w:bookmarkEnd w:id="6"/>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契约型，本基金在基金合同生效之日起三年（含三年）的期间内封闭式运作（按照基金合同的约定提前转换基金运作方式的除外），封闭期结束后转为开放式运作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8</w:t>
            </w:r>
            <w:r w:rsidRPr="008A1551">
              <w:rPr>
                <w:sz w:val="24"/>
              </w:rPr>
              <w:t>月</w:t>
            </w:r>
            <w:r w:rsidRPr="008A1551">
              <w:rPr>
                <w:sz w:val="24"/>
              </w:rPr>
              <w:t>11</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21,343,218.63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交银丰盈收益债券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交银丰盈收益债券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519740</w:t>
            </w:r>
          </w:p>
        </w:tc>
        <w:tc>
          <w:tcPr>
            <w:tcW w:w="2596" w:type="dxa"/>
            <w:vAlign w:val="center"/>
          </w:tcPr>
          <w:p w:rsidR="0073136C" w:rsidRPr="008A1551" w:rsidRDefault="0073136C" w:rsidP="009E1EA4">
            <w:pPr>
              <w:spacing w:before="29" w:line="288" w:lineRule="auto"/>
              <w:jc w:val="center"/>
              <w:rPr>
                <w:sz w:val="24"/>
              </w:rPr>
            </w:pPr>
            <w:r w:rsidRPr="008A1551">
              <w:rPr>
                <w:sz w:val="24"/>
              </w:rPr>
              <w:t>005025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20,084,436.20</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1,258,782.43</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日起转为开放式运作。</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追求在有效控制风险的前提下，力争为基金资产获得稳健的投资收益和超额回报。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043298" w:rsidRDefault="002B09D2">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043298" w:rsidRDefault="00043298">
            <w:pPr>
              <w:spacing w:before="29" w:line="288" w:lineRule="auto"/>
              <w:rPr>
                <w:sz w:val="24"/>
              </w:rPr>
            </w:pPr>
          </w:p>
          <w:p w:rsidR="001548F9" w:rsidRPr="008A1551" w:rsidRDefault="001548F9" w:rsidP="009E1EA4">
            <w:pPr>
              <w:spacing w:before="29" w:line="288" w:lineRule="auto"/>
              <w:rPr>
                <w:sz w:val="24"/>
              </w:rPr>
            </w:pPr>
            <w:r w:rsidRPr="008A1551">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w:t>
            </w:r>
            <w:r w:rsidRPr="008A1551">
              <w:rPr>
                <w:sz w:val="24"/>
              </w:rPr>
              <w:lastRenderedPageBreak/>
              <w:t>在严谨深入的信用分析基础上，综合考量信用债券的信用评级，以及各类债券的流动性、供求关系和收益率水平等，自下而上精选个券。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lastRenderedPageBreak/>
              <w:t>业绩比较基准</w:t>
            </w:r>
          </w:p>
        </w:tc>
        <w:tc>
          <w:tcPr>
            <w:tcW w:w="6873" w:type="dxa"/>
            <w:vAlign w:val="center"/>
          </w:tcPr>
          <w:p w:rsidR="00043298" w:rsidRDefault="002B09D2">
            <w:pPr>
              <w:spacing w:before="29" w:line="288" w:lineRule="auto"/>
              <w:rPr>
                <w:sz w:val="24"/>
              </w:rPr>
            </w:pPr>
            <w:r>
              <w:rPr>
                <w:sz w:val="24"/>
              </w:rPr>
              <w:t>封闭期内业绩比较基准：三年期银行定期存款税后收益率</w:t>
            </w:r>
          </w:p>
          <w:p w:rsidR="001548F9" w:rsidRPr="008A1551" w:rsidRDefault="001548F9" w:rsidP="009E1EA4">
            <w:pPr>
              <w:spacing w:before="29" w:line="288" w:lineRule="auto"/>
              <w:rPr>
                <w:sz w:val="24"/>
              </w:rPr>
            </w:pPr>
            <w:r w:rsidRPr="008A1551">
              <w:rPr>
                <w:sz w:val="24"/>
              </w:rPr>
              <w:t>开放期内业绩比较基准：中债综合全价指数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交银丰盈收益债券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交银丰盈收益债券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257,364.18</w:t>
            </w:r>
          </w:p>
        </w:tc>
        <w:tc>
          <w:tcPr>
            <w:tcW w:w="2558" w:type="dxa"/>
            <w:vAlign w:val="center"/>
          </w:tcPr>
          <w:p w:rsidR="001548F9" w:rsidRPr="008A1551" w:rsidRDefault="001548F9" w:rsidP="009E1EA4">
            <w:pPr>
              <w:spacing w:before="29" w:line="288" w:lineRule="auto"/>
              <w:jc w:val="right"/>
              <w:rPr>
                <w:sz w:val="24"/>
              </w:rPr>
            </w:pPr>
            <w:r w:rsidRPr="008A1551">
              <w:rPr>
                <w:sz w:val="24"/>
              </w:rPr>
              <w:t>29,808.63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lastRenderedPageBreak/>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223,307.83</w:t>
            </w:r>
          </w:p>
        </w:tc>
        <w:tc>
          <w:tcPr>
            <w:tcW w:w="2558" w:type="dxa"/>
            <w:vAlign w:val="center"/>
          </w:tcPr>
          <w:p w:rsidR="001548F9" w:rsidRPr="008A1551" w:rsidRDefault="001548F9" w:rsidP="009E1EA4">
            <w:pPr>
              <w:spacing w:before="29" w:line="288" w:lineRule="auto"/>
              <w:jc w:val="right"/>
              <w:rPr>
                <w:sz w:val="24"/>
              </w:rPr>
            </w:pPr>
            <w:r w:rsidRPr="008A1551">
              <w:rPr>
                <w:sz w:val="24"/>
              </w:rPr>
              <w:t>33,848.59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0.0085</w:t>
            </w:r>
          </w:p>
        </w:tc>
        <w:tc>
          <w:tcPr>
            <w:tcW w:w="2558" w:type="dxa"/>
            <w:vAlign w:val="center"/>
          </w:tcPr>
          <w:p w:rsidR="001548F9" w:rsidRPr="008A1551" w:rsidRDefault="001548F9" w:rsidP="009E1EA4">
            <w:pPr>
              <w:spacing w:before="29" w:line="288" w:lineRule="auto"/>
              <w:jc w:val="right"/>
              <w:rPr>
                <w:sz w:val="24"/>
              </w:rPr>
            </w:pPr>
            <w:r w:rsidRPr="008A1551">
              <w:rPr>
                <w:sz w:val="24"/>
              </w:rPr>
              <w:t>0.0093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0.75%</w:t>
            </w:r>
          </w:p>
        </w:tc>
        <w:tc>
          <w:tcPr>
            <w:tcW w:w="2558" w:type="dxa"/>
            <w:vAlign w:val="center"/>
          </w:tcPr>
          <w:p w:rsidR="001548F9" w:rsidRPr="008A1551" w:rsidRDefault="001548F9" w:rsidP="009E1EA4">
            <w:pPr>
              <w:spacing w:before="29" w:line="288" w:lineRule="auto"/>
              <w:jc w:val="right"/>
              <w:rPr>
                <w:sz w:val="24"/>
              </w:rPr>
            </w:pPr>
            <w:r w:rsidRPr="008A1551">
              <w:rPr>
                <w:sz w:val="24"/>
              </w:rPr>
              <w:t>0.45%</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交银丰盈收益债券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交银丰盈收益债券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0.069</w:t>
            </w:r>
          </w:p>
        </w:tc>
        <w:tc>
          <w:tcPr>
            <w:tcW w:w="2558" w:type="dxa"/>
            <w:vAlign w:val="center"/>
          </w:tcPr>
          <w:p w:rsidR="001548F9" w:rsidRPr="008A1551" w:rsidRDefault="001548F9" w:rsidP="009E1EA4">
            <w:pPr>
              <w:spacing w:before="29" w:line="288" w:lineRule="auto"/>
              <w:jc w:val="right"/>
              <w:rPr>
                <w:sz w:val="24"/>
              </w:rPr>
            </w:pPr>
            <w:r w:rsidRPr="008A1551">
              <w:rPr>
                <w:sz w:val="24"/>
              </w:rPr>
              <w:t>0.111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21,588,324.34</w:t>
            </w:r>
          </w:p>
        </w:tc>
        <w:tc>
          <w:tcPr>
            <w:tcW w:w="2558" w:type="dxa"/>
            <w:vAlign w:val="center"/>
          </w:tcPr>
          <w:p w:rsidR="001548F9" w:rsidRPr="008A1551" w:rsidRDefault="001548F9" w:rsidP="009E1EA4">
            <w:pPr>
              <w:spacing w:before="29" w:line="288" w:lineRule="auto"/>
              <w:jc w:val="right"/>
              <w:rPr>
                <w:sz w:val="24"/>
              </w:rPr>
            </w:pPr>
            <w:r w:rsidRPr="008A1551">
              <w:rPr>
                <w:sz w:val="24"/>
              </w:rPr>
              <w:t>1,405,946.60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1.075</w:t>
            </w:r>
          </w:p>
        </w:tc>
        <w:tc>
          <w:tcPr>
            <w:tcW w:w="2558" w:type="dxa"/>
            <w:vAlign w:val="center"/>
          </w:tcPr>
          <w:p w:rsidR="001548F9" w:rsidRPr="008A1551" w:rsidRDefault="001548F9" w:rsidP="009E1EA4">
            <w:pPr>
              <w:spacing w:before="29" w:line="288" w:lineRule="auto"/>
              <w:jc w:val="right"/>
              <w:rPr>
                <w:sz w:val="24"/>
              </w:rPr>
            </w:pPr>
            <w:r w:rsidRPr="008A1551">
              <w:rPr>
                <w:sz w:val="24"/>
              </w:rPr>
              <w:t>1.117</w:t>
            </w:r>
          </w:p>
        </w:tc>
      </w:tr>
    </w:tbl>
    <w:p w:rsidR="00043298" w:rsidRDefault="002B09D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交银丰盈收益债券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043298">
        <w:tc>
          <w:tcPr>
            <w:tcW w:w="1497" w:type="dxa"/>
            <w:vAlign w:val="center"/>
          </w:tcPr>
          <w:p w:rsidR="00043298" w:rsidRDefault="002B09D2">
            <w:pPr>
              <w:jc w:val="left"/>
            </w:pPr>
            <w:r>
              <w:rPr>
                <w:color w:val="000000"/>
                <w:sz w:val="24"/>
              </w:rPr>
              <w:t>过去一个月</w:t>
            </w:r>
          </w:p>
        </w:tc>
        <w:tc>
          <w:tcPr>
            <w:tcW w:w="1251" w:type="dxa"/>
            <w:vAlign w:val="center"/>
          </w:tcPr>
          <w:p w:rsidR="00043298" w:rsidRDefault="002B09D2">
            <w:pPr>
              <w:jc w:val="center"/>
            </w:pPr>
            <w:r>
              <w:rPr>
                <w:color w:val="000000"/>
                <w:sz w:val="24"/>
              </w:rPr>
              <w:t>0.28%</w:t>
            </w:r>
          </w:p>
        </w:tc>
        <w:tc>
          <w:tcPr>
            <w:tcW w:w="1250" w:type="dxa"/>
            <w:vAlign w:val="center"/>
          </w:tcPr>
          <w:p w:rsidR="00043298" w:rsidRDefault="002B09D2">
            <w:pPr>
              <w:jc w:val="center"/>
            </w:pPr>
            <w:r>
              <w:rPr>
                <w:color w:val="000000"/>
                <w:sz w:val="24"/>
              </w:rPr>
              <w:t>0.05%</w:t>
            </w:r>
          </w:p>
        </w:tc>
        <w:tc>
          <w:tcPr>
            <w:tcW w:w="1250" w:type="dxa"/>
            <w:vAlign w:val="center"/>
          </w:tcPr>
          <w:p w:rsidR="00043298" w:rsidRDefault="002B09D2">
            <w:pPr>
              <w:jc w:val="center"/>
            </w:pPr>
            <w:r>
              <w:rPr>
                <w:color w:val="000000"/>
                <w:sz w:val="24"/>
              </w:rPr>
              <w:t>0.28%</w:t>
            </w:r>
          </w:p>
        </w:tc>
        <w:tc>
          <w:tcPr>
            <w:tcW w:w="1250" w:type="dxa"/>
            <w:vAlign w:val="center"/>
          </w:tcPr>
          <w:p w:rsidR="00043298" w:rsidRDefault="002B09D2">
            <w:pPr>
              <w:jc w:val="center"/>
            </w:pPr>
            <w:r>
              <w:rPr>
                <w:color w:val="000000"/>
                <w:sz w:val="24"/>
              </w:rPr>
              <w:t>0.03%</w:t>
            </w:r>
          </w:p>
        </w:tc>
        <w:tc>
          <w:tcPr>
            <w:tcW w:w="1250" w:type="dxa"/>
            <w:vAlign w:val="center"/>
          </w:tcPr>
          <w:p w:rsidR="00043298" w:rsidRDefault="002B09D2">
            <w:pPr>
              <w:jc w:val="center"/>
            </w:pPr>
            <w:r>
              <w:rPr>
                <w:color w:val="000000"/>
                <w:sz w:val="24"/>
              </w:rPr>
              <w:t>0.00%</w:t>
            </w:r>
          </w:p>
        </w:tc>
        <w:tc>
          <w:tcPr>
            <w:tcW w:w="1250" w:type="dxa"/>
            <w:vAlign w:val="center"/>
          </w:tcPr>
          <w:p w:rsidR="00043298" w:rsidRDefault="002B09D2">
            <w:pPr>
              <w:jc w:val="center"/>
            </w:pPr>
            <w:r>
              <w:rPr>
                <w:color w:val="000000"/>
                <w:sz w:val="24"/>
              </w:rPr>
              <w:t>0.02%</w:t>
            </w:r>
          </w:p>
        </w:tc>
      </w:tr>
      <w:tr w:rsidR="00043298">
        <w:tc>
          <w:tcPr>
            <w:tcW w:w="1497" w:type="dxa"/>
            <w:vAlign w:val="center"/>
          </w:tcPr>
          <w:p w:rsidR="00043298" w:rsidRDefault="002B09D2">
            <w:pPr>
              <w:jc w:val="left"/>
            </w:pPr>
            <w:r>
              <w:rPr>
                <w:color w:val="000000"/>
                <w:sz w:val="24"/>
              </w:rPr>
              <w:t>过去三个月</w:t>
            </w:r>
          </w:p>
        </w:tc>
        <w:tc>
          <w:tcPr>
            <w:tcW w:w="1251" w:type="dxa"/>
            <w:vAlign w:val="center"/>
          </w:tcPr>
          <w:p w:rsidR="00043298" w:rsidRDefault="002B09D2">
            <w:pPr>
              <w:jc w:val="center"/>
            </w:pPr>
            <w:r>
              <w:rPr>
                <w:color w:val="000000"/>
                <w:sz w:val="24"/>
              </w:rPr>
              <w:t>0.28%</w:t>
            </w:r>
          </w:p>
        </w:tc>
        <w:tc>
          <w:tcPr>
            <w:tcW w:w="1250" w:type="dxa"/>
            <w:vAlign w:val="center"/>
          </w:tcPr>
          <w:p w:rsidR="00043298" w:rsidRDefault="002B09D2">
            <w:pPr>
              <w:jc w:val="center"/>
            </w:pPr>
            <w:r>
              <w:rPr>
                <w:color w:val="000000"/>
                <w:sz w:val="24"/>
              </w:rPr>
              <w:t>0.06%</w:t>
            </w:r>
          </w:p>
        </w:tc>
        <w:tc>
          <w:tcPr>
            <w:tcW w:w="1250" w:type="dxa"/>
            <w:vAlign w:val="center"/>
          </w:tcPr>
          <w:p w:rsidR="00043298" w:rsidRDefault="002B09D2">
            <w:pPr>
              <w:jc w:val="center"/>
            </w:pPr>
            <w:r>
              <w:rPr>
                <w:color w:val="000000"/>
                <w:sz w:val="24"/>
              </w:rPr>
              <w:t>-0.23%</w:t>
            </w:r>
          </w:p>
        </w:tc>
        <w:tc>
          <w:tcPr>
            <w:tcW w:w="1250" w:type="dxa"/>
            <w:vAlign w:val="center"/>
          </w:tcPr>
          <w:p w:rsidR="00043298" w:rsidRDefault="002B09D2">
            <w:pPr>
              <w:jc w:val="center"/>
            </w:pPr>
            <w:r>
              <w:rPr>
                <w:color w:val="000000"/>
                <w:sz w:val="24"/>
              </w:rPr>
              <w:t>0.06%</w:t>
            </w:r>
          </w:p>
        </w:tc>
        <w:tc>
          <w:tcPr>
            <w:tcW w:w="1250" w:type="dxa"/>
            <w:vAlign w:val="center"/>
          </w:tcPr>
          <w:p w:rsidR="00043298" w:rsidRDefault="002B09D2">
            <w:pPr>
              <w:jc w:val="center"/>
            </w:pPr>
            <w:r>
              <w:rPr>
                <w:color w:val="000000"/>
                <w:sz w:val="24"/>
              </w:rPr>
              <w:t>0.51%</w:t>
            </w:r>
          </w:p>
        </w:tc>
        <w:tc>
          <w:tcPr>
            <w:tcW w:w="1250" w:type="dxa"/>
            <w:vAlign w:val="center"/>
          </w:tcPr>
          <w:p w:rsidR="00043298" w:rsidRDefault="002B09D2">
            <w:pPr>
              <w:jc w:val="center"/>
            </w:pPr>
            <w:r>
              <w:rPr>
                <w:color w:val="000000"/>
                <w:sz w:val="24"/>
              </w:rPr>
              <w:t>0.00%</w:t>
            </w:r>
          </w:p>
        </w:tc>
      </w:tr>
      <w:tr w:rsidR="00043298">
        <w:tc>
          <w:tcPr>
            <w:tcW w:w="1497" w:type="dxa"/>
            <w:vAlign w:val="center"/>
          </w:tcPr>
          <w:p w:rsidR="00043298" w:rsidRDefault="002B09D2">
            <w:pPr>
              <w:jc w:val="left"/>
            </w:pPr>
            <w:r>
              <w:rPr>
                <w:color w:val="000000"/>
                <w:sz w:val="24"/>
              </w:rPr>
              <w:t>过去六个月</w:t>
            </w:r>
          </w:p>
        </w:tc>
        <w:tc>
          <w:tcPr>
            <w:tcW w:w="1251" w:type="dxa"/>
            <w:vAlign w:val="center"/>
          </w:tcPr>
          <w:p w:rsidR="00043298" w:rsidRDefault="002B09D2">
            <w:pPr>
              <w:jc w:val="center"/>
            </w:pPr>
            <w:r>
              <w:rPr>
                <w:color w:val="000000"/>
                <w:sz w:val="24"/>
              </w:rPr>
              <w:t>0.75%</w:t>
            </w:r>
          </w:p>
        </w:tc>
        <w:tc>
          <w:tcPr>
            <w:tcW w:w="1250" w:type="dxa"/>
            <w:vAlign w:val="center"/>
          </w:tcPr>
          <w:p w:rsidR="00043298" w:rsidRDefault="002B09D2">
            <w:pPr>
              <w:jc w:val="center"/>
            </w:pPr>
            <w:r>
              <w:rPr>
                <w:color w:val="000000"/>
                <w:sz w:val="24"/>
              </w:rPr>
              <w:t>0.05%</w:t>
            </w:r>
          </w:p>
        </w:tc>
        <w:tc>
          <w:tcPr>
            <w:tcW w:w="1250" w:type="dxa"/>
            <w:vAlign w:val="center"/>
          </w:tcPr>
          <w:p w:rsidR="00043298" w:rsidRDefault="002B09D2">
            <w:pPr>
              <w:jc w:val="center"/>
            </w:pPr>
            <w:r>
              <w:rPr>
                <w:color w:val="000000"/>
                <w:sz w:val="24"/>
              </w:rPr>
              <w:t>0.24%</w:t>
            </w:r>
          </w:p>
        </w:tc>
        <w:tc>
          <w:tcPr>
            <w:tcW w:w="1250" w:type="dxa"/>
            <w:vAlign w:val="center"/>
          </w:tcPr>
          <w:p w:rsidR="00043298" w:rsidRDefault="002B09D2">
            <w:pPr>
              <w:jc w:val="center"/>
            </w:pPr>
            <w:r>
              <w:rPr>
                <w:color w:val="000000"/>
                <w:sz w:val="24"/>
              </w:rPr>
              <w:t>0.06%</w:t>
            </w:r>
          </w:p>
        </w:tc>
        <w:tc>
          <w:tcPr>
            <w:tcW w:w="1250" w:type="dxa"/>
            <w:vAlign w:val="center"/>
          </w:tcPr>
          <w:p w:rsidR="00043298" w:rsidRDefault="002B09D2">
            <w:pPr>
              <w:jc w:val="center"/>
            </w:pPr>
            <w:r>
              <w:rPr>
                <w:color w:val="000000"/>
                <w:sz w:val="24"/>
              </w:rPr>
              <w:t>0.51%</w:t>
            </w:r>
          </w:p>
        </w:tc>
        <w:tc>
          <w:tcPr>
            <w:tcW w:w="1250" w:type="dxa"/>
            <w:vAlign w:val="center"/>
          </w:tcPr>
          <w:p w:rsidR="00043298" w:rsidRDefault="002B09D2">
            <w:pPr>
              <w:jc w:val="center"/>
            </w:pPr>
            <w:r>
              <w:rPr>
                <w:color w:val="000000"/>
                <w:sz w:val="24"/>
              </w:rPr>
              <w:t>-0.01%</w:t>
            </w:r>
          </w:p>
        </w:tc>
      </w:tr>
      <w:tr w:rsidR="00043298">
        <w:tc>
          <w:tcPr>
            <w:tcW w:w="1497" w:type="dxa"/>
            <w:vAlign w:val="center"/>
          </w:tcPr>
          <w:p w:rsidR="00043298" w:rsidRDefault="002B09D2">
            <w:pPr>
              <w:jc w:val="left"/>
            </w:pPr>
            <w:r>
              <w:rPr>
                <w:color w:val="000000"/>
                <w:sz w:val="24"/>
              </w:rPr>
              <w:t>过去一年</w:t>
            </w:r>
          </w:p>
        </w:tc>
        <w:tc>
          <w:tcPr>
            <w:tcW w:w="1251" w:type="dxa"/>
            <w:vAlign w:val="center"/>
          </w:tcPr>
          <w:p w:rsidR="00043298" w:rsidRDefault="002B09D2">
            <w:pPr>
              <w:jc w:val="center"/>
            </w:pPr>
            <w:r>
              <w:rPr>
                <w:color w:val="000000"/>
                <w:sz w:val="24"/>
              </w:rPr>
              <w:t>2.28%</w:t>
            </w:r>
          </w:p>
        </w:tc>
        <w:tc>
          <w:tcPr>
            <w:tcW w:w="1250" w:type="dxa"/>
            <w:vAlign w:val="center"/>
          </w:tcPr>
          <w:p w:rsidR="00043298" w:rsidRDefault="002B09D2">
            <w:pPr>
              <w:jc w:val="center"/>
            </w:pPr>
            <w:r>
              <w:rPr>
                <w:color w:val="000000"/>
                <w:sz w:val="24"/>
              </w:rPr>
              <w:t>0.05%</w:t>
            </w:r>
          </w:p>
        </w:tc>
        <w:tc>
          <w:tcPr>
            <w:tcW w:w="1250" w:type="dxa"/>
            <w:vAlign w:val="center"/>
          </w:tcPr>
          <w:p w:rsidR="00043298" w:rsidRDefault="002B09D2">
            <w:pPr>
              <w:jc w:val="center"/>
            </w:pPr>
            <w:r>
              <w:rPr>
                <w:color w:val="000000"/>
                <w:sz w:val="24"/>
              </w:rPr>
              <w:t>2.81%</w:t>
            </w:r>
          </w:p>
        </w:tc>
        <w:tc>
          <w:tcPr>
            <w:tcW w:w="1250" w:type="dxa"/>
            <w:vAlign w:val="center"/>
          </w:tcPr>
          <w:p w:rsidR="00043298" w:rsidRDefault="002B09D2">
            <w:pPr>
              <w:jc w:val="center"/>
            </w:pPr>
            <w:r>
              <w:rPr>
                <w:color w:val="000000"/>
                <w:sz w:val="24"/>
              </w:rPr>
              <w:t>0.06%</w:t>
            </w:r>
          </w:p>
        </w:tc>
        <w:tc>
          <w:tcPr>
            <w:tcW w:w="1250" w:type="dxa"/>
            <w:vAlign w:val="center"/>
          </w:tcPr>
          <w:p w:rsidR="00043298" w:rsidRDefault="002B09D2">
            <w:pPr>
              <w:jc w:val="center"/>
            </w:pPr>
            <w:r>
              <w:rPr>
                <w:color w:val="000000"/>
                <w:sz w:val="24"/>
              </w:rPr>
              <w:t>-0.53%</w:t>
            </w:r>
          </w:p>
        </w:tc>
        <w:tc>
          <w:tcPr>
            <w:tcW w:w="1250" w:type="dxa"/>
            <w:vAlign w:val="center"/>
          </w:tcPr>
          <w:p w:rsidR="00043298" w:rsidRDefault="002B09D2">
            <w:pPr>
              <w:jc w:val="center"/>
            </w:pPr>
            <w:r>
              <w:rPr>
                <w:color w:val="000000"/>
                <w:sz w:val="24"/>
              </w:rPr>
              <w:t>-0.01%</w:t>
            </w:r>
          </w:p>
        </w:tc>
      </w:tr>
      <w:tr w:rsidR="00043298">
        <w:tc>
          <w:tcPr>
            <w:tcW w:w="1497" w:type="dxa"/>
            <w:vAlign w:val="center"/>
          </w:tcPr>
          <w:p w:rsidR="00043298" w:rsidRDefault="002B09D2">
            <w:pPr>
              <w:jc w:val="left"/>
            </w:pPr>
            <w:r>
              <w:rPr>
                <w:color w:val="000000"/>
                <w:sz w:val="24"/>
              </w:rPr>
              <w:t>过去三年</w:t>
            </w:r>
          </w:p>
        </w:tc>
        <w:tc>
          <w:tcPr>
            <w:tcW w:w="1251" w:type="dxa"/>
            <w:vAlign w:val="center"/>
          </w:tcPr>
          <w:p w:rsidR="00043298" w:rsidRDefault="002B09D2">
            <w:pPr>
              <w:jc w:val="center"/>
            </w:pPr>
            <w:r>
              <w:rPr>
                <w:color w:val="000000"/>
                <w:sz w:val="24"/>
              </w:rPr>
              <w:t>7.66%</w:t>
            </w:r>
          </w:p>
        </w:tc>
        <w:tc>
          <w:tcPr>
            <w:tcW w:w="1250" w:type="dxa"/>
            <w:vAlign w:val="center"/>
          </w:tcPr>
          <w:p w:rsidR="00043298" w:rsidRDefault="002B09D2">
            <w:pPr>
              <w:jc w:val="center"/>
            </w:pPr>
            <w:r>
              <w:rPr>
                <w:color w:val="000000"/>
                <w:sz w:val="24"/>
              </w:rPr>
              <w:t>0.06%</w:t>
            </w:r>
          </w:p>
        </w:tc>
        <w:tc>
          <w:tcPr>
            <w:tcW w:w="1250" w:type="dxa"/>
            <w:vAlign w:val="center"/>
          </w:tcPr>
          <w:p w:rsidR="00043298" w:rsidRDefault="002B09D2">
            <w:pPr>
              <w:jc w:val="center"/>
            </w:pPr>
            <w:r>
              <w:rPr>
                <w:color w:val="000000"/>
                <w:sz w:val="24"/>
              </w:rPr>
              <w:t>6.69%</w:t>
            </w:r>
          </w:p>
        </w:tc>
        <w:tc>
          <w:tcPr>
            <w:tcW w:w="1250" w:type="dxa"/>
            <w:vAlign w:val="center"/>
          </w:tcPr>
          <w:p w:rsidR="00043298" w:rsidRDefault="002B09D2">
            <w:pPr>
              <w:jc w:val="center"/>
            </w:pPr>
            <w:r>
              <w:rPr>
                <w:color w:val="000000"/>
                <w:sz w:val="24"/>
              </w:rPr>
              <w:t>0.05%</w:t>
            </w:r>
          </w:p>
        </w:tc>
        <w:tc>
          <w:tcPr>
            <w:tcW w:w="1250" w:type="dxa"/>
            <w:vAlign w:val="center"/>
          </w:tcPr>
          <w:p w:rsidR="00043298" w:rsidRDefault="002B09D2">
            <w:pPr>
              <w:jc w:val="center"/>
            </w:pPr>
            <w:r>
              <w:rPr>
                <w:color w:val="000000"/>
                <w:sz w:val="24"/>
              </w:rPr>
              <w:t>0.97%</w:t>
            </w:r>
          </w:p>
        </w:tc>
        <w:tc>
          <w:tcPr>
            <w:tcW w:w="1250" w:type="dxa"/>
            <w:vAlign w:val="center"/>
          </w:tcPr>
          <w:p w:rsidR="00043298" w:rsidRDefault="002B09D2">
            <w:pPr>
              <w:jc w:val="center"/>
            </w:pPr>
            <w:r>
              <w:rPr>
                <w:color w:val="000000"/>
                <w:sz w:val="24"/>
              </w:rPr>
              <w:t>0.01%</w:t>
            </w:r>
          </w:p>
        </w:tc>
      </w:tr>
      <w:tr w:rsidR="00043298">
        <w:tc>
          <w:tcPr>
            <w:tcW w:w="1497" w:type="dxa"/>
            <w:vAlign w:val="center"/>
          </w:tcPr>
          <w:p w:rsidR="00043298" w:rsidRDefault="002B09D2">
            <w:pPr>
              <w:jc w:val="left"/>
            </w:pPr>
            <w:r>
              <w:rPr>
                <w:color w:val="000000"/>
                <w:sz w:val="24"/>
              </w:rPr>
              <w:t>自基金合同生效起至今</w:t>
            </w:r>
          </w:p>
        </w:tc>
        <w:tc>
          <w:tcPr>
            <w:tcW w:w="1251" w:type="dxa"/>
            <w:vAlign w:val="center"/>
          </w:tcPr>
          <w:p w:rsidR="00043298" w:rsidRDefault="002B09D2">
            <w:pPr>
              <w:jc w:val="center"/>
            </w:pPr>
            <w:r>
              <w:rPr>
                <w:color w:val="000000"/>
                <w:sz w:val="24"/>
              </w:rPr>
              <w:t>27.41%</w:t>
            </w:r>
          </w:p>
        </w:tc>
        <w:tc>
          <w:tcPr>
            <w:tcW w:w="1250" w:type="dxa"/>
            <w:vAlign w:val="center"/>
          </w:tcPr>
          <w:p w:rsidR="00043298" w:rsidRDefault="002B09D2">
            <w:pPr>
              <w:jc w:val="center"/>
            </w:pPr>
            <w:r>
              <w:rPr>
                <w:color w:val="000000"/>
                <w:sz w:val="24"/>
              </w:rPr>
              <w:t>0.10%</w:t>
            </w:r>
          </w:p>
        </w:tc>
        <w:tc>
          <w:tcPr>
            <w:tcW w:w="1250" w:type="dxa"/>
            <w:vAlign w:val="center"/>
          </w:tcPr>
          <w:p w:rsidR="00043298" w:rsidRDefault="002B09D2">
            <w:pPr>
              <w:jc w:val="center"/>
            </w:pPr>
            <w:r>
              <w:rPr>
                <w:color w:val="000000"/>
                <w:sz w:val="24"/>
              </w:rPr>
              <w:t>13.58%</w:t>
            </w:r>
          </w:p>
        </w:tc>
        <w:tc>
          <w:tcPr>
            <w:tcW w:w="1250" w:type="dxa"/>
            <w:vAlign w:val="center"/>
          </w:tcPr>
          <w:p w:rsidR="00043298" w:rsidRDefault="002B09D2">
            <w:pPr>
              <w:jc w:val="center"/>
            </w:pPr>
            <w:r>
              <w:rPr>
                <w:color w:val="000000"/>
                <w:sz w:val="24"/>
              </w:rPr>
              <w:t>0.04%</w:t>
            </w:r>
          </w:p>
        </w:tc>
        <w:tc>
          <w:tcPr>
            <w:tcW w:w="1250" w:type="dxa"/>
            <w:vAlign w:val="center"/>
          </w:tcPr>
          <w:p w:rsidR="00043298" w:rsidRDefault="002B09D2">
            <w:pPr>
              <w:jc w:val="center"/>
            </w:pPr>
            <w:r>
              <w:rPr>
                <w:color w:val="000000"/>
                <w:sz w:val="24"/>
              </w:rPr>
              <w:t>13.83%</w:t>
            </w:r>
          </w:p>
        </w:tc>
        <w:tc>
          <w:tcPr>
            <w:tcW w:w="1250" w:type="dxa"/>
            <w:vAlign w:val="center"/>
          </w:tcPr>
          <w:p w:rsidR="00043298" w:rsidRDefault="002B09D2">
            <w:pPr>
              <w:jc w:val="center"/>
            </w:pPr>
            <w:r>
              <w:rPr>
                <w:color w:val="000000"/>
                <w:sz w:val="24"/>
              </w:rPr>
              <w:t>0.06%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日起转为开放式运作，本基金的业绩比较基准由</w:t>
      </w:r>
      <w:r w:rsidRPr="008A1551">
        <w:rPr>
          <w:kern w:val="0"/>
          <w:sz w:val="24"/>
        </w:rPr>
        <w:t>“</w:t>
      </w:r>
      <w:r w:rsidRPr="008A1551">
        <w:rPr>
          <w:kern w:val="0"/>
          <w:sz w:val="24"/>
        </w:rPr>
        <w:t>三年期银行定期存款税后收益率</w:t>
      </w:r>
      <w:r w:rsidRPr="008A1551">
        <w:rPr>
          <w:kern w:val="0"/>
          <w:sz w:val="24"/>
        </w:rPr>
        <w:t>”</w:t>
      </w:r>
      <w:r w:rsidRPr="008A1551">
        <w:rPr>
          <w:kern w:val="0"/>
          <w:sz w:val="24"/>
        </w:rPr>
        <w:t>变更为</w:t>
      </w:r>
      <w:r w:rsidRPr="008A1551">
        <w:rPr>
          <w:kern w:val="0"/>
          <w:sz w:val="24"/>
        </w:rPr>
        <w:t>“</w:t>
      </w:r>
      <w:r w:rsidRPr="008A1551">
        <w:rPr>
          <w:kern w:val="0"/>
          <w:sz w:val="24"/>
        </w:rPr>
        <w:t>中债综合全价指数</w:t>
      </w:r>
      <w:r w:rsidRPr="008A1551">
        <w:rPr>
          <w:kern w:val="0"/>
          <w:sz w:val="24"/>
        </w:rPr>
        <w:t>”</w:t>
      </w:r>
      <w:r w:rsidRPr="008A1551">
        <w:rPr>
          <w:kern w:val="0"/>
          <w:sz w:val="24"/>
        </w:rPr>
        <w:t>，</w:t>
      </w:r>
      <w:r w:rsidRPr="008A1551">
        <w:rPr>
          <w:kern w:val="0"/>
          <w:sz w:val="24"/>
        </w:rPr>
        <w:t>3.2.2</w:t>
      </w:r>
      <w:r w:rsidRPr="008A1551">
        <w:rPr>
          <w:kern w:val="0"/>
          <w:sz w:val="24"/>
        </w:rPr>
        <w:t>同。</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交银丰盈收益债券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043298">
        <w:tc>
          <w:tcPr>
            <w:tcW w:w="1497" w:type="dxa"/>
            <w:vAlign w:val="center"/>
          </w:tcPr>
          <w:p w:rsidR="00043298" w:rsidRDefault="002B09D2">
            <w:pPr>
              <w:jc w:val="left"/>
            </w:pPr>
            <w:r>
              <w:rPr>
                <w:color w:val="000000"/>
                <w:sz w:val="24"/>
              </w:rPr>
              <w:t>过去一个月</w:t>
            </w:r>
          </w:p>
        </w:tc>
        <w:tc>
          <w:tcPr>
            <w:tcW w:w="1251" w:type="dxa"/>
            <w:vAlign w:val="center"/>
          </w:tcPr>
          <w:p w:rsidR="00043298" w:rsidRDefault="002B09D2">
            <w:pPr>
              <w:jc w:val="center"/>
            </w:pPr>
            <w:r>
              <w:rPr>
                <w:color w:val="000000"/>
                <w:sz w:val="24"/>
              </w:rPr>
              <w:t>0.27%</w:t>
            </w:r>
          </w:p>
        </w:tc>
        <w:tc>
          <w:tcPr>
            <w:tcW w:w="1250" w:type="dxa"/>
            <w:vAlign w:val="center"/>
          </w:tcPr>
          <w:p w:rsidR="00043298" w:rsidRDefault="002B09D2">
            <w:pPr>
              <w:jc w:val="center"/>
            </w:pPr>
            <w:r>
              <w:rPr>
                <w:color w:val="000000"/>
                <w:sz w:val="24"/>
              </w:rPr>
              <w:t>0.04%</w:t>
            </w:r>
          </w:p>
        </w:tc>
        <w:tc>
          <w:tcPr>
            <w:tcW w:w="1250" w:type="dxa"/>
            <w:vAlign w:val="center"/>
          </w:tcPr>
          <w:p w:rsidR="00043298" w:rsidRDefault="002B09D2">
            <w:pPr>
              <w:jc w:val="center"/>
            </w:pPr>
            <w:r>
              <w:rPr>
                <w:color w:val="000000"/>
                <w:sz w:val="24"/>
              </w:rPr>
              <w:t>0.28%</w:t>
            </w:r>
          </w:p>
        </w:tc>
        <w:tc>
          <w:tcPr>
            <w:tcW w:w="1250" w:type="dxa"/>
            <w:vAlign w:val="center"/>
          </w:tcPr>
          <w:p w:rsidR="00043298" w:rsidRDefault="002B09D2">
            <w:pPr>
              <w:jc w:val="center"/>
            </w:pPr>
            <w:r>
              <w:rPr>
                <w:color w:val="000000"/>
                <w:sz w:val="24"/>
              </w:rPr>
              <w:t>0.03%</w:t>
            </w:r>
          </w:p>
        </w:tc>
        <w:tc>
          <w:tcPr>
            <w:tcW w:w="1250" w:type="dxa"/>
            <w:vAlign w:val="center"/>
          </w:tcPr>
          <w:p w:rsidR="00043298" w:rsidRDefault="002B09D2">
            <w:pPr>
              <w:jc w:val="center"/>
            </w:pPr>
            <w:r>
              <w:rPr>
                <w:color w:val="000000"/>
                <w:sz w:val="24"/>
              </w:rPr>
              <w:t>-0.01%</w:t>
            </w:r>
          </w:p>
        </w:tc>
        <w:tc>
          <w:tcPr>
            <w:tcW w:w="1250" w:type="dxa"/>
            <w:vAlign w:val="center"/>
          </w:tcPr>
          <w:p w:rsidR="00043298" w:rsidRDefault="002B09D2">
            <w:pPr>
              <w:jc w:val="center"/>
            </w:pPr>
            <w:r>
              <w:rPr>
                <w:color w:val="000000"/>
                <w:sz w:val="24"/>
              </w:rPr>
              <w:t>0.01%</w:t>
            </w:r>
          </w:p>
        </w:tc>
      </w:tr>
      <w:tr w:rsidR="00043298">
        <w:tc>
          <w:tcPr>
            <w:tcW w:w="1497" w:type="dxa"/>
            <w:vAlign w:val="center"/>
          </w:tcPr>
          <w:p w:rsidR="00043298" w:rsidRDefault="002B09D2">
            <w:pPr>
              <w:jc w:val="left"/>
            </w:pPr>
            <w:r>
              <w:rPr>
                <w:color w:val="000000"/>
                <w:sz w:val="24"/>
              </w:rPr>
              <w:t>过去三个月</w:t>
            </w:r>
          </w:p>
        </w:tc>
        <w:tc>
          <w:tcPr>
            <w:tcW w:w="1251" w:type="dxa"/>
            <w:vAlign w:val="center"/>
          </w:tcPr>
          <w:p w:rsidR="00043298" w:rsidRDefault="002B09D2">
            <w:pPr>
              <w:jc w:val="center"/>
            </w:pPr>
            <w:r>
              <w:rPr>
                <w:color w:val="000000"/>
                <w:sz w:val="24"/>
              </w:rPr>
              <w:t>0.09%</w:t>
            </w:r>
          </w:p>
        </w:tc>
        <w:tc>
          <w:tcPr>
            <w:tcW w:w="1250" w:type="dxa"/>
            <w:vAlign w:val="center"/>
          </w:tcPr>
          <w:p w:rsidR="00043298" w:rsidRDefault="002B09D2">
            <w:pPr>
              <w:jc w:val="center"/>
            </w:pPr>
            <w:r>
              <w:rPr>
                <w:color w:val="000000"/>
                <w:sz w:val="24"/>
              </w:rPr>
              <w:t>0.05%</w:t>
            </w:r>
          </w:p>
        </w:tc>
        <w:tc>
          <w:tcPr>
            <w:tcW w:w="1250" w:type="dxa"/>
            <w:vAlign w:val="center"/>
          </w:tcPr>
          <w:p w:rsidR="00043298" w:rsidRDefault="002B09D2">
            <w:pPr>
              <w:jc w:val="center"/>
            </w:pPr>
            <w:r>
              <w:rPr>
                <w:color w:val="000000"/>
                <w:sz w:val="24"/>
              </w:rPr>
              <w:t>-0.23%</w:t>
            </w:r>
          </w:p>
        </w:tc>
        <w:tc>
          <w:tcPr>
            <w:tcW w:w="1250" w:type="dxa"/>
            <w:vAlign w:val="center"/>
          </w:tcPr>
          <w:p w:rsidR="00043298" w:rsidRDefault="002B09D2">
            <w:pPr>
              <w:jc w:val="center"/>
            </w:pPr>
            <w:r>
              <w:rPr>
                <w:color w:val="000000"/>
                <w:sz w:val="24"/>
              </w:rPr>
              <w:t>0.06%</w:t>
            </w:r>
          </w:p>
        </w:tc>
        <w:tc>
          <w:tcPr>
            <w:tcW w:w="1250" w:type="dxa"/>
            <w:vAlign w:val="center"/>
          </w:tcPr>
          <w:p w:rsidR="00043298" w:rsidRDefault="002B09D2">
            <w:pPr>
              <w:jc w:val="center"/>
            </w:pPr>
            <w:r>
              <w:rPr>
                <w:color w:val="000000"/>
                <w:sz w:val="24"/>
              </w:rPr>
              <w:t>0.32%</w:t>
            </w:r>
          </w:p>
        </w:tc>
        <w:tc>
          <w:tcPr>
            <w:tcW w:w="1250" w:type="dxa"/>
            <w:vAlign w:val="center"/>
          </w:tcPr>
          <w:p w:rsidR="00043298" w:rsidRDefault="002B09D2">
            <w:pPr>
              <w:jc w:val="center"/>
            </w:pPr>
            <w:r>
              <w:rPr>
                <w:color w:val="000000"/>
                <w:sz w:val="24"/>
              </w:rPr>
              <w:t>-0.01%</w:t>
            </w:r>
          </w:p>
        </w:tc>
      </w:tr>
      <w:tr w:rsidR="00043298">
        <w:tc>
          <w:tcPr>
            <w:tcW w:w="1497" w:type="dxa"/>
            <w:vAlign w:val="center"/>
          </w:tcPr>
          <w:p w:rsidR="00043298" w:rsidRDefault="002B09D2">
            <w:pPr>
              <w:jc w:val="left"/>
            </w:pPr>
            <w:r>
              <w:rPr>
                <w:color w:val="000000"/>
                <w:sz w:val="24"/>
              </w:rPr>
              <w:t>过去六个月</w:t>
            </w:r>
          </w:p>
        </w:tc>
        <w:tc>
          <w:tcPr>
            <w:tcW w:w="1251" w:type="dxa"/>
            <w:vAlign w:val="center"/>
          </w:tcPr>
          <w:p w:rsidR="00043298" w:rsidRDefault="002B09D2">
            <w:pPr>
              <w:jc w:val="center"/>
            </w:pPr>
            <w:r>
              <w:rPr>
                <w:color w:val="000000"/>
                <w:sz w:val="24"/>
              </w:rPr>
              <w:t>0.45%</w:t>
            </w:r>
          </w:p>
        </w:tc>
        <w:tc>
          <w:tcPr>
            <w:tcW w:w="1250" w:type="dxa"/>
            <w:vAlign w:val="center"/>
          </w:tcPr>
          <w:p w:rsidR="00043298" w:rsidRDefault="002B09D2">
            <w:pPr>
              <w:jc w:val="center"/>
            </w:pPr>
            <w:r>
              <w:rPr>
                <w:color w:val="000000"/>
                <w:sz w:val="24"/>
              </w:rPr>
              <w:t>0.05%</w:t>
            </w:r>
          </w:p>
        </w:tc>
        <w:tc>
          <w:tcPr>
            <w:tcW w:w="1250" w:type="dxa"/>
            <w:vAlign w:val="center"/>
          </w:tcPr>
          <w:p w:rsidR="00043298" w:rsidRDefault="002B09D2">
            <w:pPr>
              <w:jc w:val="center"/>
            </w:pPr>
            <w:r>
              <w:rPr>
                <w:color w:val="000000"/>
                <w:sz w:val="24"/>
              </w:rPr>
              <w:t>0.24%</w:t>
            </w:r>
          </w:p>
        </w:tc>
        <w:tc>
          <w:tcPr>
            <w:tcW w:w="1250" w:type="dxa"/>
            <w:vAlign w:val="center"/>
          </w:tcPr>
          <w:p w:rsidR="00043298" w:rsidRDefault="002B09D2">
            <w:pPr>
              <w:jc w:val="center"/>
            </w:pPr>
            <w:r>
              <w:rPr>
                <w:color w:val="000000"/>
                <w:sz w:val="24"/>
              </w:rPr>
              <w:t>0.06%</w:t>
            </w:r>
          </w:p>
        </w:tc>
        <w:tc>
          <w:tcPr>
            <w:tcW w:w="1250" w:type="dxa"/>
            <w:vAlign w:val="center"/>
          </w:tcPr>
          <w:p w:rsidR="00043298" w:rsidRDefault="002B09D2">
            <w:pPr>
              <w:jc w:val="center"/>
            </w:pPr>
            <w:r>
              <w:rPr>
                <w:color w:val="000000"/>
                <w:sz w:val="24"/>
              </w:rPr>
              <w:t>0.21%</w:t>
            </w:r>
          </w:p>
        </w:tc>
        <w:tc>
          <w:tcPr>
            <w:tcW w:w="1250" w:type="dxa"/>
            <w:vAlign w:val="center"/>
          </w:tcPr>
          <w:p w:rsidR="00043298" w:rsidRDefault="002B09D2">
            <w:pPr>
              <w:jc w:val="center"/>
            </w:pPr>
            <w:r>
              <w:rPr>
                <w:color w:val="000000"/>
                <w:sz w:val="24"/>
              </w:rPr>
              <w:t>-0.01%</w:t>
            </w:r>
          </w:p>
        </w:tc>
      </w:tr>
      <w:tr w:rsidR="00043298">
        <w:tc>
          <w:tcPr>
            <w:tcW w:w="1497" w:type="dxa"/>
            <w:vAlign w:val="center"/>
          </w:tcPr>
          <w:p w:rsidR="00043298" w:rsidRDefault="002B09D2">
            <w:pPr>
              <w:jc w:val="left"/>
            </w:pPr>
            <w:r>
              <w:rPr>
                <w:color w:val="000000"/>
                <w:sz w:val="24"/>
              </w:rPr>
              <w:t>过去一年</w:t>
            </w:r>
          </w:p>
        </w:tc>
        <w:tc>
          <w:tcPr>
            <w:tcW w:w="1251" w:type="dxa"/>
            <w:vAlign w:val="center"/>
          </w:tcPr>
          <w:p w:rsidR="00043298" w:rsidRDefault="002B09D2">
            <w:pPr>
              <w:jc w:val="center"/>
            </w:pPr>
            <w:r>
              <w:rPr>
                <w:color w:val="000000"/>
                <w:sz w:val="24"/>
              </w:rPr>
              <w:t>1.82%</w:t>
            </w:r>
          </w:p>
        </w:tc>
        <w:tc>
          <w:tcPr>
            <w:tcW w:w="1250" w:type="dxa"/>
            <w:vAlign w:val="center"/>
          </w:tcPr>
          <w:p w:rsidR="00043298" w:rsidRDefault="002B09D2">
            <w:pPr>
              <w:jc w:val="center"/>
            </w:pPr>
            <w:r>
              <w:rPr>
                <w:color w:val="000000"/>
                <w:sz w:val="24"/>
              </w:rPr>
              <w:t>0.05%</w:t>
            </w:r>
          </w:p>
        </w:tc>
        <w:tc>
          <w:tcPr>
            <w:tcW w:w="1250" w:type="dxa"/>
            <w:vAlign w:val="center"/>
          </w:tcPr>
          <w:p w:rsidR="00043298" w:rsidRDefault="002B09D2">
            <w:pPr>
              <w:jc w:val="center"/>
            </w:pPr>
            <w:r>
              <w:rPr>
                <w:color w:val="000000"/>
                <w:sz w:val="24"/>
              </w:rPr>
              <w:t>2.81%</w:t>
            </w:r>
          </w:p>
        </w:tc>
        <w:tc>
          <w:tcPr>
            <w:tcW w:w="1250" w:type="dxa"/>
            <w:vAlign w:val="center"/>
          </w:tcPr>
          <w:p w:rsidR="00043298" w:rsidRDefault="002B09D2">
            <w:pPr>
              <w:jc w:val="center"/>
            </w:pPr>
            <w:r>
              <w:rPr>
                <w:color w:val="000000"/>
                <w:sz w:val="24"/>
              </w:rPr>
              <w:t>0.06%</w:t>
            </w:r>
          </w:p>
        </w:tc>
        <w:tc>
          <w:tcPr>
            <w:tcW w:w="1250" w:type="dxa"/>
            <w:vAlign w:val="center"/>
          </w:tcPr>
          <w:p w:rsidR="00043298" w:rsidRDefault="002B09D2">
            <w:pPr>
              <w:jc w:val="center"/>
            </w:pPr>
            <w:r>
              <w:rPr>
                <w:color w:val="000000"/>
                <w:sz w:val="24"/>
              </w:rPr>
              <w:t>-0.99%</w:t>
            </w:r>
          </w:p>
        </w:tc>
        <w:tc>
          <w:tcPr>
            <w:tcW w:w="1250" w:type="dxa"/>
            <w:vAlign w:val="center"/>
          </w:tcPr>
          <w:p w:rsidR="00043298" w:rsidRDefault="002B09D2">
            <w:pPr>
              <w:jc w:val="center"/>
            </w:pPr>
            <w:r>
              <w:rPr>
                <w:color w:val="000000"/>
                <w:sz w:val="24"/>
              </w:rPr>
              <w:t>-0.01%</w:t>
            </w:r>
          </w:p>
        </w:tc>
      </w:tr>
      <w:tr w:rsidR="00043298">
        <w:tc>
          <w:tcPr>
            <w:tcW w:w="1497" w:type="dxa"/>
            <w:vAlign w:val="center"/>
          </w:tcPr>
          <w:p w:rsidR="00043298" w:rsidRDefault="002B09D2">
            <w:pPr>
              <w:jc w:val="left"/>
            </w:pPr>
            <w:r>
              <w:rPr>
                <w:color w:val="000000"/>
                <w:sz w:val="24"/>
              </w:rPr>
              <w:t>自基金合同生效至今</w:t>
            </w:r>
          </w:p>
        </w:tc>
        <w:tc>
          <w:tcPr>
            <w:tcW w:w="1251" w:type="dxa"/>
            <w:vAlign w:val="center"/>
          </w:tcPr>
          <w:p w:rsidR="00043298" w:rsidRDefault="002B09D2">
            <w:pPr>
              <w:jc w:val="center"/>
            </w:pPr>
            <w:r>
              <w:rPr>
                <w:color w:val="000000"/>
                <w:sz w:val="24"/>
              </w:rPr>
              <w:t>11.70%</w:t>
            </w:r>
          </w:p>
        </w:tc>
        <w:tc>
          <w:tcPr>
            <w:tcW w:w="1250" w:type="dxa"/>
            <w:vAlign w:val="center"/>
          </w:tcPr>
          <w:p w:rsidR="00043298" w:rsidRDefault="002B09D2">
            <w:pPr>
              <w:jc w:val="center"/>
            </w:pPr>
            <w:r>
              <w:rPr>
                <w:color w:val="000000"/>
                <w:sz w:val="24"/>
              </w:rPr>
              <w:t>0.25%</w:t>
            </w:r>
          </w:p>
        </w:tc>
        <w:tc>
          <w:tcPr>
            <w:tcW w:w="1250" w:type="dxa"/>
            <w:vAlign w:val="center"/>
          </w:tcPr>
          <w:p w:rsidR="00043298" w:rsidRDefault="002B09D2">
            <w:pPr>
              <w:jc w:val="center"/>
            </w:pPr>
            <w:r>
              <w:rPr>
                <w:color w:val="000000"/>
                <w:sz w:val="24"/>
              </w:rPr>
              <w:t>3.64%</w:t>
            </w:r>
          </w:p>
        </w:tc>
        <w:tc>
          <w:tcPr>
            <w:tcW w:w="1250" w:type="dxa"/>
            <w:vAlign w:val="center"/>
          </w:tcPr>
          <w:p w:rsidR="00043298" w:rsidRDefault="002B09D2">
            <w:pPr>
              <w:jc w:val="center"/>
            </w:pPr>
            <w:r>
              <w:rPr>
                <w:color w:val="000000"/>
                <w:sz w:val="24"/>
              </w:rPr>
              <w:t>0.06%</w:t>
            </w:r>
          </w:p>
        </w:tc>
        <w:tc>
          <w:tcPr>
            <w:tcW w:w="1250" w:type="dxa"/>
            <w:vAlign w:val="center"/>
          </w:tcPr>
          <w:p w:rsidR="00043298" w:rsidRDefault="002B09D2">
            <w:pPr>
              <w:jc w:val="center"/>
            </w:pPr>
            <w:r>
              <w:rPr>
                <w:color w:val="000000"/>
                <w:sz w:val="24"/>
              </w:rPr>
              <w:t>8.06%</w:t>
            </w:r>
          </w:p>
        </w:tc>
        <w:tc>
          <w:tcPr>
            <w:tcW w:w="1250" w:type="dxa"/>
            <w:vAlign w:val="center"/>
          </w:tcPr>
          <w:p w:rsidR="00043298" w:rsidRDefault="002B09D2">
            <w:pPr>
              <w:jc w:val="center"/>
            </w:pPr>
            <w:r>
              <w:rPr>
                <w:color w:val="000000"/>
                <w:sz w:val="24"/>
              </w:rPr>
              <w:t>0.19%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日起转为开放式运作，本基金的业绩比较基准由</w:t>
      </w:r>
      <w:r w:rsidRPr="008A1551">
        <w:rPr>
          <w:kern w:val="0"/>
          <w:sz w:val="24"/>
        </w:rPr>
        <w:t>“</w:t>
      </w:r>
      <w:r w:rsidRPr="008A1551">
        <w:rPr>
          <w:kern w:val="0"/>
          <w:sz w:val="24"/>
        </w:rPr>
        <w:t>三年期银行定期存款税后收益率</w:t>
      </w:r>
      <w:r w:rsidRPr="008A1551">
        <w:rPr>
          <w:kern w:val="0"/>
          <w:sz w:val="24"/>
        </w:rPr>
        <w:t>”</w:t>
      </w:r>
      <w:r w:rsidRPr="008A1551">
        <w:rPr>
          <w:kern w:val="0"/>
          <w:sz w:val="24"/>
        </w:rPr>
        <w:t>变更为</w:t>
      </w:r>
      <w:r w:rsidRPr="008A1551">
        <w:rPr>
          <w:kern w:val="0"/>
          <w:sz w:val="24"/>
        </w:rPr>
        <w:t>“</w:t>
      </w:r>
      <w:r w:rsidRPr="008A1551">
        <w:rPr>
          <w:kern w:val="0"/>
          <w:sz w:val="24"/>
        </w:rPr>
        <w:t>中债综合全价指数</w:t>
      </w:r>
      <w:r w:rsidRPr="008A1551">
        <w:rPr>
          <w:kern w:val="0"/>
          <w:sz w:val="24"/>
        </w:rPr>
        <w:t>”</w:t>
      </w:r>
      <w:r w:rsidRPr="008A1551">
        <w:rPr>
          <w:kern w:val="0"/>
          <w:sz w:val="24"/>
        </w:rPr>
        <w:t>，</w:t>
      </w:r>
      <w:r w:rsidRPr="008A1551">
        <w:rPr>
          <w:kern w:val="0"/>
          <w:sz w:val="24"/>
        </w:rPr>
        <w:t>3.2.2</w:t>
      </w:r>
      <w:r w:rsidRPr="008A1551">
        <w:rPr>
          <w:kern w:val="0"/>
          <w:sz w:val="24"/>
        </w:rPr>
        <w:t>同。</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交银施罗德丰盈收益债券型证券投资基金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8</w:t>
      </w:r>
      <w:r w:rsidR="001548F9" w:rsidRPr="008A1551">
        <w:rPr>
          <w:rFonts w:ascii="Times New Roman" w:hAnsi="Times New Roman"/>
          <w:sz w:val="24"/>
          <w:szCs w:val="24"/>
        </w:rPr>
        <w:t>月</w:t>
      </w:r>
      <w:r w:rsidR="001548F9" w:rsidRPr="008A1551">
        <w:rPr>
          <w:rFonts w:ascii="Times New Roman" w:hAnsi="Times New Roman"/>
          <w:sz w:val="24"/>
          <w:szCs w:val="24"/>
        </w:rPr>
        <w:t>11</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交银丰盈收益债券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交银丰盈收益债券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日起，开始销售</w:t>
      </w:r>
      <w:r w:rsidRPr="008A1551">
        <w:rPr>
          <w:kern w:val="0"/>
          <w:sz w:val="24"/>
        </w:rPr>
        <w:t>C</w:t>
      </w:r>
      <w:r w:rsidRPr="008A1551">
        <w:rPr>
          <w:kern w:val="0"/>
          <w:sz w:val="24"/>
        </w:rPr>
        <w:t>类份额，投资者提交的申购申请于</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15</w:t>
      </w:r>
      <w:r w:rsidRPr="008A1551">
        <w:rPr>
          <w:kern w:val="0"/>
          <w:sz w:val="24"/>
        </w:rPr>
        <w:t>日被确认并将有效份额登记在册。图示日期为</w:t>
      </w:r>
      <w:r w:rsidRPr="008A1551">
        <w:rPr>
          <w:kern w:val="0"/>
          <w:sz w:val="24"/>
        </w:rPr>
        <w:t>2017</w:t>
      </w:r>
      <w:r w:rsidRPr="008A1551">
        <w:rPr>
          <w:kern w:val="0"/>
          <w:sz w:val="24"/>
        </w:rPr>
        <w:t>年</w:t>
      </w:r>
      <w:r w:rsidRPr="008A1551">
        <w:rPr>
          <w:kern w:val="0"/>
          <w:sz w:val="24"/>
        </w:rPr>
        <w:t>8</w:t>
      </w:r>
      <w:r w:rsidRPr="008A1551">
        <w:rPr>
          <w:kern w:val="0"/>
          <w:sz w:val="24"/>
        </w:rPr>
        <w:t>月</w:t>
      </w:r>
      <w:r w:rsidRPr="008A1551">
        <w:rPr>
          <w:kern w:val="0"/>
          <w:sz w:val="24"/>
        </w:rPr>
        <w:t>14</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043298" w:rsidRDefault="002B09D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043298">
        <w:tc>
          <w:tcPr>
            <w:tcW w:w="1033" w:type="dxa"/>
            <w:vAlign w:val="center"/>
          </w:tcPr>
          <w:p w:rsidR="00043298" w:rsidRDefault="002B09D2">
            <w:pPr>
              <w:jc w:val="center"/>
            </w:pPr>
            <w:r>
              <w:rPr>
                <w:color w:val="000000"/>
                <w:sz w:val="24"/>
              </w:rPr>
              <w:t>连端清</w:t>
            </w:r>
          </w:p>
        </w:tc>
        <w:tc>
          <w:tcPr>
            <w:tcW w:w="1416" w:type="dxa"/>
            <w:vAlign w:val="center"/>
          </w:tcPr>
          <w:p w:rsidR="00043298" w:rsidRDefault="002B09D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126" w:type="dxa"/>
            <w:vAlign w:val="center"/>
          </w:tcPr>
          <w:p w:rsidR="00043298" w:rsidRDefault="002B09D2">
            <w:pPr>
              <w:jc w:val="center"/>
            </w:pPr>
            <w:r>
              <w:rPr>
                <w:color w:val="000000"/>
                <w:sz w:val="24"/>
              </w:rPr>
              <w:t>2015-08-04</w:t>
            </w:r>
          </w:p>
        </w:tc>
        <w:tc>
          <w:tcPr>
            <w:tcW w:w="1192" w:type="dxa"/>
            <w:vAlign w:val="center"/>
          </w:tcPr>
          <w:p w:rsidR="00043298" w:rsidRDefault="002B09D2">
            <w:pPr>
              <w:jc w:val="center"/>
            </w:pPr>
            <w:r>
              <w:rPr>
                <w:color w:val="000000"/>
                <w:sz w:val="24"/>
              </w:rPr>
              <w:t>-</w:t>
            </w:r>
          </w:p>
        </w:tc>
        <w:tc>
          <w:tcPr>
            <w:tcW w:w="1169" w:type="dxa"/>
            <w:vAlign w:val="center"/>
          </w:tcPr>
          <w:p w:rsidR="00043298" w:rsidRDefault="002B09D2">
            <w:pPr>
              <w:jc w:val="center"/>
            </w:pPr>
            <w:r>
              <w:rPr>
                <w:color w:val="000000"/>
                <w:sz w:val="24"/>
              </w:rPr>
              <w:t>6</w:t>
            </w:r>
            <w:r>
              <w:rPr>
                <w:color w:val="000000"/>
                <w:sz w:val="24"/>
              </w:rPr>
              <w:t>年</w:t>
            </w:r>
          </w:p>
        </w:tc>
        <w:tc>
          <w:tcPr>
            <w:tcW w:w="3062" w:type="dxa"/>
            <w:vAlign w:val="center"/>
          </w:tcPr>
          <w:p w:rsidR="00043298" w:rsidRDefault="002B09D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043298">
        <w:tc>
          <w:tcPr>
            <w:tcW w:w="1033" w:type="dxa"/>
            <w:vAlign w:val="center"/>
          </w:tcPr>
          <w:p w:rsidR="00043298" w:rsidRDefault="002B09D2">
            <w:pPr>
              <w:jc w:val="center"/>
            </w:pPr>
            <w:r>
              <w:rPr>
                <w:color w:val="000000"/>
                <w:sz w:val="24"/>
              </w:rPr>
              <w:t>于海颖</w:t>
            </w:r>
          </w:p>
        </w:tc>
        <w:tc>
          <w:tcPr>
            <w:tcW w:w="1416" w:type="dxa"/>
            <w:vAlign w:val="center"/>
          </w:tcPr>
          <w:p w:rsidR="00043298" w:rsidRDefault="002B09D2">
            <w:pPr>
              <w:jc w:val="center"/>
            </w:pPr>
            <w:r>
              <w:rPr>
                <w:color w:val="000000"/>
                <w:sz w:val="24"/>
              </w:rPr>
              <w:t>交银增利债券、交银纯债债券发起、交银丰盈收益债券、交银丰晟收益债券、交银裕如纯债债券的基金经理，公司固定收益（公募）投资总监</w:t>
            </w:r>
          </w:p>
        </w:tc>
        <w:tc>
          <w:tcPr>
            <w:tcW w:w="1126" w:type="dxa"/>
            <w:vAlign w:val="center"/>
          </w:tcPr>
          <w:p w:rsidR="00043298" w:rsidRDefault="002B09D2">
            <w:pPr>
              <w:jc w:val="center"/>
            </w:pPr>
            <w:r>
              <w:rPr>
                <w:color w:val="000000"/>
                <w:sz w:val="24"/>
              </w:rPr>
              <w:t>2016-12-29</w:t>
            </w:r>
          </w:p>
        </w:tc>
        <w:tc>
          <w:tcPr>
            <w:tcW w:w="1192" w:type="dxa"/>
            <w:vAlign w:val="center"/>
          </w:tcPr>
          <w:p w:rsidR="00043298" w:rsidRDefault="002B09D2">
            <w:pPr>
              <w:jc w:val="center"/>
            </w:pPr>
            <w:r>
              <w:rPr>
                <w:color w:val="000000"/>
                <w:sz w:val="24"/>
              </w:rPr>
              <w:t>-</w:t>
            </w:r>
          </w:p>
        </w:tc>
        <w:tc>
          <w:tcPr>
            <w:tcW w:w="1169" w:type="dxa"/>
            <w:vAlign w:val="center"/>
          </w:tcPr>
          <w:p w:rsidR="00043298" w:rsidRDefault="002B09D2">
            <w:pPr>
              <w:jc w:val="center"/>
            </w:pPr>
            <w:r>
              <w:rPr>
                <w:color w:val="000000"/>
                <w:sz w:val="24"/>
              </w:rPr>
              <w:t>13</w:t>
            </w:r>
            <w:r>
              <w:rPr>
                <w:color w:val="000000"/>
                <w:sz w:val="24"/>
              </w:rPr>
              <w:t>年</w:t>
            </w:r>
          </w:p>
        </w:tc>
        <w:tc>
          <w:tcPr>
            <w:tcW w:w="3062" w:type="dxa"/>
            <w:vAlign w:val="center"/>
          </w:tcPr>
          <w:p w:rsidR="00043298" w:rsidRDefault="002B09D2">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043298" w:rsidRDefault="002B09D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43298" w:rsidRDefault="002B09D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043298" w:rsidRDefault="002B09D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43298" w:rsidRDefault="002B09D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43298" w:rsidRDefault="002B09D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043298" w:rsidRDefault="002B09D2">
      <w:pPr>
        <w:spacing w:before="29" w:line="288" w:lineRule="auto"/>
        <w:ind w:firstLineChars="200" w:firstLine="480"/>
        <w:rPr>
          <w:color w:val="000000"/>
          <w:sz w:val="24"/>
        </w:rPr>
      </w:pPr>
      <w:r>
        <w:rPr>
          <w:color w:val="000000"/>
          <w:sz w:val="24"/>
        </w:rPr>
        <w:t>2019</w:t>
      </w:r>
      <w:r>
        <w:rPr>
          <w:color w:val="000000"/>
          <w:sz w:val="24"/>
        </w:rPr>
        <w:t>年上半年，国内经济走势比较复杂，市场先经历短暂回暖，后于二季度再次放缓。一季度，中美贸易谈判进展向好，部分金融经济数据呈回暖迹象。一月新增人民币贷款与出口超预期大幅增长，中采制造业</w:t>
      </w:r>
      <w:r>
        <w:rPr>
          <w:color w:val="000000"/>
          <w:sz w:val="24"/>
        </w:rPr>
        <w:t>PMI</w:t>
      </w:r>
      <w:r>
        <w:rPr>
          <w:color w:val="000000"/>
          <w:sz w:val="24"/>
        </w:rPr>
        <w:t>回升，房地产与基建投资带动固定资产投资增速回升。但是形势在二季度发生了逆转，中美贸易谈判在五月再次遇阻，美方在贸易与科技等领域对我国进一步施压。二季度中采制造业</w:t>
      </w:r>
      <w:r>
        <w:rPr>
          <w:color w:val="000000"/>
          <w:sz w:val="24"/>
        </w:rPr>
        <w:t>PMI</w:t>
      </w:r>
      <w:r>
        <w:rPr>
          <w:color w:val="000000"/>
          <w:sz w:val="24"/>
        </w:rPr>
        <w:t>再次降至荣枯线以下，房地产投资增速从高位开始下降，基建投资稳增长乏力，固定资产投资增速下行承压。受猪肉与果蔬等价格大幅上涨的结构性因素影响，上半年国内</w:t>
      </w:r>
      <w:r>
        <w:rPr>
          <w:color w:val="000000"/>
          <w:sz w:val="24"/>
        </w:rPr>
        <w:t>CPI</w:t>
      </w:r>
      <w:r>
        <w:rPr>
          <w:color w:val="000000"/>
          <w:sz w:val="24"/>
        </w:rPr>
        <w:t>上行承压。</w:t>
      </w:r>
      <w:r>
        <w:rPr>
          <w:color w:val="000000"/>
          <w:sz w:val="24"/>
        </w:rPr>
        <w:t xml:space="preserve"> </w:t>
      </w:r>
    </w:p>
    <w:p w:rsidR="00043298" w:rsidRDefault="002B09D2">
      <w:pPr>
        <w:spacing w:before="29" w:line="288" w:lineRule="auto"/>
        <w:ind w:firstLineChars="200" w:firstLine="480"/>
        <w:rPr>
          <w:color w:val="000000"/>
          <w:sz w:val="24"/>
        </w:rPr>
      </w:pPr>
      <w:r>
        <w:rPr>
          <w:color w:val="000000"/>
          <w:sz w:val="24"/>
        </w:rPr>
        <w:t>货币政策上，受较复杂的经济形势影响，央行货币政策操作边际有所变化，但整体上相对谨慎。一月初央行降准</w:t>
      </w:r>
      <w:r>
        <w:rPr>
          <w:color w:val="000000"/>
          <w:sz w:val="24"/>
        </w:rPr>
        <w:t>1</w:t>
      </w:r>
      <w:r>
        <w:rPr>
          <w:color w:val="000000"/>
          <w:sz w:val="24"/>
        </w:rPr>
        <w:t>个百分点，再次释放流动性以支持实体经济发展，但同时加大了公开市场回笼力度，一季度央行在公开市场净回笼</w:t>
      </w:r>
      <w:r>
        <w:rPr>
          <w:color w:val="000000"/>
          <w:sz w:val="24"/>
        </w:rPr>
        <w:t>1.8</w:t>
      </w:r>
      <w:r>
        <w:rPr>
          <w:color w:val="000000"/>
          <w:sz w:val="24"/>
        </w:rPr>
        <w:t>万亿。四月央行货币政策操作边际向中性回归，但是五月中美贸易战硝烟再起，叠加下旬个别银行信用风险暴露影响货币市场流动性，央行于五月下旬再次加大了公开市场投放力度，二季度央行在公开市场净投放</w:t>
      </w:r>
      <w:r>
        <w:rPr>
          <w:color w:val="000000"/>
          <w:sz w:val="24"/>
        </w:rPr>
        <w:t>7784</w:t>
      </w:r>
      <w:r>
        <w:rPr>
          <w:color w:val="000000"/>
          <w:sz w:val="24"/>
        </w:rPr>
        <w:t>亿。</w:t>
      </w:r>
    </w:p>
    <w:p w:rsidR="00043298" w:rsidRDefault="002B09D2">
      <w:pPr>
        <w:spacing w:before="29" w:line="288" w:lineRule="auto"/>
        <w:ind w:firstLineChars="200" w:firstLine="480"/>
        <w:rPr>
          <w:color w:val="000000"/>
          <w:sz w:val="24"/>
        </w:rPr>
      </w:pPr>
      <w:r>
        <w:rPr>
          <w:color w:val="000000"/>
          <w:sz w:val="24"/>
        </w:rPr>
        <w:t>资金面上，受降准、缴税以及个别银行信用风险暴露等因素影响，上半年货币市场资金面有些波折。一季度资金面整体上较为宽松，但是二季度市场资金面起了波澜。四月中下旬货币市场曾一度趋紧，五月下旬受个别银行信用风险暴露影响，资金供给方大幅提高融资质押门槛，市场资金面大幅趋紧。但随后在央行释放流动性及其他监管机构协调维稳下，资金面整体上趋于宽松，持有高等级券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上呈震荡整理格局。</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基金操作方面，报告期内本基金保持适度流动性以期满足基金份额持有人潜在赎回需求，择机调整组合杠杆与久期，为持有人创造稳健的回报。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年下半年，考虑中美贸易谈判前景尚不明朗，以及固定资产投资增长乏力等因素，国内经济继续放缓的概率较高。但是，大阪</w:t>
      </w:r>
      <w:r w:rsidRPr="008A1551">
        <w:rPr>
          <w:color w:val="000000"/>
          <w:sz w:val="24"/>
        </w:rPr>
        <w:t>G20</w:t>
      </w:r>
      <w:r w:rsidRPr="008A1551">
        <w:rPr>
          <w:color w:val="000000"/>
          <w:sz w:val="24"/>
        </w:rPr>
        <w:t>中美元首会晤后中美贸易谈判重启，</w:t>
      </w:r>
      <w:r w:rsidRPr="008A1551">
        <w:rPr>
          <w:color w:val="000000"/>
          <w:sz w:val="24"/>
        </w:rPr>
        <w:t>5G</w:t>
      </w:r>
      <w:r w:rsidRPr="008A1551">
        <w:rPr>
          <w:color w:val="000000"/>
          <w:sz w:val="24"/>
        </w:rPr>
        <w:t>等新技术带来的新型基建启动以及改革开放力度加大，可能增强国内经济运行的韧劲。预计短期内人行货币政策将维持中性偏松，保持逆周期调节作用，但公开市场操作边际上可能会谨慎一些。我们将密切关注中美贸易谈判的进展以及中央经济政策动态。组合管理方面，本基金将紧密跟踪研判宏观经济走势与央行货币政策操作，同时尽力管控风险，积极跟踪把握市场机会，努力为投资者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043298" w:rsidRDefault="002B09D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043298" w:rsidRDefault="002B09D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本基金本报告期内连续二十个工作日以上出现基金资产净值低于</w:t>
      </w:r>
      <w:r w:rsidRPr="008A1551">
        <w:rPr>
          <w:kern w:val="0"/>
          <w:sz w:val="24"/>
        </w:rPr>
        <w:t>5000</w:t>
      </w:r>
      <w:r w:rsidRPr="008A1551">
        <w:rPr>
          <w:kern w:val="0"/>
          <w:sz w:val="24"/>
        </w:rPr>
        <w:t>万元的情形，截至本报告期末，本基金基金资产净值仍低于</w:t>
      </w:r>
      <w:r w:rsidRPr="008A1551">
        <w:rPr>
          <w:kern w:val="0"/>
          <w:sz w:val="24"/>
        </w:rPr>
        <w:t>5000</w:t>
      </w:r>
      <w:r w:rsidRPr="008A1551">
        <w:rPr>
          <w:kern w:val="0"/>
          <w:sz w:val="24"/>
        </w:rPr>
        <w:t>万元。</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作为本基金的托管人，中信银行严格遵守了《证券投资基金法》及其他有关法律法规、基金合同和托管协议的规定，对交银施罗德丰盈收益债券型证券投资基金</w:t>
      </w:r>
      <w:r w:rsidRPr="008A1551">
        <w:rPr>
          <w:color w:val="000000"/>
          <w:sz w:val="24"/>
        </w:rPr>
        <w:t>2019</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本托管人认为，交银施罗德基金管理有限公司的信息披露事务符合《证券投资基金信息披露管理办法》及其他相关法律法规的规定，基金管理人所编制和披露的交银施罗德丰盈收益债券型证券投资基金</w:t>
      </w:r>
      <w:r w:rsidRPr="008A1551">
        <w:rPr>
          <w:color w:val="000000"/>
          <w:sz w:val="24"/>
        </w:rPr>
        <w:t>2019</w:t>
      </w:r>
      <w:r w:rsidRPr="008A1551">
        <w:rPr>
          <w:color w:val="000000"/>
          <w:sz w:val="24"/>
        </w:rPr>
        <w:t>年半年度报告中的财务指标、净值表现、收益分配情况、财务会计报告、投资组合报告等信息真实、准确、完整，未发现有损害基金持有人利益的行为。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会计主体：交银施罗德丰盈收益债券型证券投资基金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93,229.72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76,484.35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180,107.78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66,824.57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7,030.64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5,114.07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22,595,586.00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31,954,566.00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22,595,586.00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31,954,566.00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265.68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623,707.40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891,094.21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20,409.94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23,499,661.54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33,314,758.82</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5,826.12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8,557.45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1,942.05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2,852.48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472.62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1,398.25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895.38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305.00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46.69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96,149.72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89,500.00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505,390.60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102,659.87</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21,343,218.63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30,973,662.51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1,651,052.31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2,238,436.44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22,994,270.94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33,212,098.95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23,499,661.54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33,314,758.82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1.075</w:t>
      </w:r>
      <w:r w:rsidRPr="008A1551">
        <w:rPr>
          <w:kern w:val="0"/>
          <w:sz w:val="24"/>
        </w:rPr>
        <w:t>元，</w:t>
      </w:r>
      <w:r w:rsidRPr="008A1551">
        <w:rPr>
          <w:kern w:val="0"/>
          <w:sz w:val="24"/>
        </w:rPr>
        <w:t>C</w:t>
      </w:r>
      <w:r w:rsidRPr="008A1551">
        <w:rPr>
          <w:kern w:val="0"/>
          <w:sz w:val="24"/>
        </w:rPr>
        <w:t>类基金份额净值</w:t>
      </w:r>
      <w:r w:rsidRPr="008A1551">
        <w:rPr>
          <w:kern w:val="0"/>
          <w:sz w:val="24"/>
        </w:rPr>
        <w:t>1.117</w:t>
      </w:r>
      <w:r w:rsidRPr="008A1551">
        <w:rPr>
          <w:kern w:val="0"/>
          <w:sz w:val="24"/>
        </w:rPr>
        <w:t>元，基金份额总额</w:t>
      </w:r>
      <w:r w:rsidRPr="008A1551">
        <w:rPr>
          <w:kern w:val="0"/>
          <w:sz w:val="24"/>
        </w:rPr>
        <w:t>21,343,218.63</w:t>
      </w:r>
      <w:r w:rsidRPr="008A1551">
        <w:rPr>
          <w:kern w:val="0"/>
          <w:sz w:val="24"/>
        </w:rPr>
        <w:t>份，其中</w:t>
      </w:r>
      <w:r w:rsidRPr="008A1551">
        <w:rPr>
          <w:kern w:val="0"/>
          <w:sz w:val="24"/>
        </w:rPr>
        <w:t>A</w:t>
      </w:r>
      <w:r w:rsidRPr="008A1551">
        <w:rPr>
          <w:kern w:val="0"/>
          <w:sz w:val="24"/>
        </w:rPr>
        <w:t>类基金份额</w:t>
      </w:r>
      <w:r w:rsidRPr="008A1551">
        <w:rPr>
          <w:kern w:val="0"/>
          <w:sz w:val="24"/>
        </w:rPr>
        <w:t>20,084,436.20</w:t>
      </w:r>
      <w:r w:rsidRPr="008A1551">
        <w:rPr>
          <w:kern w:val="0"/>
          <w:sz w:val="24"/>
        </w:rPr>
        <w:t>份，</w:t>
      </w:r>
      <w:r w:rsidRPr="008A1551">
        <w:rPr>
          <w:kern w:val="0"/>
          <w:sz w:val="24"/>
        </w:rPr>
        <w:t>C</w:t>
      </w:r>
      <w:r w:rsidRPr="008A1551">
        <w:rPr>
          <w:kern w:val="0"/>
          <w:sz w:val="24"/>
        </w:rPr>
        <w:t>类基金份额</w:t>
      </w:r>
      <w:r w:rsidRPr="008A1551">
        <w:rPr>
          <w:kern w:val="0"/>
          <w:sz w:val="24"/>
        </w:rPr>
        <w:t>1,258,782.43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交银施罗德丰盈收益债券型证券投资基金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445,792.94</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1,259,531.77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564,995.04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867,357.34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6,454.18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5,934.31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527,716.53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844,405.72</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30,824.33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17,017.31</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-89,197.21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-125,122.47</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-89,197.21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-125,122.47</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-30,016.39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517,093.07</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11.50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203.83</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188,636.52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358,845.63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49,084.19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185,267.97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16,361.46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34,737.78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8,230.14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1,753.46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241.95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372.17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7,366.28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26,163.50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7,366.28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26,163.50</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101.72</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61.28</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107,250.78</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110,489.47</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257,156.42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900,686.14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257,156.42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900,686.14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交银施罗德丰盈收益债券型证券投资基金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30,973,662.51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2,238,436.44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33,212,098.95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257,156.42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257,156.42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-9,630,443.88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-844,540.55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-10,474,984.43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43,921,782.80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4,122,400.58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48,044,183.38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-53,552,226.68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-4,966,941.13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-58,519,167.81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21,343,218.63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1,651,052.31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22,994,270.94</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61,181,140.97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1,944,295.54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63,125,436.51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900,686.14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900,686.14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-26,382,382.92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-1,003,538.23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-27,385,921.15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19,562,383.91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954,052.68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20,516,436.59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-45,944,766.83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-1,957,590.91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-47,902,357.74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34,798,758.05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1,841,443.45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36,640,201.50</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043298" w:rsidRDefault="002B09D2">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Pr>
          <w:color w:val="000000"/>
          <w:sz w:val="24"/>
        </w:rPr>
        <w:t>)</w:t>
      </w:r>
      <w:r>
        <w:rPr>
          <w:color w:val="000000"/>
          <w:sz w:val="24"/>
        </w:rPr>
        <w:t>，封闭期结束后转为开放式运作。本基金首次设立募集不包括认购资金利息共募集人民币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043298" w:rsidRDefault="00043298">
      <w:pPr>
        <w:spacing w:before="29" w:line="288" w:lineRule="auto"/>
        <w:ind w:firstLineChars="200" w:firstLine="480"/>
        <w:rPr>
          <w:color w:val="000000"/>
          <w:sz w:val="24"/>
        </w:rPr>
      </w:pPr>
    </w:p>
    <w:p w:rsidR="00043298" w:rsidRDefault="002B09D2">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类基金份额，在投资人申购时不收取申购费用、赎回时收取短期赎回费，且从本类别基金资产中计提销售服务费的，称为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类基金份额的申购。根据《关于交银施罗德丰盈收益债券型证券投资基金封闭期结束转为开放式运作并同时增加开通</w:t>
      </w:r>
      <w:r>
        <w:rPr>
          <w:color w:val="000000"/>
          <w:sz w:val="24"/>
        </w:rPr>
        <w:t>C</w:t>
      </w:r>
      <w:r>
        <w:rPr>
          <w:color w:val="000000"/>
          <w:sz w:val="24"/>
        </w:rPr>
        <w:t>类基金份额暨开放基金日常申购、赎回、定期定额投资业务并参与部分销售机构申购费率优惠活动的公告》的相关规定，本基金封闭期自</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8</w:t>
      </w:r>
      <w:r>
        <w:rPr>
          <w:color w:val="000000"/>
          <w:sz w:val="24"/>
        </w:rPr>
        <w:t>月</w:t>
      </w:r>
      <w:r>
        <w:rPr>
          <w:color w:val="000000"/>
          <w:sz w:val="24"/>
        </w:rPr>
        <w:t>11</w:t>
      </w:r>
      <w:r>
        <w:rPr>
          <w:color w:val="000000"/>
          <w:sz w:val="24"/>
        </w:rPr>
        <w:t>日止，自</w:t>
      </w:r>
      <w:r>
        <w:rPr>
          <w:color w:val="000000"/>
          <w:sz w:val="24"/>
        </w:rPr>
        <w:t>2017</w:t>
      </w:r>
      <w:r>
        <w:rPr>
          <w:color w:val="000000"/>
          <w:sz w:val="24"/>
        </w:rPr>
        <w:t>年</w:t>
      </w:r>
      <w:r>
        <w:rPr>
          <w:color w:val="000000"/>
          <w:sz w:val="24"/>
        </w:rPr>
        <w:t>8</w:t>
      </w:r>
      <w:r>
        <w:rPr>
          <w:color w:val="000000"/>
          <w:sz w:val="24"/>
        </w:rPr>
        <w:t>月</w:t>
      </w:r>
      <w:r>
        <w:rPr>
          <w:color w:val="000000"/>
          <w:sz w:val="24"/>
        </w:rPr>
        <w:t>14</w:t>
      </w:r>
      <w:r>
        <w:rPr>
          <w:color w:val="000000"/>
          <w:sz w:val="24"/>
        </w:rPr>
        <w:t>日起转为开放式运作，自该日起开始办理日常申购、赎回业务，并同时增加开通</w:t>
      </w:r>
      <w:r>
        <w:rPr>
          <w:color w:val="000000"/>
          <w:sz w:val="24"/>
        </w:rPr>
        <w:t>C</w:t>
      </w:r>
      <w:r>
        <w:rPr>
          <w:color w:val="000000"/>
          <w:sz w:val="24"/>
        </w:rPr>
        <w:t>类基金份额。</w:t>
      </w:r>
    </w:p>
    <w:p w:rsidR="00043298" w:rsidRDefault="00043298">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8A1551">
        <w:rPr>
          <w:color w:val="000000"/>
          <w:sz w:val="24"/>
        </w:rPr>
        <w:t>AA</w:t>
      </w:r>
      <w:r w:rsidRPr="008A1551">
        <w:rPr>
          <w:color w:val="000000"/>
          <w:sz w:val="24"/>
        </w:rPr>
        <w:t>级</w:t>
      </w:r>
      <w:r w:rsidRPr="008A1551">
        <w:rPr>
          <w:color w:val="000000"/>
          <w:sz w:val="24"/>
        </w:rPr>
        <w:t>(</w:t>
      </w:r>
      <w:r w:rsidRPr="008A1551">
        <w:rPr>
          <w:color w:val="000000"/>
          <w:sz w:val="24"/>
        </w:rPr>
        <w:t>含</w:t>
      </w:r>
      <w:r w:rsidRPr="008A1551">
        <w:rPr>
          <w:color w:val="000000"/>
          <w:sz w:val="24"/>
        </w:rPr>
        <w:t>)</w:t>
      </w:r>
      <w:r w:rsidRPr="008A1551">
        <w:rPr>
          <w:color w:val="000000"/>
          <w:sz w:val="24"/>
        </w:rPr>
        <w:t>以上。本基金不直接在二级市场买入股票、权证等权益类资产，也不参与一级市场新股申购和新股增发。同时本基金不参与可转换债券投资</w:t>
      </w:r>
      <w:r w:rsidRPr="008A1551">
        <w:rPr>
          <w:color w:val="000000"/>
          <w:sz w:val="24"/>
        </w:rPr>
        <w:t>(</w:t>
      </w:r>
      <w:r w:rsidRPr="008A1551">
        <w:rPr>
          <w:color w:val="000000"/>
          <w:sz w:val="24"/>
        </w:rPr>
        <w:t>分离交易可转债的纯债部分除外</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sidRPr="008A1551">
        <w:rPr>
          <w:color w:val="000000"/>
          <w:sz w:val="24"/>
        </w:rPr>
        <w:t>80%</w:t>
      </w:r>
      <w:r w:rsidRPr="008A1551">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8A1551">
        <w:rPr>
          <w:color w:val="000000"/>
          <w:sz w:val="24"/>
        </w:rPr>
        <w:t>5%</w:t>
      </w:r>
      <w:r w:rsidRPr="008A1551">
        <w:rPr>
          <w:color w:val="000000"/>
          <w:sz w:val="24"/>
        </w:rPr>
        <w:t>，其中现金不包括结算备付金、存出保证金和应收申购款等。本基金封闭期内业绩比较基准为三年期银行定期存款税后收益率，转为开放式运作后业绩比较基准为中债综合全价指数。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043298" w:rsidRDefault="002B09D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颁布的《证券投资基金会计核算业务指引》、《交银施罗德丰盈收益债券型证券投资基金基金合同》和在财务报表附注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年上半年度财务报表符合企业会计准则的要求，真实、完整地反映了本基金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043298" w:rsidRDefault="002B09D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43298" w:rsidRDefault="002B09D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43298" w:rsidRDefault="002B09D2">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043298" w:rsidRDefault="002B09D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043298" w:rsidRDefault="002B09D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043298">
        <w:tc>
          <w:tcPr>
            <w:tcW w:w="5219" w:type="dxa"/>
            <w:vAlign w:val="center"/>
          </w:tcPr>
          <w:p w:rsidR="00043298" w:rsidRDefault="002B09D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43298" w:rsidRDefault="002B09D2">
            <w:pPr>
              <w:jc w:val="left"/>
            </w:pPr>
            <w:r>
              <w:rPr>
                <w:color w:val="000000"/>
                <w:sz w:val="24"/>
              </w:rPr>
              <w:t>基金管理人、基金销售机构</w:t>
            </w:r>
          </w:p>
        </w:tc>
      </w:tr>
      <w:tr w:rsidR="00043298">
        <w:tc>
          <w:tcPr>
            <w:tcW w:w="5219" w:type="dxa"/>
            <w:vAlign w:val="center"/>
          </w:tcPr>
          <w:p w:rsidR="00043298" w:rsidRDefault="002B09D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043298" w:rsidRDefault="002B09D2">
            <w:pPr>
              <w:jc w:val="left"/>
            </w:pPr>
            <w:r>
              <w:rPr>
                <w:color w:val="000000"/>
                <w:sz w:val="24"/>
              </w:rPr>
              <w:t>基金托管人、基金销售机构</w:t>
            </w:r>
          </w:p>
        </w:tc>
      </w:tr>
      <w:tr w:rsidR="00043298">
        <w:tc>
          <w:tcPr>
            <w:tcW w:w="5219" w:type="dxa"/>
            <w:vAlign w:val="center"/>
          </w:tcPr>
          <w:p w:rsidR="00043298" w:rsidRDefault="002B09D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43298" w:rsidRDefault="002B09D2">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49,084.19</w:t>
            </w:r>
          </w:p>
        </w:tc>
        <w:tc>
          <w:tcPr>
            <w:tcW w:w="2657" w:type="dxa"/>
            <w:vAlign w:val="center"/>
          </w:tcPr>
          <w:p w:rsidR="001548F9" w:rsidRPr="008A1551" w:rsidRDefault="001548F9" w:rsidP="009E1EA4">
            <w:pPr>
              <w:spacing w:before="29" w:line="288" w:lineRule="auto"/>
              <w:jc w:val="right"/>
              <w:rPr>
                <w:sz w:val="24"/>
              </w:rPr>
            </w:pPr>
            <w:r w:rsidRPr="008A1551">
              <w:rPr>
                <w:sz w:val="24"/>
              </w:rPr>
              <w:t>185,267.97</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27,215.98</w:t>
            </w:r>
          </w:p>
        </w:tc>
        <w:tc>
          <w:tcPr>
            <w:tcW w:w="2657" w:type="dxa"/>
            <w:vAlign w:val="center"/>
          </w:tcPr>
          <w:p w:rsidR="001548F9" w:rsidRPr="008A1551" w:rsidRDefault="001548F9" w:rsidP="009E1EA4">
            <w:pPr>
              <w:spacing w:before="29" w:line="288" w:lineRule="auto"/>
              <w:jc w:val="right"/>
              <w:rPr>
                <w:sz w:val="24"/>
              </w:rPr>
            </w:pPr>
            <w:r w:rsidRPr="008A1551">
              <w:rPr>
                <w:sz w:val="24"/>
              </w:rPr>
              <w:t>87,291.24</w:t>
            </w:r>
          </w:p>
        </w:tc>
      </w:tr>
    </w:tbl>
    <w:p w:rsidR="00043298" w:rsidRDefault="002B09D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16,361.46</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34,737.78</w:t>
            </w:r>
          </w:p>
        </w:tc>
      </w:tr>
    </w:tbl>
    <w:p w:rsidR="00043298" w:rsidRDefault="002B09D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×0.10%÷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交银丰盈收益债券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交银丰盈收益债券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043298">
        <w:tc>
          <w:tcPr>
            <w:tcW w:w="2000" w:type="dxa"/>
            <w:vAlign w:val="center"/>
          </w:tcPr>
          <w:p w:rsidR="00043298" w:rsidRDefault="002B09D2">
            <w:pPr>
              <w:jc w:val="left"/>
            </w:pPr>
            <w:r>
              <w:rPr>
                <w:sz w:val="24"/>
              </w:rPr>
              <w:t>交通银行</w:t>
            </w:r>
          </w:p>
        </w:tc>
        <w:tc>
          <w:tcPr>
            <w:tcW w:w="1766" w:type="dxa"/>
            <w:vAlign w:val="center"/>
          </w:tcPr>
          <w:p w:rsidR="00043298" w:rsidRDefault="002B09D2">
            <w:pPr>
              <w:jc w:val="right"/>
            </w:pPr>
            <w:r>
              <w:rPr>
                <w:sz w:val="24"/>
              </w:rPr>
              <w:t>-</w:t>
            </w:r>
          </w:p>
        </w:tc>
        <w:tc>
          <w:tcPr>
            <w:tcW w:w="2162" w:type="dxa"/>
            <w:vAlign w:val="center"/>
          </w:tcPr>
          <w:p w:rsidR="00043298" w:rsidRDefault="002B09D2">
            <w:pPr>
              <w:jc w:val="right"/>
            </w:pPr>
            <w:r>
              <w:rPr>
                <w:sz w:val="24"/>
              </w:rPr>
              <w:t>2,166.64</w:t>
            </w:r>
          </w:p>
        </w:tc>
        <w:tc>
          <w:tcPr>
            <w:tcW w:w="3070" w:type="dxa"/>
            <w:vAlign w:val="center"/>
          </w:tcPr>
          <w:p w:rsidR="00043298" w:rsidRDefault="002B09D2">
            <w:pPr>
              <w:jc w:val="right"/>
            </w:pPr>
            <w:r>
              <w:rPr>
                <w:sz w:val="24"/>
              </w:rPr>
              <w:t>2,166.64</w:t>
            </w:r>
          </w:p>
        </w:tc>
      </w:tr>
      <w:tr w:rsidR="00043298">
        <w:tc>
          <w:tcPr>
            <w:tcW w:w="2000" w:type="dxa"/>
            <w:vAlign w:val="center"/>
          </w:tcPr>
          <w:p w:rsidR="00043298" w:rsidRDefault="002B09D2">
            <w:pPr>
              <w:jc w:val="left"/>
            </w:pPr>
            <w:r>
              <w:rPr>
                <w:sz w:val="24"/>
              </w:rPr>
              <w:t>交银施罗德基金公司</w:t>
            </w:r>
          </w:p>
        </w:tc>
        <w:tc>
          <w:tcPr>
            <w:tcW w:w="1766" w:type="dxa"/>
            <w:vAlign w:val="center"/>
          </w:tcPr>
          <w:p w:rsidR="00043298" w:rsidRDefault="002B09D2">
            <w:pPr>
              <w:jc w:val="right"/>
            </w:pPr>
            <w:r>
              <w:rPr>
                <w:sz w:val="24"/>
              </w:rPr>
              <w:t>-</w:t>
            </w:r>
          </w:p>
        </w:tc>
        <w:tc>
          <w:tcPr>
            <w:tcW w:w="2162" w:type="dxa"/>
            <w:vAlign w:val="center"/>
          </w:tcPr>
          <w:p w:rsidR="00043298" w:rsidRDefault="002B09D2">
            <w:pPr>
              <w:jc w:val="right"/>
            </w:pPr>
            <w:r>
              <w:rPr>
                <w:sz w:val="24"/>
              </w:rPr>
              <w:t>3,412.57</w:t>
            </w:r>
          </w:p>
        </w:tc>
        <w:tc>
          <w:tcPr>
            <w:tcW w:w="3070" w:type="dxa"/>
            <w:vAlign w:val="center"/>
          </w:tcPr>
          <w:p w:rsidR="00043298" w:rsidRDefault="002B09D2">
            <w:pPr>
              <w:jc w:val="right"/>
            </w:pPr>
            <w:r>
              <w:rPr>
                <w:sz w:val="24"/>
              </w:rPr>
              <w:t>3,412.57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5,579.21</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5,579.21</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交银丰盈收益债券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交银丰盈收益债券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043298">
        <w:tc>
          <w:tcPr>
            <w:tcW w:w="2000" w:type="dxa"/>
            <w:vAlign w:val="center"/>
          </w:tcPr>
          <w:p w:rsidR="00043298" w:rsidRDefault="002B09D2">
            <w:pPr>
              <w:jc w:val="left"/>
            </w:pPr>
            <w:r>
              <w:rPr>
                <w:sz w:val="24"/>
              </w:rPr>
              <w:t>交通银行</w:t>
            </w:r>
          </w:p>
        </w:tc>
        <w:tc>
          <w:tcPr>
            <w:tcW w:w="1766" w:type="dxa"/>
            <w:vAlign w:val="center"/>
          </w:tcPr>
          <w:p w:rsidR="00043298" w:rsidRDefault="002B09D2">
            <w:pPr>
              <w:jc w:val="right"/>
            </w:pPr>
            <w:r>
              <w:rPr>
                <w:sz w:val="24"/>
              </w:rPr>
              <w:t>-</w:t>
            </w:r>
          </w:p>
        </w:tc>
        <w:tc>
          <w:tcPr>
            <w:tcW w:w="2162" w:type="dxa"/>
            <w:vAlign w:val="center"/>
          </w:tcPr>
          <w:p w:rsidR="00043298" w:rsidRDefault="002B09D2">
            <w:pPr>
              <w:jc w:val="right"/>
            </w:pPr>
            <w:r>
              <w:rPr>
                <w:sz w:val="24"/>
              </w:rPr>
              <w:t>1,648.57</w:t>
            </w:r>
          </w:p>
        </w:tc>
        <w:tc>
          <w:tcPr>
            <w:tcW w:w="3070" w:type="dxa"/>
            <w:vAlign w:val="center"/>
          </w:tcPr>
          <w:p w:rsidR="00043298" w:rsidRDefault="002B09D2">
            <w:pPr>
              <w:jc w:val="right"/>
            </w:pPr>
            <w:r>
              <w:rPr>
                <w:sz w:val="24"/>
              </w:rPr>
              <w:t>1,648.57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1,648.57</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1,648.57</w:t>
            </w:r>
          </w:p>
        </w:tc>
      </w:tr>
    </w:tbl>
    <w:p w:rsidR="00043298" w:rsidRDefault="002B09D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043298">
        <w:tc>
          <w:tcPr>
            <w:tcW w:w="2692" w:type="dxa"/>
            <w:vAlign w:val="center"/>
          </w:tcPr>
          <w:p w:rsidR="00043298" w:rsidRDefault="002B09D2">
            <w:pPr>
              <w:jc w:val="left"/>
            </w:pPr>
            <w:r>
              <w:rPr>
                <w:sz w:val="24"/>
              </w:rPr>
              <w:t>中信银行股份有限公司</w:t>
            </w:r>
          </w:p>
        </w:tc>
        <w:tc>
          <w:tcPr>
            <w:tcW w:w="1417" w:type="dxa"/>
            <w:vAlign w:val="center"/>
          </w:tcPr>
          <w:p w:rsidR="00043298" w:rsidRDefault="002B09D2">
            <w:pPr>
              <w:jc w:val="right"/>
            </w:pPr>
            <w:r>
              <w:rPr>
                <w:sz w:val="24"/>
              </w:rPr>
              <w:t>93,229.72</w:t>
            </w:r>
          </w:p>
        </w:tc>
        <w:tc>
          <w:tcPr>
            <w:tcW w:w="1736" w:type="dxa"/>
            <w:vAlign w:val="center"/>
          </w:tcPr>
          <w:p w:rsidR="00043298" w:rsidRDefault="002B09D2">
            <w:pPr>
              <w:jc w:val="right"/>
            </w:pPr>
            <w:r>
              <w:rPr>
                <w:sz w:val="24"/>
              </w:rPr>
              <w:t>3,422.30</w:t>
            </w:r>
          </w:p>
        </w:tc>
        <w:tc>
          <w:tcPr>
            <w:tcW w:w="1383" w:type="dxa"/>
            <w:vAlign w:val="center"/>
          </w:tcPr>
          <w:p w:rsidR="00043298" w:rsidRDefault="002B09D2">
            <w:pPr>
              <w:jc w:val="right"/>
            </w:pPr>
            <w:r>
              <w:rPr>
                <w:sz w:val="24"/>
              </w:rPr>
              <w:t>382,213.36</w:t>
            </w:r>
          </w:p>
        </w:tc>
        <w:tc>
          <w:tcPr>
            <w:tcW w:w="1770" w:type="dxa"/>
            <w:vAlign w:val="center"/>
          </w:tcPr>
          <w:p w:rsidR="00043298" w:rsidRDefault="002B09D2">
            <w:pPr>
              <w:jc w:val="right"/>
            </w:pPr>
            <w:r>
              <w:rPr>
                <w:sz w:val="24"/>
              </w:rPr>
              <w:t>4,487.14</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3" w:name="OLE_LINK189"/>
      <w:bookmarkStart w:id="54" w:name="OLE_LINK7"/>
      <w:bookmarkStart w:id="55" w:name="OLE_LINK6"/>
      <w:r w:rsidRPr="00207C2A">
        <w:rPr>
          <w:rFonts w:eastAsiaTheme="minorEastAsia" w:hint="eastAsia"/>
          <w:b/>
          <w:color w:val="000000" w:themeColor="text1"/>
          <w:sz w:val="24"/>
        </w:rPr>
        <w:t>其他关联交易事项的说明</w:t>
      </w:r>
      <w:bookmarkEnd w:id="53"/>
      <w:bookmarkEnd w:id="54"/>
      <w:bookmarkEnd w:id="55"/>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400,000.00</w:t>
      </w:r>
      <w:r w:rsidRPr="008A1551">
        <w:rPr>
          <w:color w:val="000000"/>
          <w:sz w:val="24"/>
        </w:rPr>
        <w:t>元，于</w:t>
      </w:r>
      <w:r w:rsidRPr="008A1551">
        <w:rPr>
          <w:color w:val="000000"/>
          <w:sz w:val="24"/>
        </w:rPr>
        <w:t>2019</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22,595,586.00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96.15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22,595,586.00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96.15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273,337.50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630,738.04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2.68</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23,499,661.54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2B09D2" w:rsidRPr="008A1551" w:rsidRDefault="002B09D2"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2B09D2" w:rsidRPr="002B09D2" w:rsidRDefault="002B09D2"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4,423,840.00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19.24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18,171,746.00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79.03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18,171,746.00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79.03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22,595,586.00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98.27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043298">
        <w:tc>
          <w:tcPr>
            <w:tcW w:w="1320" w:type="dxa"/>
            <w:vAlign w:val="center"/>
          </w:tcPr>
          <w:p w:rsidR="00043298" w:rsidRDefault="002B09D2">
            <w:pPr>
              <w:jc w:val="center"/>
            </w:pPr>
            <w:r>
              <w:rPr>
                <w:color w:val="000000"/>
                <w:sz w:val="24"/>
              </w:rPr>
              <w:t>1</w:t>
            </w:r>
          </w:p>
        </w:tc>
        <w:tc>
          <w:tcPr>
            <w:tcW w:w="1382" w:type="dxa"/>
            <w:vAlign w:val="center"/>
          </w:tcPr>
          <w:p w:rsidR="00043298" w:rsidRDefault="002B09D2">
            <w:pPr>
              <w:jc w:val="center"/>
            </w:pPr>
            <w:r>
              <w:rPr>
                <w:color w:val="000000"/>
                <w:sz w:val="24"/>
              </w:rPr>
              <w:t>180209</w:t>
            </w:r>
          </w:p>
        </w:tc>
        <w:tc>
          <w:tcPr>
            <w:tcW w:w="1353" w:type="dxa"/>
            <w:vAlign w:val="center"/>
          </w:tcPr>
          <w:p w:rsidR="00043298" w:rsidRDefault="002B09D2">
            <w:pPr>
              <w:jc w:val="center"/>
            </w:pPr>
            <w:r>
              <w:rPr>
                <w:color w:val="000000"/>
                <w:sz w:val="24"/>
              </w:rPr>
              <w:t>18</w:t>
            </w:r>
            <w:r>
              <w:rPr>
                <w:color w:val="000000"/>
                <w:sz w:val="24"/>
              </w:rPr>
              <w:t>国开</w:t>
            </w:r>
            <w:r>
              <w:rPr>
                <w:color w:val="000000"/>
                <w:sz w:val="24"/>
              </w:rPr>
              <w:t>09</w:t>
            </w:r>
          </w:p>
        </w:tc>
        <w:tc>
          <w:tcPr>
            <w:tcW w:w="1505" w:type="dxa"/>
            <w:vAlign w:val="center"/>
          </w:tcPr>
          <w:p w:rsidR="00043298" w:rsidRDefault="002B09D2">
            <w:pPr>
              <w:jc w:val="right"/>
            </w:pPr>
            <w:r>
              <w:rPr>
                <w:color w:val="000000"/>
                <w:sz w:val="24"/>
              </w:rPr>
              <w:t>100,000</w:t>
            </w:r>
          </w:p>
        </w:tc>
        <w:tc>
          <w:tcPr>
            <w:tcW w:w="1737" w:type="dxa"/>
            <w:vAlign w:val="center"/>
          </w:tcPr>
          <w:p w:rsidR="00043298" w:rsidRDefault="002B09D2">
            <w:pPr>
              <w:jc w:val="right"/>
            </w:pPr>
            <w:r>
              <w:rPr>
                <w:color w:val="000000"/>
                <w:sz w:val="24"/>
              </w:rPr>
              <w:t>10,003,000.00</w:t>
            </w:r>
          </w:p>
        </w:tc>
        <w:tc>
          <w:tcPr>
            <w:tcW w:w="1701" w:type="dxa"/>
            <w:vAlign w:val="center"/>
          </w:tcPr>
          <w:p w:rsidR="00043298" w:rsidRDefault="002B09D2">
            <w:pPr>
              <w:jc w:val="right"/>
            </w:pPr>
            <w:r>
              <w:rPr>
                <w:color w:val="000000"/>
                <w:sz w:val="24"/>
              </w:rPr>
              <w:t>43.50</w:t>
            </w:r>
          </w:p>
        </w:tc>
      </w:tr>
      <w:tr w:rsidR="00043298">
        <w:tc>
          <w:tcPr>
            <w:tcW w:w="1320" w:type="dxa"/>
            <w:vAlign w:val="center"/>
          </w:tcPr>
          <w:p w:rsidR="00043298" w:rsidRDefault="002B09D2">
            <w:pPr>
              <w:jc w:val="center"/>
            </w:pPr>
            <w:r>
              <w:rPr>
                <w:color w:val="000000"/>
                <w:sz w:val="24"/>
              </w:rPr>
              <w:t>2</w:t>
            </w:r>
          </w:p>
        </w:tc>
        <w:tc>
          <w:tcPr>
            <w:tcW w:w="1382" w:type="dxa"/>
            <w:vAlign w:val="center"/>
          </w:tcPr>
          <w:p w:rsidR="00043298" w:rsidRDefault="002B09D2">
            <w:pPr>
              <w:jc w:val="center"/>
            </w:pPr>
            <w:r>
              <w:rPr>
                <w:color w:val="000000"/>
                <w:sz w:val="24"/>
              </w:rPr>
              <w:t>018007</w:t>
            </w:r>
          </w:p>
        </w:tc>
        <w:tc>
          <w:tcPr>
            <w:tcW w:w="1353" w:type="dxa"/>
            <w:vAlign w:val="center"/>
          </w:tcPr>
          <w:p w:rsidR="00043298" w:rsidRDefault="002B09D2">
            <w:pPr>
              <w:jc w:val="center"/>
            </w:pPr>
            <w:r>
              <w:rPr>
                <w:color w:val="000000"/>
                <w:sz w:val="24"/>
              </w:rPr>
              <w:t>国开</w:t>
            </w:r>
            <w:r>
              <w:rPr>
                <w:color w:val="000000"/>
                <w:sz w:val="24"/>
              </w:rPr>
              <w:t>1801</w:t>
            </w:r>
          </w:p>
        </w:tc>
        <w:tc>
          <w:tcPr>
            <w:tcW w:w="1505" w:type="dxa"/>
            <w:vAlign w:val="center"/>
          </w:tcPr>
          <w:p w:rsidR="00043298" w:rsidRDefault="002B09D2">
            <w:pPr>
              <w:jc w:val="right"/>
            </w:pPr>
            <w:r>
              <w:rPr>
                <w:color w:val="000000"/>
                <w:sz w:val="24"/>
              </w:rPr>
              <w:t>65,800</w:t>
            </w:r>
          </w:p>
        </w:tc>
        <w:tc>
          <w:tcPr>
            <w:tcW w:w="1737" w:type="dxa"/>
            <w:vAlign w:val="center"/>
          </w:tcPr>
          <w:p w:rsidR="00043298" w:rsidRDefault="002B09D2">
            <w:pPr>
              <w:jc w:val="right"/>
            </w:pPr>
            <w:r>
              <w:rPr>
                <w:color w:val="000000"/>
                <w:sz w:val="24"/>
              </w:rPr>
              <w:t>6,637,246.00</w:t>
            </w:r>
          </w:p>
        </w:tc>
        <w:tc>
          <w:tcPr>
            <w:tcW w:w="1701" w:type="dxa"/>
            <w:vAlign w:val="center"/>
          </w:tcPr>
          <w:p w:rsidR="00043298" w:rsidRDefault="002B09D2">
            <w:pPr>
              <w:jc w:val="right"/>
            </w:pPr>
            <w:r>
              <w:rPr>
                <w:color w:val="000000"/>
                <w:sz w:val="24"/>
              </w:rPr>
              <w:t>28.86</w:t>
            </w:r>
          </w:p>
        </w:tc>
      </w:tr>
      <w:tr w:rsidR="00043298">
        <w:tc>
          <w:tcPr>
            <w:tcW w:w="1320" w:type="dxa"/>
            <w:vAlign w:val="center"/>
          </w:tcPr>
          <w:p w:rsidR="00043298" w:rsidRDefault="002B09D2">
            <w:pPr>
              <w:jc w:val="center"/>
            </w:pPr>
            <w:r>
              <w:rPr>
                <w:color w:val="000000"/>
                <w:sz w:val="24"/>
              </w:rPr>
              <w:t>3</w:t>
            </w:r>
          </w:p>
        </w:tc>
        <w:tc>
          <w:tcPr>
            <w:tcW w:w="1382" w:type="dxa"/>
            <w:vAlign w:val="center"/>
          </w:tcPr>
          <w:p w:rsidR="00043298" w:rsidRDefault="002B09D2">
            <w:pPr>
              <w:jc w:val="center"/>
            </w:pPr>
            <w:r>
              <w:rPr>
                <w:color w:val="000000"/>
                <w:sz w:val="24"/>
              </w:rPr>
              <w:t>010107</w:t>
            </w:r>
          </w:p>
        </w:tc>
        <w:tc>
          <w:tcPr>
            <w:tcW w:w="1353" w:type="dxa"/>
            <w:vAlign w:val="center"/>
          </w:tcPr>
          <w:p w:rsidR="00043298" w:rsidRDefault="002B09D2">
            <w:pPr>
              <w:jc w:val="center"/>
            </w:pPr>
            <w:r>
              <w:rPr>
                <w:color w:val="000000"/>
                <w:sz w:val="24"/>
              </w:rPr>
              <w:t>21</w:t>
            </w:r>
            <w:r>
              <w:rPr>
                <w:color w:val="000000"/>
                <w:sz w:val="24"/>
              </w:rPr>
              <w:t>国债</w:t>
            </w:r>
            <w:r>
              <w:rPr>
                <w:color w:val="000000"/>
                <w:sz w:val="24"/>
              </w:rPr>
              <w:t>⑺</w:t>
            </w:r>
          </w:p>
        </w:tc>
        <w:tc>
          <w:tcPr>
            <w:tcW w:w="1505" w:type="dxa"/>
            <w:vAlign w:val="center"/>
          </w:tcPr>
          <w:p w:rsidR="00043298" w:rsidRDefault="002B09D2">
            <w:pPr>
              <w:jc w:val="right"/>
            </w:pPr>
            <w:r>
              <w:rPr>
                <w:color w:val="000000"/>
                <w:sz w:val="24"/>
              </w:rPr>
              <w:t>43,000</w:t>
            </w:r>
          </w:p>
        </w:tc>
        <w:tc>
          <w:tcPr>
            <w:tcW w:w="1737" w:type="dxa"/>
            <w:vAlign w:val="center"/>
          </w:tcPr>
          <w:p w:rsidR="00043298" w:rsidRDefault="002B09D2">
            <w:pPr>
              <w:jc w:val="right"/>
            </w:pPr>
            <w:r>
              <w:rPr>
                <w:color w:val="000000"/>
                <w:sz w:val="24"/>
              </w:rPr>
              <w:t>4,423,840.00</w:t>
            </w:r>
          </w:p>
        </w:tc>
        <w:tc>
          <w:tcPr>
            <w:tcW w:w="1701" w:type="dxa"/>
            <w:vAlign w:val="center"/>
          </w:tcPr>
          <w:p w:rsidR="00043298" w:rsidRDefault="002B09D2">
            <w:pPr>
              <w:jc w:val="right"/>
            </w:pPr>
            <w:r>
              <w:rPr>
                <w:color w:val="000000"/>
                <w:sz w:val="24"/>
              </w:rPr>
              <w:t>19.24</w:t>
            </w:r>
          </w:p>
        </w:tc>
      </w:tr>
      <w:tr w:rsidR="00043298">
        <w:tc>
          <w:tcPr>
            <w:tcW w:w="1320" w:type="dxa"/>
            <w:vAlign w:val="center"/>
          </w:tcPr>
          <w:p w:rsidR="00043298" w:rsidRDefault="002B09D2">
            <w:pPr>
              <w:jc w:val="center"/>
            </w:pPr>
            <w:r>
              <w:rPr>
                <w:color w:val="000000"/>
                <w:sz w:val="24"/>
              </w:rPr>
              <w:t>4</w:t>
            </w:r>
          </w:p>
        </w:tc>
        <w:tc>
          <w:tcPr>
            <w:tcW w:w="1382" w:type="dxa"/>
            <w:vAlign w:val="center"/>
          </w:tcPr>
          <w:p w:rsidR="00043298" w:rsidRDefault="002B09D2">
            <w:pPr>
              <w:jc w:val="center"/>
            </w:pPr>
            <w:r>
              <w:rPr>
                <w:color w:val="000000"/>
                <w:sz w:val="24"/>
              </w:rPr>
              <w:t>018006</w:t>
            </w:r>
          </w:p>
        </w:tc>
        <w:tc>
          <w:tcPr>
            <w:tcW w:w="1353" w:type="dxa"/>
            <w:vAlign w:val="center"/>
          </w:tcPr>
          <w:p w:rsidR="00043298" w:rsidRDefault="002B09D2">
            <w:pPr>
              <w:jc w:val="center"/>
            </w:pPr>
            <w:r>
              <w:rPr>
                <w:color w:val="000000"/>
                <w:sz w:val="24"/>
              </w:rPr>
              <w:t>国开</w:t>
            </w:r>
            <w:r>
              <w:rPr>
                <w:color w:val="000000"/>
                <w:sz w:val="24"/>
              </w:rPr>
              <w:t>1702</w:t>
            </w:r>
          </w:p>
        </w:tc>
        <w:tc>
          <w:tcPr>
            <w:tcW w:w="1505" w:type="dxa"/>
            <w:vAlign w:val="center"/>
          </w:tcPr>
          <w:p w:rsidR="00043298" w:rsidRDefault="002B09D2">
            <w:pPr>
              <w:jc w:val="right"/>
            </w:pPr>
            <w:r>
              <w:rPr>
                <w:color w:val="000000"/>
                <w:sz w:val="24"/>
              </w:rPr>
              <w:t>15,000</w:t>
            </w:r>
          </w:p>
        </w:tc>
        <w:tc>
          <w:tcPr>
            <w:tcW w:w="1737" w:type="dxa"/>
            <w:vAlign w:val="center"/>
          </w:tcPr>
          <w:p w:rsidR="00043298" w:rsidRDefault="002B09D2">
            <w:pPr>
              <w:jc w:val="right"/>
            </w:pPr>
            <w:r>
              <w:rPr>
                <w:color w:val="000000"/>
                <w:sz w:val="24"/>
              </w:rPr>
              <w:t>1,531,500.00</w:t>
            </w:r>
          </w:p>
        </w:tc>
        <w:tc>
          <w:tcPr>
            <w:tcW w:w="1701" w:type="dxa"/>
            <w:vAlign w:val="center"/>
          </w:tcPr>
          <w:p w:rsidR="00043298" w:rsidRDefault="002B09D2">
            <w:pPr>
              <w:jc w:val="right"/>
            </w:pPr>
            <w:r>
              <w:rPr>
                <w:color w:val="000000"/>
                <w:sz w:val="24"/>
              </w:rPr>
              <w:t>6.66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7,030.64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623,707.40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630,738.04</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交银丰盈收益债券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118,143.74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20,084,436.20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交银丰盈收益债券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14,143.62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1,258,782.43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82,406.25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21,343,218.63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交银丰盈收益债券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交银丰盈收益债券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284.81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284.81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交银丰盈收益债券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交银丰盈收益债券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交银丰盈收益债券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交银丰盈收益债券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交银丰盈收益债券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交银丰盈收益债券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8</w:t>
            </w:r>
            <w:r w:rsidRPr="008A1551">
              <w:rPr>
                <w:sz w:val="24"/>
              </w:rPr>
              <w:t>月</w:t>
            </w:r>
            <w:r w:rsidRPr="008A1551">
              <w:rPr>
                <w:sz w:val="24"/>
              </w:rPr>
              <w:t>11</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510,658,140.93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27,161,445.45</w:t>
            </w:r>
          </w:p>
        </w:tc>
        <w:tc>
          <w:tcPr>
            <w:tcW w:w="1615" w:type="pct"/>
            <w:vAlign w:val="center"/>
          </w:tcPr>
          <w:p w:rsidR="001548F9" w:rsidRPr="008A1551" w:rsidRDefault="001548F9" w:rsidP="009E1EA4">
            <w:pPr>
              <w:spacing w:before="29" w:line="288" w:lineRule="auto"/>
              <w:jc w:val="right"/>
              <w:rPr>
                <w:sz w:val="24"/>
              </w:rPr>
            </w:pPr>
            <w:r w:rsidRPr="008A1551">
              <w:rPr>
                <w:sz w:val="24"/>
              </w:rPr>
              <w:t>3,812,217.06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18,803,176.84</w:t>
            </w:r>
          </w:p>
        </w:tc>
        <w:tc>
          <w:tcPr>
            <w:tcW w:w="1615" w:type="pct"/>
            <w:vAlign w:val="center"/>
          </w:tcPr>
          <w:p w:rsidR="001548F9" w:rsidRPr="008A1551" w:rsidRDefault="001548F9" w:rsidP="009E1EA4">
            <w:pPr>
              <w:spacing w:before="29" w:line="288" w:lineRule="auto"/>
              <w:jc w:val="right"/>
              <w:rPr>
                <w:sz w:val="24"/>
              </w:rPr>
            </w:pPr>
            <w:r w:rsidRPr="008A1551">
              <w:rPr>
                <w:sz w:val="24"/>
              </w:rPr>
              <w:t>25,118,605.96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25,880,186.09</w:t>
            </w:r>
          </w:p>
        </w:tc>
        <w:tc>
          <w:tcPr>
            <w:tcW w:w="1615" w:type="pct"/>
            <w:vAlign w:val="center"/>
          </w:tcPr>
          <w:p w:rsidR="001548F9" w:rsidRPr="008A1551" w:rsidRDefault="001548F9" w:rsidP="009E1EA4">
            <w:pPr>
              <w:spacing w:before="29" w:line="288" w:lineRule="auto"/>
              <w:jc w:val="right"/>
              <w:rPr>
                <w:sz w:val="24"/>
              </w:rPr>
            </w:pPr>
            <w:r w:rsidRPr="008A1551">
              <w:rPr>
                <w:sz w:val="24"/>
              </w:rPr>
              <w:t>27,672,040.59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20,084,436.20</w:t>
            </w:r>
          </w:p>
        </w:tc>
        <w:tc>
          <w:tcPr>
            <w:tcW w:w="1615" w:type="pct"/>
            <w:vAlign w:val="center"/>
          </w:tcPr>
          <w:p w:rsidR="001548F9" w:rsidRPr="008A1551" w:rsidRDefault="001548F9" w:rsidP="009E1EA4">
            <w:pPr>
              <w:spacing w:before="29" w:line="288" w:lineRule="auto"/>
              <w:jc w:val="right"/>
              <w:rPr>
                <w:sz w:val="24"/>
              </w:rPr>
            </w:pPr>
            <w:r w:rsidRPr="008A1551">
              <w:rPr>
                <w:sz w:val="24"/>
              </w:rPr>
              <w:t>1,258,782.43</w:t>
            </w:r>
          </w:p>
        </w:tc>
      </w:tr>
    </w:tbl>
    <w:p w:rsidR="00043298" w:rsidRDefault="002B09D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043298" w:rsidRDefault="002B09D2">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、基金托管人的基金托管部门的重大人事变动：本报告期内，经中信银行股份有限公司董事会会议审议通过，聘任方合英先生为中信银行行长，任职资格于</w:t>
      </w:r>
      <w:r w:rsidRPr="00690ED2">
        <w:rPr>
          <w:kern w:val="0"/>
          <w:sz w:val="24"/>
        </w:rPr>
        <w:t>2019</w:t>
      </w:r>
      <w:r w:rsidRPr="00690ED2">
        <w:rPr>
          <w:kern w:val="0"/>
          <w:sz w:val="24"/>
        </w:rPr>
        <w:t>年</w:t>
      </w:r>
      <w:r w:rsidRPr="00690ED2">
        <w:rPr>
          <w:kern w:val="0"/>
          <w:sz w:val="24"/>
        </w:rPr>
        <w:t>3</w:t>
      </w:r>
      <w:r w:rsidRPr="00690ED2">
        <w:rPr>
          <w:kern w:val="0"/>
          <w:sz w:val="24"/>
        </w:rPr>
        <w:t>月</w:t>
      </w:r>
      <w:r w:rsidRPr="00690ED2">
        <w:rPr>
          <w:kern w:val="0"/>
          <w:sz w:val="24"/>
        </w:rPr>
        <w:t>29</w:t>
      </w:r>
      <w:r w:rsidRPr="00690ED2">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043298" w:rsidRDefault="002B09D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43298" w:rsidRDefault="002B09D2">
      <w:pPr>
        <w:tabs>
          <w:tab w:val="left" w:pos="426"/>
        </w:tabs>
        <w:spacing w:before="29" w:line="288" w:lineRule="auto"/>
        <w:jc w:val="left"/>
        <w:rPr>
          <w:kern w:val="0"/>
          <w:sz w:val="24"/>
        </w:rPr>
      </w:pPr>
      <w:r>
        <w:rPr>
          <w:kern w:val="0"/>
          <w:sz w:val="24"/>
        </w:rPr>
        <w:t>基金管理人及其高级管理人员本报告期内未受监管部门稽查或处罚。</w:t>
      </w:r>
    </w:p>
    <w:p w:rsidR="00043298" w:rsidRDefault="002B09D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043298">
        <w:tc>
          <w:tcPr>
            <w:tcW w:w="1559" w:type="dxa"/>
            <w:vAlign w:val="center"/>
          </w:tcPr>
          <w:p w:rsidR="00043298" w:rsidRDefault="002B09D2">
            <w:pPr>
              <w:jc w:val="center"/>
            </w:pPr>
            <w:r>
              <w:rPr>
                <w:color w:val="000000"/>
                <w:sz w:val="24"/>
              </w:rPr>
              <w:t>安信证券股份有限公司</w:t>
            </w:r>
          </w:p>
        </w:tc>
        <w:tc>
          <w:tcPr>
            <w:tcW w:w="779" w:type="dxa"/>
            <w:vAlign w:val="center"/>
          </w:tcPr>
          <w:p w:rsidR="00043298" w:rsidRDefault="002B09D2">
            <w:pPr>
              <w:jc w:val="center"/>
            </w:pPr>
            <w:r>
              <w:rPr>
                <w:color w:val="000000"/>
                <w:sz w:val="24"/>
              </w:rPr>
              <w:t>2</w:t>
            </w:r>
          </w:p>
        </w:tc>
        <w:tc>
          <w:tcPr>
            <w:tcW w:w="180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62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080" w:type="dxa"/>
            <w:vAlign w:val="center"/>
          </w:tcPr>
          <w:p w:rsidR="00043298" w:rsidRDefault="002B09D2">
            <w:pPr>
              <w:jc w:val="left"/>
            </w:pPr>
            <w:r>
              <w:rPr>
                <w:color w:val="000000"/>
                <w:sz w:val="24"/>
              </w:rPr>
              <w:t>-</w:t>
            </w:r>
          </w:p>
        </w:tc>
      </w:tr>
      <w:tr w:rsidR="00043298">
        <w:tc>
          <w:tcPr>
            <w:tcW w:w="1559" w:type="dxa"/>
            <w:vAlign w:val="center"/>
          </w:tcPr>
          <w:p w:rsidR="00043298" w:rsidRDefault="002B09D2">
            <w:pPr>
              <w:jc w:val="center"/>
            </w:pPr>
            <w:r>
              <w:rPr>
                <w:color w:val="000000"/>
                <w:sz w:val="24"/>
              </w:rPr>
              <w:t>国金证券股份有限公司</w:t>
            </w:r>
          </w:p>
        </w:tc>
        <w:tc>
          <w:tcPr>
            <w:tcW w:w="779" w:type="dxa"/>
            <w:vAlign w:val="center"/>
          </w:tcPr>
          <w:p w:rsidR="00043298" w:rsidRDefault="002B09D2">
            <w:pPr>
              <w:jc w:val="center"/>
            </w:pPr>
            <w:r>
              <w:rPr>
                <w:color w:val="000000"/>
                <w:sz w:val="24"/>
              </w:rPr>
              <w:t>2</w:t>
            </w:r>
          </w:p>
        </w:tc>
        <w:tc>
          <w:tcPr>
            <w:tcW w:w="180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62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080" w:type="dxa"/>
            <w:vAlign w:val="center"/>
          </w:tcPr>
          <w:p w:rsidR="00043298" w:rsidRDefault="002B09D2">
            <w:pPr>
              <w:jc w:val="left"/>
            </w:pPr>
            <w:r>
              <w:rPr>
                <w:color w:val="000000"/>
                <w:sz w:val="24"/>
              </w:rPr>
              <w:t>-</w:t>
            </w:r>
          </w:p>
        </w:tc>
      </w:tr>
      <w:tr w:rsidR="00043298">
        <w:tc>
          <w:tcPr>
            <w:tcW w:w="1559" w:type="dxa"/>
            <w:vAlign w:val="center"/>
          </w:tcPr>
          <w:p w:rsidR="00043298" w:rsidRDefault="002B09D2">
            <w:pPr>
              <w:jc w:val="center"/>
            </w:pPr>
            <w:r>
              <w:rPr>
                <w:color w:val="000000"/>
                <w:sz w:val="24"/>
              </w:rPr>
              <w:t>中泰证券股份有限公司</w:t>
            </w:r>
          </w:p>
        </w:tc>
        <w:tc>
          <w:tcPr>
            <w:tcW w:w="779" w:type="dxa"/>
            <w:vAlign w:val="center"/>
          </w:tcPr>
          <w:p w:rsidR="00043298" w:rsidRDefault="002B09D2">
            <w:pPr>
              <w:jc w:val="center"/>
            </w:pPr>
            <w:r>
              <w:rPr>
                <w:color w:val="000000"/>
                <w:sz w:val="24"/>
              </w:rPr>
              <w:t>3</w:t>
            </w:r>
          </w:p>
        </w:tc>
        <w:tc>
          <w:tcPr>
            <w:tcW w:w="180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62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080" w:type="dxa"/>
            <w:vAlign w:val="center"/>
          </w:tcPr>
          <w:p w:rsidR="00043298" w:rsidRDefault="002B09D2">
            <w:pPr>
              <w:jc w:val="left"/>
            </w:pPr>
            <w:r>
              <w:rPr>
                <w:color w:val="000000"/>
                <w:sz w:val="24"/>
              </w:rPr>
              <w:t>-</w:t>
            </w:r>
          </w:p>
        </w:tc>
      </w:tr>
      <w:tr w:rsidR="00043298">
        <w:tc>
          <w:tcPr>
            <w:tcW w:w="1559" w:type="dxa"/>
            <w:vAlign w:val="center"/>
          </w:tcPr>
          <w:p w:rsidR="00043298" w:rsidRDefault="002B09D2">
            <w:pPr>
              <w:jc w:val="center"/>
            </w:pPr>
            <w:r>
              <w:rPr>
                <w:color w:val="000000"/>
                <w:sz w:val="24"/>
              </w:rPr>
              <w:t>新时代证券股份有限公司</w:t>
            </w:r>
          </w:p>
        </w:tc>
        <w:tc>
          <w:tcPr>
            <w:tcW w:w="779" w:type="dxa"/>
            <w:vAlign w:val="center"/>
          </w:tcPr>
          <w:p w:rsidR="00043298" w:rsidRDefault="002B09D2">
            <w:pPr>
              <w:jc w:val="center"/>
            </w:pPr>
            <w:r>
              <w:rPr>
                <w:color w:val="000000"/>
                <w:sz w:val="24"/>
              </w:rPr>
              <w:t>1</w:t>
            </w:r>
          </w:p>
        </w:tc>
        <w:tc>
          <w:tcPr>
            <w:tcW w:w="180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62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080" w:type="dxa"/>
            <w:vAlign w:val="center"/>
          </w:tcPr>
          <w:p w:rsidR="00043298" w:rsidRDefault="002B09D2">
            <w:pPr>
              <w:jc w:val="left"/>
            </w:pPr>
            <w:r>
              <w:rPr>
                <w:color w:val="000000"/>
                <w:sz w:val="24"/>
              </w:rPr>
              <w:t>-</w:t>
            </w:r>
          </w:p>
        </w:tc>
      </w:tr>
      <w:tr w:rsidR="00043298">
        <w:tc>
          <w:tcPr>
            <w:tcW w:w="1559" w:type="dxa"/>
            <w:vAlign w:val="center"/>
          </w:tcPr>
          <w:p w:rsidR="00043298" w:rsidRDefault="002B09D2">
            <w:pPr>
              <w:jc w:val="center"/>
            </w:pPr>
            <w:r>
              <w:rPr>
                <w:color w:val="000000"/>
                <w:sz w:val="24"/>
              </w:rPr>
              <w:t>国盛证券有限责任公司</w:t>
            </w:r>
          </w:p>
        </w:tc>
        <w:tc>
          <w:tcPr>
            <w:tcW w:w="779" w:type="dxa"/>
            <w:vAlign w:val="center"/>
          </w:tcPr>
          <w:p w:rsidR="00043298" w:rsidRDefault="002B09D2">
            <w:pPr>
              <w:jc w:val="center"/>
            </w:pPr>
            <w:r>
              <w:rPr>
                <w:color w:val="000000"/>
                <w:sz w:val="24"/>
              </w:rPr>
              <w:t>1</w:t>
            </w:r>
          </w:p>
        </w:tc>
        <w:tc>
          <w:tcPr>
            <w:tcW w:w="180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62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080" w:type="dxa"/>
            <w:vAlign w:val="center"/>
          </w:tcPr>
          <w:p w:rsidR="00043298" w:rsidRDefault="002B09D2">
            <w:pPr>
              <w:jc w:val="left"/>
            </w:pPr>
            <w:r>
              <w:rPr>
                <w:color w:val="000000"/>
                <w:sz w:val="24"/>
              </w:rPr>
              <w:t>-</w:t>
            </w:r>
          </w:p>
        </w:tc>
      </w:tr>
      <w:tr w:rsidR="00043298">
        <w:tc>
          <w:tcPr>
            <w:tcW w:w="1559" w:type="dxa"/>
            <w:vAlign w:val="center"/>
          </w:tcPr>
          <w:p w:rsidR="00043298" w:rsidRDefault="002B09D2">
            <w:pPr>
              <w:jc w:val="center"/>
            </w:pPr>
            <w:r>
              <w:rPr>
                <w:color w:val="000000"/>
                <w:sz w:val="24"/>
              </w:rPr>
              <w:t>中信证券股份有限公司</w:t>
            </w:r>
          </w:p>
        </w:tc>
        <w:tc>
          <w:tcPr>
            <w:tcW w:w="779" w:type="dxa"/>
            <w:vAlign w:val="center"/>
          </w:tcPr>
          <w:p w:rsidR="00043298" w:rsidRDefault="002B09D2">
            <w:pPr>
              <w:jc w:val="center"/>
            </w:pPr>
            <w:r>
              <w:rPr>
                <w:color w:val="000000"/>
                <w:sz w:val="24"/>
              </w:rPr>
              <w:t>1</w:t>
            </w:r>
          </w:p>
        </w:tc>
        <w:tc>
          <w:tcPr>
            <w:tcW w:w="180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620" w:type="dxa"/>
            <w:vAlign w:val="center"/>
          </w:tcPr>
          <w:p w:rsidR="00043298" w:rsidRDefault="002B09D2">
            <w:pPr>
              <w:jc w:val="right"/>
            </w:pPr>
            <w:r>
              <w:rPr>
                <w:color w:val="000000"/>
                <w:sz w:val="24"/>
              </w:rPr>
              <w:t>-</w:t>
            </w:r>
          </w:p>
        </w:tc>
        <w:tc>
          <w:tcPr>
            <w:tcW w:w="1080" w:type="dxa"/>
            <w:vAlign w:val="center"/>
          </w:tcPr>
          <w:p w:rsidR="00043298" w:rsidRDefault="002B09D2">
            <w:pPr>
              <w:jc w:val="right"/>
            </w:pPr>
            <w:r>
              <w:rPr>
                <w:color w:val="000000"/>
                <w:sz w:val="24"/>
              </w:rPr>
              <w:t>-</w:t>
            </w:r>
          </w:p>
        </w:tc>
        <w:tc>
          <w:tcPr>
            <w:tcW w:w="1080" w:type="dxa"/>
            <w:vAlign w:val="center"/>
          </w:tcPr>
          <w:p w:rsidR="00043298" w:rsidRDefault="002B09D2">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043298">
        <w:tc>
          <w:tcPr>
            <w:tcW w:w="2437" w:type="dxa"/>
            <w:vAlign w:val="center"/>
          </w:tcPr>
          <w:p w:rsidR="00043298" w:rsidRDefault="002B09D2">
            <w:r>
              <w:rPr>
                <w:sz w:val="24"/>
              </w:rPr>
              <w:t>安信证券股份有限公司</w:t>
            </w:r>
          </w:p>
        </w:tc>
        <w:tc>
          <w:tcPr>
            <w:tcW w:w="1092" w:type="dxa"/>
            <w:vAlign w:val="center"/>
          </w:tcPr>
          <w:p w:rsidR="00043298" w:rsidRDefault="002B09D2">
            <w:pPr>
              <w:jc w:val="right"/>
            </w:pPr>
            <w:r>
              <w:rPr>
                <w:sz w:val="24"/>
              </w:rPr>
              <w:t>65,378,519.80</w:t>
            </w:r>
          </w:p>
        </w:tc>
        <w:tc>
          <w:tcPr>
            <w:tcW w:w="1093" w:type="dxa"/>
            <w:vAlign w:val="center"/>
          </w:tcPr>
          <w:p w:rsidR="00043298" w:rsidRDefault="002B09D2">
            <w:pPr>
              <w:jc w:val="right"/>
            </w:pPr>
            <w:r>
              <w:rPr>
                <w:sz w:val="24"/>
              </w:rPr>
              <w:t>100.00%</w:t>
            </w:r>
          </w:p>
        </w:tc>
        <w:tc>
          <w:tcPr>
            <w:tcW w:w="1093" w:type="dxa"/>
            <w:vAlign w:val="center"/>
          </w:tcPr>
          <w:p w:rsidR="00043298" w:rsidRDefault="002B09D2">
            <w:pPr>
              <w:jc w:val="right"/>
            </w:pPr>
            <w:r>
              <w:rPr>
                <w:sz w:val="24"/>
              </w:rPr>
              <w:t>180,800,000.00</w:t>
            </w:r>
          </w:p>
        </w:tc>
        <w:tc>
          <w:tcPr>
            <w:tcW w:w="1093" w:type="dxa"/>
            <w:vAlign w:val="center"/>
          </w:tcPr>
          <w:p w:rsidR="00043298" w:rsidRDefault="002B09D2">
            <w:pPr>
              <w:jc w:val="right"/>
            </w:pPr>
            <w:r>
              <w:rPr>
                <w:sz w:val="24"/>
              </w:rPr>
              <w:t>100.00%</w:t>
            </w:r>
          </w:p>
        </w:tc>
        <w:tc>
          <w:tcPr>
            <w:tcW w:w="1093" w:type="dxa"/>
            <w:vAlign w:val="center"/>
          </w:tcPr>
          <w:p w:rsidR="00043298" w:rsidRDefault="002B09D2">
            <w:pPr>
              <w:jc w:val="right"/>
            </w:pPr>
            <w:r>
              <w:rPr>
                <w:sz w:val="24"/>
              </w:rPr>
              <w:t>-</w:t>
            </w:r>
          </w:p>
        </w:tc>
        <w:tc>
          <w:tcPr>
            <w:tcW w:w="1097" w:type="dxa"/>
            <w:vAlign w:val="center"/>
          </w:tcPr>
          <w:p w:rsidR="00043298" w:rsidRDefault="002B09D2">
            <w:pPr>
              <w:jc w:val="right"/>
            </w:pPr>
            <w:r>
              <w:rPr>
                <w:sz w:val="24"/>
              </w:rPr>
              <w:t>-</w:t>
            </w:r>
          </w:p>
        </w:tc>
      </w:tr>
    </w:tbl>
    <w:p w:rsidR="00043298" w:rsidRDefault="002B09D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、报告期内，本基金新增加国盛证券有限责任公司，其它交易单元未发生变化；</w:t>
      </w:r>
    </w:p>
    <w:p w:rsidR="00043298" w:rsidRDefault="002B09D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43298">
        <w:tc>
          <w:tcPr>
            <w:tcW w:w="993" w:type="dxa"/>
            <w:vMerge w:val="restart"/>
          </w:tcPr>
          <w:p w:rsidR="00043298" w:rsidRDefault="00043298"/>
          <w:p w:rsidR="00043298" w:rsidRDefault="002B09D2">
            <w:r>
              <w:rPr>
                <w:rFonts w:ascii="宋体" w:hAnsi="宋体" w:hint="eastAsia"/>
                <w:bCs/>
                <w:color w:val="000000"/>
                <w:kern w:val="0"/>
                <w:szCs w:val="21"/>
              </w:rPr>
              <w:t>机构</w:t>
            </w:r>
          </w:p>
        </w:tc>
        <w:tc>
          <w:tcPr>
            <w:tcW w:w="992" w:type="dxa"/>
            <w:vAlign w:val="center"/>
          </w:tcPr>
          <w:p w:rsidR="00043298" w:rsidRDefault="002B09D2">
            <w:pPr>
              <w:jc w:val="center"/>
            </w:pPr>
            <w:r>
              <w:rPr>
                <w:rFonts w:ascii="宋体" w:hAnsi="宋体"/>
                <w:color w:val="000000"/>
                <w:kern w:val="0"/>
                <w:szCs w:val="21"/>
              </w:rPr>
              <w:t>1</w:t>
            </w:r>
          </w:p>
        </w:tc>
        <w:tc>
          <w:tcPr>
            <w:tcW w:w="1843" w:type="dxa"/>
            <w:vAlign w:val="center"/>
          </w:tcPr>
          <w:p w:rsidR="00043298" w:rsidRDefault="002B09D2">
            <w:pPr>
              <w:jc w:val="center"/>
            </w:pPr>
            <w:r>
              <w:rPr>
                <w:rFonts w:ascii="宋体" w:hAnsi="宋体"/>
                <w:color w:val="000000"/>
                <w:kern w:val="0"/>
                <w:szCs w:val="21"/>
              </w:rPr>
              <w:t>2019/1/1-2019/6/30</w:t>
            </w:r>
          </w:p>
        </w:tc>
        <w:tc>
          <w:tcPr>
            <w:tcW w:w="851" w:type="dxa"/>
            <w:vAlign w:val="center"/>
          </w:tcPr>
          <w:p w:rsidR="00043298" w:rsidRDefault="002B09D2">
            <w:pPr>
              <w:jc w:val="center"/>
            </w:pPr>
            <w:r>
              <w:rPr>
                <w:rFonts w:ascii="宋体" w:hAnsi="宋体"/>
                <w:color w:val="000000"/>
                <w:kern w:val="0"/>
                <w:szCs w:val="21"/>
              </w:rPr>
              <w:t>-</w:t>
            </w:r>
          </w:p>
        </w:tc>
        <w:tc>
          <w:tcPr>
            <w:tcW w:w="850" w:type="dxa"/>
            <w:vAlign w:val="center"/>
          </w:tcPr>
          <w:p w:rsidR="00043298" w:rsidRDefault="002B09D2">
            <w:pPr>
              <w:jc w:val="center"/>
            </w:pPr>
            <w:r>
              <w:rPr>
                <w:rFonts w:ascii="宋体" w:hAnsi="宋体"/>
                <w:color w:val="000000"/>
                <w:kern w:val="0"/>
                <w:szCs w:val="21"/>
              </w:rPr>
              <w:t>21,543,985.64</w:t>
            </w:r>
          </w:p>
        </w:tc>
        <w:tc>
          <w:tcPr>
            <w:tcW w:w="1134" w:type="dxa"/>
            <w:vAlign w:val="center"/>
          </w:tcPr>
          <w:p w:rsidR="00043298" w:rsidRDefault="002B09D2">
            <w:pPr>
              <w:jc w:val="center"/>
            </w:pPr>
            <w:r>
              <w:rPr>
                <w:rFonts w:ascii="宋体" w:hAnsi="宋体"/>
                <w:color w:val="000000"/>
                <w:kern w:val="0"/>
                <w:szCs w:val="21"/>
              </w:rPr>
              <w:t>21,543,985.64</w:t>
            </w:r>
          </w:p>
        </w:tc>
        <w:tc>
          <w:tcPr>
            <w:tcW w:w="1419" w:type="dxa"/>
            <w:vAlign w:val="center"/>
          </w:tcPr>
          <w:p w:rsidR="00043298" w:rsidRDefault="002B09D2">
            <w:pPr>
              <w:jc w:val="center"/>
            </w:pPr>
            <w:r>
              <w:rPr>
                <w:rFonts w:ascii="宋体" w:hAnsi="宋体"/>
                <w:color w:val="000000"/>
                <w:kern w:val="0"/>
                <w:szCs w:val="21"/>
              </w:rPr>
              <w:t>-</w:t>
            </w:r>
          </w:p>
        </w:tc>
        <w:tc>
          <w:tcPr>
            <w:tcW w:w="1130" w:type="dxa"/>
            <w:vAlign w:val="center"/>
          </w:tcPr>
          <w:p w:rsidR="00043298" w:rsidRDefault="002B09D2">
            <w:pPr>
              <w:jc w:val="center"/>
            </w:pPr>
            <w:r>
              <w:rPr>
                <w:rFonts w:ascii="宋体" w:hAnsi="宋体"/>
                <w:color w:val="000000"/>
                <w:kern w:val="0"/>
                <w:szCs w:val="21"/>
              </w:rPr>
              <w:t>-</w:t>
            </w:r>
          </w:p>
        </w:tc>
      </w:tr>
      <w:tr w:rsidR="00043298">
        <w:tc>
          <w:tcPr>
            <w:tcW w:w="993" w:type="dxa"/>
            <w:vMerge/>
          </w:tcPr>
          <w:p w:rsidR="00043298" w:rsidRDefault="00043298"/>
        </w:tc>
        <w:tc>
          <w:tcPr>
            <w:tcW w:w="992" w:type="dxa"/>
            <w:vAlign w:val="center"/>
          </w:tcPr>
          <w:p w:rsidR="00043298" w:rsidRDefault="002B09D2">
            <w:pPr>
              <w:jc w:val="center"/>
            </w:pPr>
            <w:r>
              <w:rPr>
                <w:rFonts w:ascii="宋体" w:hAnsi="宋体"/>
                <w:color w:val="000000"/>
                <w:kern w:val="0"/>
                <w:szCs w:val="21"/>
              </w:rPr>
              <w:t>2</w:t>
            </w:r>
          </w:p>
        </w:tc>
        <w:tc>
          <w:tcPr>
            <w:tcW w:w="1843" w:type="dxa"/>
            <w:vAlign w:val="center"/>
          </w:tcPr>
          <w:p w:rsidR="00043298" w:rsidRDefault="002B09D2">
            <w:pPr>
              <w:jc w:val="center"/>
            </w:pPr>
            <w:r>
              <w:rPr>
                <w:rFonts w:ascii="宋体" w:hAnsi="宋体"/>
                <w:color w:val="000000"/>
                <w:kern w:val="0"/>
                <w:szCs w:val="21"/>
              </w:rPr>
              <w:t>2019/1/1-2019/6/30</w:t>
            </w:r>
          </w:p>
        </w:tc>
        <w:tc>
          <w:tcPr>
            <w:tcW w:w="851" w:type="dxa"/>
            <w:vAlign w:val="center"/>
          </w:tcPr>
          <w:p w:rsidR="00043298" w:rsidRDefault="002B09D2">
            <w:pPr>
              <w:jc w:val="center"/>
            </w:pPr>
            <w:r>
              <w:rPr>
                <w:rFonts w:ascii="宋体" w:hAnsi="宋体"/>
                <w:color w:val="000000"/>
                <w:kern w:val="0"/>
                <w:szCs w:val="21"/>
              </w:rPr>
              <w:t>-</w:t>
            </w:r>
          </w:p>
        </w:tc>
        <w:tc>
          <w:tcPr>
            <w:tcW w:w="850" w:type="dxa"/>
            <w:vAlign w:val="center"/>
          </w:tcPr>
          <w:p w:rsidR="00043298" w:rsidRDefault="002B09D2">
            <w:pPr>
              <w:jc w:val="center"/>
            </w:pPr>
            <w:r>
              <w:rPr>
                <w:rFonts w:ascii="宋体" w:hAnsi="宋体"/>
                <w:color w:val="000000"/>
                <w:kern w:val="0"/>
                <w:szCs w:val="21"/>
              </w:rPr>
              <w:t>18,743,205.25</w:t>
            </w:r>
          </w:p>
        </w:tc>
        <w:tc>
          <w:tcPr>
            <w:tcW w:w="1134" w:type="dxa"/>
            <w:vAlign w:val="center"/>
          </w:tcPr>
          <w:p w:rsidR="00043298" w:rsidRDefault="002B09D2">
            <w:pPr>
              <w:jc w:val="center"/>
            </w:pPr>
            <w:r>
              <w:rPr>
                <w:rFonts w:ascii="宋体" w:hAnsi="宋体"/>
                <w:color w:val="000000"/>
                <w:kern w:val="0"/>
                <w:szCs w:val="21"/>
              </w:rPr>
              <w:t>18,743,205.25</w:t>
            </w:r>
          </w:p>
        </w:tc>
        <w:tc>
          <w:tcPr>
            <w:tcW w:w="1419" w:type="dxa"/>
            <w:vAlign w:val="center"/>
          </w:tcPr>
          <w:p w:rsidR="00043298" w:rsidRDefault="002B09D2">
            <w:pPr>
              <w:jc w:val="center"/>
            </w:pPr>
            <w:r>
              <w:rPr>
                <w:rFonts w:ascii="宋体" w:hAnsi="宋体"/>
                <w:color w:val="000000"/>
                <w:kern w:val="0"/>
                <w:szCs w:val="21"/>
              </w:rPr>
              <w:t>-</w:t>
            </w:r>
          </w:p>
        </w:tc>
        <w:tc>
          <w:tcPr>
            <w:tcW w:w="1130" w:type="dxa"/>
            <w:vAlign w:val="center"/>
          </w:tcPr>
          <w:p w:rsidR="00043298" w:rsidRDefault="002B09D2">
            <w:pPr>
              <w:jc w:val="center"/>
            </w:pPr>
            <w:r>
              <w:rPr>
                <w:rFonts w:ascii="宋体" w:hAnsi="宋体"/>
                <w:color w:val="000000"/>
                <w:kern w:val="0"/>
                <w:szCs w:val="21"/>
              </w:rPr>
              <w:t>-</w:t>
            </w:r>
          </w:p>
        </w:tc>
      </w:tr>
      <w:tr w:rsidR="00043298">
        <w:tc>
          <w:tcPr>
            <w:tcW w:w="993" w:type="dxa"/>
            <w:vMerge w:val="restart"/>
          </w:tcPr>
          <w:p w:rsidR="00043298" w:rsidRDefault="00043298"/>
          <w:p w:rsidR="00043298" w:rsidRDefault="002B09D2">
            <w:r>
              <w:rPr>
                <w:rFonts w:ascii="宋体" w:hAnsi="宋体" w:hint="eastAsia"/>
                <w:bCs/>
                <w:color w:val="000000"/>
                <w:kern w:val="0"/>
                <w:szCs w:val="21"/>
              </w:rPr>
              <w:t>个人</w:t>
            </w:r>
          </w:p>
        </w:tc>
        <w:tc>
          <w:tcPr>
            <w:tcW w:w="992" w:type="dxa"/>
            <w:vAlign w:val="center"/>
          </w:tcPr>
          <w:p w:rsidR="00043298" w:rsidRDefault="002B09D2">
            <w:pPr>
              <w:jc w:val="center"/>
            </w:pPr>
            <w:r>
              <w:rPr>
                <w:rFonts w:ascii="宋体" w:hAnsi="宋体"/>
                <w:kern w:val="0"/>
                <w:szCs w:val="21"/>
              </w:rPr>
              <w:t>1</w:t>
            </w:r>
          </w:p>
        </w:tc>
        <w:tc>
          <w:tcPr>
            <w:tcW w:w="1843" w:type="dxa"/>
            <w:vAlign w:val="center"/>
          </w:tcPr>
          <w:p w:rsidR="00043298" w:rsidRDefault="002B09D2">
            <w:pPr>
              <w:jc w:val="center"/>
            </w:pPr>
            <w:r>
              <w:rPr>
                <w:rFonts w:ascii="宋体" w:hAnsi="宋体"/>
                <w:kern w:val="0"/>
                <w:szCs w:val="21"/>
              </w:rPr>
              <w:t>2019/1/1-2019/6/30</w:t>
            </w:r>
          </w:p>
        </w:tc>
        <w:tc>
          <w:tcPr>
            <w:tcW w:w="851" w:type="dxa"/>
            <w:vAlign w:val="center"/>
          </w:tcPr>
          <w:p w:rsidR="00043298" w:rsidRDefault="002B09D2">
            <w:pPr>
              <w:jc w:val="center"/>
            </w:pPr>
            <w:r>
              <w:rPr>
                <w:rFonts w:ascii="宋体" w:hAnsi="宋体"/>
                <w:kern w:val="0"/>
                <w:szCs w:val="21"/>
              </w:rPr>
              <w:t>4,941,611.46</w:t>
            </w:r>
          </w:p>
        </w:tc>
        <w:tc>
          <w:tcPr>
            <w:tcW w:w="850" w:type="dxa"/>
            <w:vAlign w:val="center"/>
          </w:tcPr>
          <w:p w:rsidR="00043298" w:rsidRDefault="002B09D2">
            <w:pPr>
              <w:jc w:val="center"/>
            </w:pPr>
            <w:r>
              <w:rPr>
                <w:rFonts w:ascii="宋体" w:hAnsi="宋体"/>
                <w:kern w:val="0"/>
                <w:szCs w:val="21"/>
              </w:rPr>
              <w:t>-</w:t>
            </w:r>
          </w:p>
        </w:tc>
        <w:tc>
          <w:tcPr>
            <w:tcW w:w="1134" w:type="dxa"/>
            <w:vAlign w:val="center"/>
          </w:tcPr>
          <w:p w:rsidR="00043298" w:rsidRDefault="002B09D2">
            <w:pPr>
              <w:jc w:val="center"/>
            </w:pPr>
            <w:r>
              <w:rPr>
                <w:rFonts w:ascii="宋体" w:hAnsi="宋体"/>
                <w:kern w:val="0"/>
                <w:szCs w:val="21"/>
              </w:rPr>
              <w:t>-</w:t>
            </w:r>
          </w:p>
        </w:tc>
        <w:tc>
          <w:tcPr>
            <w:tcW w:w="1419" w:type="dxa"/>
            <w:vAlign w:val="center"/>
          </w:tcPr>
          <w:p w:rsidR="00043298" w:rsidRDefault="002B09D2">
            <w:pPr>
              <w:jc w:val="center"/>
            </w:pPr>
            <w:r>
              <w:rPr>
                <w:rFonts w:ascii="宋体" w:hAnsi="宋体"/>
                <w:kern w:val="0"/>
                <w:szCs w:val="21"/>
              </w:rPr>
              <w:t>4,941,611.46</w:t>
            </w:r>
          </w:p>
        </w:tc>
        <w:tc>
          <w:tcPr>
            <w:tcW w:w="1130" w:type="dxa"/>
            <w:vAlign w:val="center"/>
          </w:tcPr>
          <w:p w:rsidR="00043298" w:rsidRDefault="002B09D2">
            <w:pPr>
              <w:jc w:val="center"/>
            </w:pPr>
            <w:r>
              <w:rPr>
                <w:rFonts w:ascii="宋体" w:hAnsi="宋体"/>
                <w:kern w:val="0"/>
                <w:szCs w:val="21"/>
              </w:rPr>
              <w:t>23.15%</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B743E" w:rsidRDefault="005B743E"/>
    <w:sectPr w:rsidR="005B743E"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451F2B">
      <w:rPr>
        <w:noProof/>
        <w:kern w:val="0"/>
        <w:szCs w:val="21"/>
      </w:rPr>
      <w:t>2</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451F2B">
      <w:rPr>
        <w:noProof/>
        <w:kern w:val="0"/>
        <w:szCs w:val="21"/>
      </w:rPr>
      <w:t>30</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交银施罗德丰盈收益债券型证券投资基金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298"/>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09D2"/>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1F2B"/>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3E"/>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7A28E325-74F7-4FF1-B164-BEBFC4C9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30</Pages>
  <Words>3173</Words>
  <Characters>18091</Characters>
  <Application>Microsoft Office Word</Application>
  <DocSecurity>0</DocSecurity>
  <Lines>150</Lines>
  <Paragraphs>42</Paragraphs>
  <ScaleCrop>false</ScaleCrop>
  <Company/>
  <LinksUpToDate>false</LinksUpToDate>
  <CharactersWithSpaces>21222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664</cp:revision>
  <cp:lastPrinted>2007-07-19T00:46:00Z</cp:lastPrinted>
  <dcterms:created xsi:type="dcterms:W3CDTF">2013-08-19T07:43:00Z</dcterms:created>
  <dcterms:modified xsi:type="dcterms:W3CDTF">2019-08-23T08:17:00Z</dcterms:modified>
</cp:coreProperties>
</file>