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交银施罗德丰晟收益债券型证券投资基金</w:t>
      </w:r>
    </w:p>
    <w:p w:rsidR="001548F9" w:rsidRPr="001B7979" w:rsidRDefault="001548F9" w:rsidP="00571B8A">
      <w:pPr>
        <w:spacing w:before="29" w:line="288" w:lineRule="auto"/>
        <w:jc w:val="center"/>
        <w:rPr>
          <w:b/>
          <w:sz w:val="36"/>
          <w:szCs w:val="36"/>
        </w:rPr>
      </w:pPr>
      <w:r w:rsidRPr="001B7979">
        <w:rPr>
          <w:b/>
          <w:sz w:val="36"/>
          <w:szCs w:val="36"/>
        </w:rPr>
        <w:t>2019</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2019</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基金托管人：招商银行股份有限公司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报告送出日期：二〇一九年八月二十九日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16317"/>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17816318"/>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637861" w:rsidRDefault="00762792">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637861" w:rsidRDefault="00762792">
      <w:pPr>
        <w:spacing w:before="29" w:line="288" w:lineRule="auto"/>
        <w:ind w:firstLineChars="200" w:firstLine="480"/>
        <w:rPr>
          <w:sz w:val="24"/>
        </w:rPr>
      </w:pPr>
      <w:r>
        <w:rPr>
          <w:color w:val="000000"/>
          <w:sz w:val="24"/>
        </w:rPr>
        <w:t>基金托管人招商银行股份有限公司根据本基金合同规定，于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637861" w:rsidRDefault="00762792">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637861" w:rsidRDefault="00762792">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637861" w:rsidRDefault="00762792">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5F41E8" w:rsidRDefault="00C0042C">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17816317" w:history="1">
        <w:r w:rsidR="005F41E8" w:rsidRPr="009A15C6">
          <w:rPr>
            <w:rStyle w:val="a8"/>
            <w:b/>
            <w:bCs/>
            <w:noProof/>
          </w:rPr>
          <w:t xml:space="preserve">§1  </w:t>
        </w:r>
        <w:r w:rsidR="005F41E8" w:rsidRPr="009A15C6">
          <w:rPr>
            <w:rStyle w:val="a8"/>
            <w:rFonts w:hint="eastAsia"/>
            <w:b/>
            <w:bCs/>
            <w:noProof/>
          </w:rPr>
          <w:t>重要提示及目录</w:t>
        </w:r>
        <w:r w:rsidR="005F41E8">
          <w:rPr>
            <w:noProof/>
            <w:webHidden/>
          </w:rPr>
          <w:tab/>
        </w:r>
        <w:r w:rsidR="005F41E8">
          <w:rPr>
            <w:noProof/>
            <w:webHidden/>
          </w:rPr>
          <w:fldChar w:fldCharType="begin"/>
        </w:r>
        <w:r w:rsidR="005F41E8">
          <w:rPr>
            <w:noProof/>
            <w:webHidden/>
          </w:rPr>
          <w:instrText xml:space="preserve"> PAGEREF _Toc17816317 \h </w:instrText>
        </w:r>
        <w:r w:rsidR="005F41E8">
          <w:rPr>
            <w:noProof/>
            <w:webHidden/>
          </w:rPr>
        </w:r>
        <w:r w:rsidR="005F41E8">
          <w:rPr>
            <w:noProof/>
            <w:webHidden/>
          </w:rPr>
          <w:fldChar w:fldCharType="separate"/>
        </w:r>
        <w:r w:rsidR="005F41E8">
          <w:rPr>
            <w:noProof/>
            <w:webHidden/>
          </w:rPr>
          <w:t>2</w:t>
        </w:r>
        <w:r w:rsidR="005F41E8">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18" w:history="1">
        <w:r w:rsidRPr="009A15C6">
          <w:rPr>
            <w:rStyle w:val="a8"/>
            <w:noProof/>
          </w:rPr>
          <w:t xml:space="preserve">1.1 </w:t>
        </w:r>
        <w:r w:rsidRPr="009A15C6">
          <w:rPr>
            <w:rStyle w:val="a8"/>
            <w:rFonts w:hint="eastAsia"/>
            <w:noProof/>
          </w:rPr>
          <w:t>重要提示</w:t>
        </w:r>
        <w:r>
          <w:rPr>
            <w:noProof/>
            <w:webHidden/>
          </w:rPr>
          <w:tab/>
        </w:r>
        <w:r>
          <w:rPr>
            <w:noProof/>
            <w:webHidden/>
          </w:rPr>
          <w:fldChar w:fldCharType="begin"/>
        </w:r>
        <w:r>
          <w:rPr>
            <w:noProof/>
            <w:webHidden/>
          </w:rPr>
          <w:instrText xml:space="preserve"> PAGEREF _Toc17816318 \h </w:instrText>
        </w:r>
        <w:r>
          <w:rPr>
            <w:noProof/>
            <w:webHidden/>
          </w:rPr>
        </w:r>
        <w:r>
          <w:rPr>
            <w:noProof/>
            <w:webHidden/>
          </w:rPr>
          <w:fldChar w:fldCharType="separate"/>
        </w:r>
        <w:r>
          <w:rPr>
            <w:noProof/>
            <w:webHidden/>
          </w:rPr>
          <w:t>2</w:t>
        </w:r>
        <w:r>
          <w:rPr>
            <w:noProof/>
            <w:webHidden/>
          </w:rPr>
          <w:fldChar w:fldCharType="end"/>
        </w:r>
      </w:hyperlink>
    </w:p>
    <w:p w:rsidR="005F41E8" w:rsidRDefault="005F41E8">
      <w:pPr>
        <w:pStyle w:val="11"/>
        <w:rPr>
          <w:rFonts w:asciiTheme="minorHAnsi" w:eastAsiaTheme="minorEastAsia" w:hAnsiTheme="minorHAnsi" w:cstheme="minorBidi"/>
          <w:noProof/>
          <w:szCs w:val="22"/>
        </w:rPr>
      </w:pPr>
      <w:hyperlink w:anchor="_Toc17816319" w:history="1">
        <w:r w:rsidRPr="009A15C6">
          <w:rPr>
            <w:rStyle w:val="a8"/>
            <w:b/>
            <w:bCs/>
            <w:noProof/>
          </w:rPr>
          <w:t xml:space="preserve">§2  </w:t>
        </w:r>
        <w:r w:rsidRPr="009A15C6">
          <w:rPr>
            <w:rStyle w:val="a8"/>
            <w:rFonts w:hint="eastAsia"/>
            <w:b/>
            <w:bCs/>
            <w:noProof/>
          </w:rPr>
          <w:t>基金简介</w:t>
        </w:r>
        <w:r>
          <w:rPr>
            <w:noProof/>
            <w:webHidden/>
          </w:rPr>
          <w:tab/>
        </w:r>
        <w:r>
          <w:rPr>
            <w:noProof/>
            <w:webHidden/>
          </w:rPr>
          <w:fldChar w:fldCharType="begin"/>
        </w:r>
        <w:r>
          <w:rPr>
            <w:noProof/>
            <w:webHidden/>
          </w:rPr>
          <w:instrText xml:space="preserve"> PAGEREF _Toc17816319 \h </w:instrText>
        </w:r>
        <w:r>
          <w:rPr>
            <w:noProof/>
            <w:webHidden/>
          </w:rPr>
        </w:r>
        <w:r>
          <w:rPr>
            <w:noProof/>
            <w:webHidden/>
          </w:rPr>
          <w:fldChar w:fldCharType="separate"/>
        </w:r>
        <w:r>
          <w:rPr>
            <w:noProof/>
            <w:webHidden/>
          </w:rPr>
          <w:t>5</w:t>
        </w:r>
        <w:r>
          <w:rPr>
            <w:noProof/>
            <w:webHidden/>
          </w:rPr>
          <w:fldChar w:fldCharType="end"/>
        </w:r>
      </w:hyperlink>
    </w:p>
    <w:p w:rsidR="005F41E8" w:rsidRDefault="005F41E8" w:rsidP="005F41E8">
      <w:pPr>
        <w:pStyle w:val="22"/>
        <w:tabs>
          <w:tab w:val="left" w:pos="745"/>
        </w:tabs>
        <w:rPr>
          <w:rFonts w:asciiTheme="minorHAnsi" w:eastAsiaTheme="minorEastAsia" w:hAnsiTheme="minorHAnsi" w:cstheme="minorBidi"/>
          <w:noProof/>
          <w:kern w:val="2"/>
          <w:szCs w:val="22"/>
        </w:rPr>
      </w:pPr>
      <w:hyperlink w:anchor="_Toc17816320" w:history="1">
        <w:r w:rsidRPr="009A15C6">
          <w:rPr>
            <w:rStyle w:val="a8"/>
            <w:noProof/>
          </w:rPr>
          <w:t>2.1</w:t>
        </w:r>
        <w:r>
          <w:rPr>
            <w:rFonts w:asciiTheme="minorHAnsi" w:eastAsiaTheme="minorEastAsia" w:hAnsiTheme="minorHAnsi" w:cstheme="minorBidi"/>
            <w:noProof/>
            <w:kern w:val="2"/>
            <w:szCs w:val="22"/>
          </w:rPr>
          <w:tab/>
        </w:r>
        <w:r w:rsidRPr="009A15C6">
          <w:rPr>
            <w:rStyle w:val="a8"/>
            <w:rFonts w:hint="eastAsia"/>
            <w:noProof/>
          </w:rPr>
          <w:t>基金基本情况</w:t>
        </w:r>
        <w:r>
          <w:rPr>
            <w:noProof/>
            <w:webHidden/>
          </w:rPr>
          <w:tab/>
        </w:r>
        <w:r>
          <w:rPr>
            <w:noProof/>
            <w:webHidden/>
          </w:rPr>
          <w:fldChar w:fldCharType="begin"/>
        </w:r>
        <w:r>
          <w:rPr>
            <w:noProof/>
            <w:webHidden/>
          </w:rPr>
          <w:instrText xml:space="preserve"> PAGEREF _Toc17816320 \h </w:instrText>
        </w:r>
        <w:r>
          <w:rPr>
            <w:noProof/>
            <w:webHidden/>
          </w:rPr>
        </w:r>
        <w:r>
          <w:rPr>
            <w:noProof/>
            <w:webHidden/>
          </w:rPr>
          <w:fldChar w:fldCharType="separate"/>
        </w:r>
        <w:r>
          <w:rPr>
            <w:noProof/>
            <w:webHidden/>
          </w:rPr>
          <w:t>5</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21" w:history="1">
        <w:r w:rsidRPr="009A15C6">
          <w:rPr>
            <w:rStyle w:val="a8"/>
            <w:noProof/>
          </w:rPr>
          <w:t>2.2</w:t>
        </w:r>
        <w:r w:rsidRPr="009A15C6">
          <w:rPr>
            <w:rStyle w:val="a8"/>
            <w:rFonts w:hint="eastAsia"/>
            <w:noProof/>
          </w:rPr>
          <w:t>基金产品说明</w:t>
        </w:r>
        <w:r>
          <w:rPr>
            <w:noProof/>
            <w:webHidden/>
          </w:rPr>
          <w:tab/>
        </w:r>
        <w:r>
          <w:rPr>
            <w:noProof/>
            <w:webHidden/>
          </w:rPr>
          <w:fldChar w:fldCharType="begin"/>
        </w:r>
        <w:r>
          <w:rPr>
            <w:noProof/>
            <w:webHidden/>
          </w:rPr>
          <w:instrText xml:space="preserve"> PAGEREF _Toc17816321 \h </w:instrText>
        </w:r>
        <w:r>
          <w:rPr>
            <w:noProof/>
            <w:webHidden/>
          </w:rPr>
        </w:r>
        <w:r>
          <w:rPr>
            <w:noProof/>
            <w:webHidden/>
          </w:rPr>
          <w:fldChar w:fldCharType="separate"/>
        </w:r>
        <w:r>
          <w:rPr>
            <w:noProof/>
            <w:webHidden/>
          </w:rPr>
          <w:t>5</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22" w:history="1">
        <w:r w:rsidRPr="009A15C6">
          <w:rPr>
            <w:rStyle w:val="a8"/>
            <w:noProof/>
          </w:rPr>
          <w:t xml:space="preserve">2.3 </w:t>
        </w:r>
        <w:r w:rsidRPr="009A15C6">
          <w:rPr>
            <w:rStyle w:val="a8"/>
            <w:rFonts w:hint="eastAsia"/>
            <w:noProof/>
          </w:rPr>
          <w:t>基金管理人和基金托管人</w:t>
        </w:r>
        <w:r>
          <w:rPr>
            <w:noProof/>
            <w:webHidden/>
          </w:rPr>
          <w:tab/>
        </w:r>
        <w:r>
          <w:rPr>
            <w:noProof/>
            <w:webHidden/>
          </w:rPr>
          <w:fldChar w:fldCharType="begin"/>
        </w:r>
        <w:r>
          <w:rPr>
            <w:noProof/>
            <w:webHidden/>
          </w:rPr>
          <w:instrText xml:space="preserve"> PAGEREF _Toc17816322 \h </w:instrText>
        </w:r>
        <w:r>
          <w:rPr>
            <w:noProof/>
            <w:webHidden/>
          </w:rPr>
        </w:r>
        <w:r>
          <w:rPr>
            <w:noProof/>
            <w:webHidden/>
          </w:rPr>
          <w:fldChar w:fldCharType="separate"/>
        </w:r>
        <w:r>
          <w:rPr>
            <w:noProof/>
            <w:webHidden/>
          </w:rPr>
          <w:t>6</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23" w:history="1">
        <w:r w:rsidRPr="009A15C6">
          <w:rPr>
            <w:rStyle w:val="a8"/>
            <w:noProof/>
          </w:rPr>
          <w:t xml:space="preserve">2.4 </w:t>
        </w:r>
        <w:r w:rsidRPr="009A15C6">
          <w:rPr>
            <w:rStyle w:val="a8"/>
            <w:rFonts w:hint="eastAsia"/>
            <w:noProof/>
          </w:rPr>
          <w:t>信息披露方式</w:t>
        </w:r>
        <w:r>
          <w:rPr>
            <w:noProof/>
            <w:webHidden/>
          </w:rPr>
          <w:tab/>
        </w:r>
        <w:r>
          <w:rPr>
            <w:noProof/>
            <w:webHidden/>
          </w:rPr>
          <w:fldChar w:fldCharType="begin"/>
        </w:r>
        <w:r>
          <w:rPr>
            <w:noProof/>
            <w:webHidden/>
          </w:rPr>
          <w:instrText xml:space="preserve"> PAGEREF _Toc17816323 \h </w:instrText>
        </w:r>
        <w:r>
          <w:rPr>
            <w:noProof/>
            <w:webHidden/>
          </w:rPr>
        </w:r>
        <w:r>
          <w:rPr>
            <w:noProof/>
            <w:webHidden/>
          </w:rPr>
          <w:fldChar w:fldCharType="separate"/>
        </w:r>
        <w:r>
          <w:rPr>
            <w:noProof/>
            <w:webHidden/>
          </w:rPr>
          <w:t>6</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24" w:history="1">
        <w:r w:rsidRPr="009A15C6">
          <w:rPr>
            <w:rStyle w:val="a8"/>
            <w:noProof/>
          </w:rPr>
          <w:t xml:space="preserve">2.5 </w:t>
        </w:r>
        <w:r w:rsidRPr="009A15C6">
          <w:rPr>
            <w:rStyle w:val="a8"/>
            <w:rFonts w:hint="eastAsia"/>
            <w:noProof/>
          </w:rPr>
          <w:t>其他相关资料</w:t>
        </w:r>
        <w:r>
          <w:rPr>
            <w:noProof/>
            <w:webHidden/>
          </w:rPr>
          <w:tab/>
        </w:r>
        <w:r>
          <w:rPr>
            <w:noProof/>
            <w:webHidden/>
          </w:rPr>
          <w:fldChar w:fldCharType="begin"/>
        </w:r>
        <w:r>
          <w:rPr>
            <w:noProof/>
            <w:webHidden/>
          </w:rPr>
          <w:instrText xml:space="preserve"> PAGEREF _Toc17816324 \h </w:instrText>
        </w:r>
        <w:r>
          <w:rPr>
            <w:noProof/>
            <w:webHidden/>
          </w:rPr>
        </w:r>
        <w:r>
          <w:rPr>
            <w:noProof/>
            <w:webHidden/>
          </w:rPr>
          <w:fldChar w:fldCharType="separate"/>
        </w:r>
        <w:r>
          <w:rPr>
            <w:noProof/>
            <w:webHidden/>
          </w:rPr>
          <w:t>6</w:t>
        </w:r>
        <w:r>
          <w:rPr>
            <w:noProof/>
            <w:webHidden/>
          </w:rPr>
          <w:fldChar w:fldCharType="end"/>
        </w:r>
      </w:hyperlink>
    </w:p>
    <w:p w:rsidR="005F41E8" w:rsidRDefault="005F41E8">
      <w:pPr>
        <w:pStyle w:val="11"/>
        <w:rPr>
          <w:rFonts w:asciiTheme="minorHAnsi" w:eastAsiaTheme="minorEastAsia" w:hAnsiTheme="minorHAnsi" w:cstheme="minorBidi"/>
          <w:noProof/>
          <w:szCs w:val="22"/>
        </w:rPr>
      </w:pPr>
      <w:hyperlink w:anchor="_Toc17816325" w:history="1">
        <w:r w:rsidRPr="009A15C6">
          <w:rPr>
            <w:rStyle w:val="a8"/>
            <w:b/>
            <w:bCs/>
            <w:noProof/>
          </w:rPr>
          <w:t xml:space="preserve">§3  </w:t>
        </w:r>
        <w:r w:rsidRPr="009A15C6">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_Toc17816325 \h </w:instrText>
        </w:r>
        <w:r>
          <w:rPr>
            <w:noProof/>
            <w:webHidden/>
          </w:rPr>
        </w:r>
        <w:r>
          <w:rPr>
            <w:noProof/>
            <w:webHidden/>
          </w:rPr>
          <w:fldChar w:fldCharType="separate"/>
        </w:r>
        <w:r>
          <w:rPr>
            <w:noProof/>
            <w:webHidden/>
          </w:rPr>
          <w:t>7</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26" w:history="1">
        <w:r w:rsidRPr="009A15C6">
          <w:rPr>
            <w:rStyle w:val="a8"/>
            <w:noProof/>
          </w:rPr>
          <w:t xml:space="preserve">3.1 </w:t>
        </w:r>
        <w:r w:rsidRPr="009A15C6">
          <w:rPr>
            <w:rStyle w:val="a8"/>
            <w:rFonts w:hint="eastAsia"/>
            <w:noProof/>
          </w:rPr>
          <w:t>主要会计数据和财务指标</w:t>
        </w:r>
        <w:r>
          <w:rPr>
            <w:noProof/>
            <w:webHidden/>
          </w:rPr>
          <w:tab/>
        </w:r>
        <w:r>
          <w:rPr>
            <w:noProof/>
            <w:webHidden/>
          </w:rPr>
          <w:fldChar w:fldCharType="begin"/>
        </w:r>
        <w:r>
          <w:rPr>
            <w:noProof/>
            <w:webHidden/>
          </w:rPr>
          <w:instrText xml:space="preserve"> PAGEREF _Toc17816326 \h </w:instrText>
        </w:r>
        <w:r>
          <w:rPr>
            <w:noProof/>
            <w:webHidden/>
          </w:rPr>
        </w:r>
        <w:r>
          <w:rPr>
            <w:noProof/>
            <w:webHidden/>
          </w:rPr>
          <w:fldChar w:fldCharType="separate"/>
        </w:r>
        <w:r>
          <w:rPr>
            <w:noProof/>
            <w:webHidden/>
          </w:rPr>
          <w:t>7</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27" w:history="1">
        <w:r w:rsidRPr="009A15C6">
          <w:rPr>
            <w:rStyle w:val="a8"/>
            <w:noProof/>
          </w:rPr>
          <w:t xml:space="preserve">3.2 </w:t>
        </w:r>
        <w:r w:rsidRPr="009A15C6">
          <w:rPr>
            <w:rStyle w:val="a8"/>
            <w:rFonts w:hint="eastAsia"/>
            <w:noProof/>
          </w:rPr>
          <w:t>基金净值表现</w:t>
        </w:r>
        <w:r>
          <w:rPr>
            <w:noProof/>
            <w:webHidden/>
          </w:rPr>
          <w:tab/>
        </w:r>
        <w:r>
          <w:rPr>
            <w:noProof/>
            <w:webHidden/>
          </w:rPr>
          <w:fldChar w:fldCharType="begin"/>
        </w:r>
        <w:r>
          <w:rPr>
            <w:noProof/>
            <w:webHidden/>
          </w:rPr>
          <w:instrText xml:space="preserve"> PAGEREF _Toc17816327 \h </w:instrText>
        </w:r>
        <w:r>
          <w:rPr>
            <w:noProof/>
            <w:webHidden/>
          </w:rPr>
        </w:r>
        <w:r>
          <w:rPr>
            <w:noProof/>
            <w:webHidden/>
          </w:rPr>
          <w:fldChar w:fldCharType="separate"/>
        </w:r>
        <w:r>
          <w:rPr>
            <w:noProof/>
            <w:webHidden/>
          </w:rPr>
          <w:t>7</w:t>
        </w:r>
        <w:r>
          <w:rPr>
            <w:noProof/>
            <w:webHidden/>
          </w:rPr>
          <w:fldChar w:fldCharType="end"/>
        </w:r>
      </w:hyperlink>
    </w:p>
    <w:p w:rsidR="005F41E8" w:rsidRDefault="005F41E8">
      <w:pPr>
        <w:pStyle w:val="11"/>
        <w:rPr>
          <w:rFonts w:asciiTheme="minorHAnsi" w:eastAsiaTheme="minorEastAsia" w:hAnsiTheme="minorHAnsi" w:cstheme="minorBidi"/>
          <w:noProof/>
          <w:szCs w:val="22"/>
        </w:rPr>
      </w:pPr>
      <w:hyperlink w:anchor="_Toc17816328" w:history="1">
        <w:r w:rsidRPr="009A15C6">
          <w:rPr>
            <w:rStyle w:val="a8"/>
            <w:b/>
            <w:bCs/>
            <w:noProof/>
          </w:rPr>
          <w:t xml:space="preserve">§4  </w:t>
        </w:r>
        <w:r w:rsidRPr="009A15C6">
          <w:rPr>
            <w:rStyle w:val="a8"/>
            <w:rFonts w:hint="eastAsia"/>
            <w:b/>
            <w:bCs/>
            <w:noProof/>
          </w:rPr>
          <w:t>管理人报告</w:t>
        </w:r>
        <w:r>
          <w:rPr>
            <w:noProof/>
            <w:webHidden/>
          </w:rPr>
          <w:tab/>
        </w:r>
        <w:r>
          <w:rPr>
            <w:noProof/>
            <w:webHidden/>
          </w:rPr>
          <w:fldChar w:fldCharType="begin"/>
        </w:r>
        <w:r>
          <w:rPr>
            <w:noProof/>
            <w:webHidden/>
          </w:rPr>
          <w:instrText xml:space="preserve"> PAGEREF _Toc17816328 \h </w:instrText>
        </w:r>
        <w:r>
          <w:rPr>
            <w:noProof/>
            <w:webHidden/>
          </w:rPr>
        </w:r>
        <w:r>
          <w:rPr>
            <w:noProof/>
            <w:webHidden/>
          </w:rPr>
          <w:fldChar w:fldCharType="separate"/>
        </w:r>
        <w:r>
          <w:rPr>
            <w:noProof/>
            <w:webHidden/>
          </w:rPr>
          <w:t>10</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29" w:history="1">
        <w:r w:rsidRPr="009A15C6">
          <w:rPr>
            <w:rStyle w:val="a8"/>
            <w:noProof/>
          </w:rPr>
          <w:t xml:space="preserve">4.1 </w:t>
        </w:r>
        <w:r w:rsidRPr="009A15C6">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_Toc17816329 \h </w:instrText>
        </w:r>
        <w:r>
          <w:rPr>
            <w:noProof/>
            <w:webHidden/>
          </w:rPr>
        </w:r>
        <w:r>
          <w:rPr>
            <w:noProof/>
            <w:webHidden/>
          </w:rPr>
          <w:fldChar w:fldCharType="separate"/>
        </w:r>
        <w:r>
          <w:rPr>
            <w:noProof/>
            <w:webHidden/>
          </w:rPr>
          <w:t>10</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30" w:history="1">
        <w:r w:rsidRPr="009A15C6">
          <w:rPr>
            <w:rStyle w:val="a8"/>
            <w:noProof/>
          </w:rPr>
          <w:t xml:space="preserve">4.2 </w:t>
        </w:r>
        <w:r w:rsidRPr="009A15C6">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_Toc17816330 \h </w:instrText>
        </w:r>
        <w:r>
          <w:rPr>
            <w:noProof/>
            <w:webHidden/>
          </w:rPr>
        </w:r>
        <w:r>
          <w:rPr>
            <w:noProof/>
            <w:webHidden/>
          </w:rPr>
          <w:fldChar w:fldCharType="separate"/>
        </w:r>
        <w:r>
          <w:rPr>
            <w:noProof/>
            <w:webHidden/>
          </w:rPr>
          <w:t>12</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31" w:history="1">
        <w:r w:rsidRPr="009A15C6">
          <w:rPr>
            <w:rStyle w:val="a8"/>
            <w:noProof/>
          </w:rPr>
          <w:t xml:space="preserve">4.3 </w:t>
        </w:r>
        <w:r w:rsidRPr="009A15C6">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_Toc17816331 \h </w:instrText>
        </w:r>
        <w:r>
          <w:rPr>
            <w:noProof/>
            <w:webHidden/>
          </w:rPr>
        </w:r>
        <w:r>
          <w:rPr>
            <w:noProof/>
            <w:webHidden/>
          </w:rPr>
          <w:fldChar w:fldCharType="separate"/>
        </w:r>
        <w:r>
          <w:rPr>
            <w:noProof/>
            <w:webHidden/>
          </w:rPr>
          <w:t>12</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32" w:history="1">
        <w:r w:rsidRPr="009A15C6">
          <w:rPr>
            <w:rStyle w:val="a8"/>
            <w:noProof/>
          </w:rPr>
          <w:t xml:space="preserve">4.4 </w:t>
        </w:r>
        <w:r w:rsidRPr="009A15C6">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_Toc17816332 \h </w:instrText>
        </w:r>
        <w:r>
          <w:rPr>
            <w:noProof/>
            <w:webHidden/>
          </w:rPr>
        </w:r>
        <w:r>
          <w:rPr>
            <w:noProof/>
            <w:webHidden/>
          </w:rPr>
          <w:fldChar w:fldCharType="separate"/>
        </w:r>
        <w:r>
          <w:rPr>
            <w:noProof/>
            <w:webHidden/>
          </w:rPr>
          <w:t>13</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33" w:history="1">
        <w:r w:rsidRPr="009A15C6">
          <w:rPr>
            <w:rStyle w:val="a8"/>
            <w:noProof/>
          </w:rPr>
          <w:t xml:space="preserve">4.5 </w:t>
        </w:r>
        <w:r w:rsidRPr="009A15C6">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_Toc17816333 \h </w:instrText>
        </w:r>
        <w:r>
          <w:rPr>
            <w:noProof/>
            <w:webHidden/>
          </w:rPr>
        </w:r>
        <w:r>
          <w:rPr>
            <w:noProof/>
            <w:webHidden/>
          </w:rPr>
          <w:fldChar w:fldCharType="separate"/>
        </w:r>
        <w:r>
          <w:rPr>
            <w:noProof/>
            <w:webHidden/>
          </w:rPr>
          <w:t>13</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34" w:history="1">
        <w:r w:rsidRPr="009A15C6">
          <w:rPr>
            <w:rStyle w:val="a8"/>
            <w:noProof/>
          </w:rPr>
          <w:t xml:space="preserve">4.6 </w:t>
        </w:r>
        <w:r w:rsidRPr="009A15C6">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_Toc17816334 \h </w:instrText>
        </w:r>
        <w:r>
          <w:rPr>
            <w:noProof/>
            <w:webHidden/>
          </w:rPr>
        </w:r>
        <w:r>
          <w:rPr>
            <w:noProof/>
            <w:webHidden/>
          </w:rPr>
          <w:fldChar w:fldCharType="separate"/>
        </w:r>
        <w:r>
          <w:rPr>
            <w:noProof/>
            <w:webHidden/>
          </w:rPr>
          <w:t>13</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35" w:history="1">
        <w:r w:rsidRPr="009A15C6">
          <w:rPr>
            <w:rStyle w:val="a8"/>
            <w:noProof/>
          </w:rPr>
          <w:t xml:space="preserve">4.7 </w:t>
        </w:r>
        <w:r w:rsidRPr="009A15C6">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_Toc17816335 \h </w:instrText>
        </w:r>
        <w:r>
          <w:rPr>
            <w:noProof/>
            <w:webHidden/>
          </w:rPr>
        </w:r>
        <w:r>
          <w:rPr>
            <w:noProof/>
            <w:webHidden/>
          </w:rPr>
          <w:fldChar w:fldCharType="separate"/>
        </w:r>
        <w:r>
          <w:rPr>
            <w:noProof/>
            <w:webHidden/>
          </w:rPr>
          <w:t>14</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36" w:history="1">
        <w:r w:rsidRPr="009A15C6">
          <w:rPr>
            <w:rStyle w:val="a8"/>
            <w:noProof/>
          </w:rPr>
          <w:t xml:space="preserve">4.8 </w:t>
        </w:r>
        <w:r w:rsidRPr="009A15C6">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_Toc17816336 \h </w:instrText>
        </w:r>
        <w:r>
          <w:rPr>
            <w:noProof/>
            <w:webHidden/>
          </w:rPr>
        </w:r>
        <w:r>
          <w:rPr>
            <w:noProof/>
            <w:webHidden/>
          </w:rPr>
          <w:fldChar w:fldCharType="separate"/>
        </w:r>
        <w:r>
          <w:rPr>
            <w:noProof/>
            <w:webHidden/>
          </w:rPr>
          <w:t>14</w:t>
        </w:r>
        <w:r>
          <w:rPr>
            <w:noProof/>
            <w:webHidden/>
          </w:rPr>
          <w:fldChar w:fldCharType="end"/>
        </w:r>
      </w:hyperlink>
    </w:p>
    <w:p w:rsidR="005F41E8" w:rsidRDefault="005F41E8">
      <w:pPr>
        <w:pStyle w:val="11"/>
        <w:rPr>
          <w:rFonts w:asciiTheme="minorHAnsi" w:eastAsiaTheme="minorEastAsia" w:hAnsiTheme="minorHAnsi" w:cstheme="minorBidi"/>
          <w:noProof/>
          <w:szCs w:val="22"/>
        </w:rPr>
      </w:pPr>
      <w:hyperlink w:anchor="_Toc17816337" w:history="1">
        <w:r w:rsidRPr="009A15C6">
          <w:rPr>
            <w:rStyle w:val="a8"/>
            <w:b/>
            <w:bCs/>
            <w:noProof/>
          </w:rPr>
          <w:t xml:space="preserve">§5  </w:t>
        </w:r>
        <w:r w:rsidRPr="009A15C6">
          <w:rPr>
            <w:rStyle w:val="a8"/>
            <w:rFonts w:hint="eastAsia"/>
            <w:b/>
            <w:bCs/>
            <w:noProof/>
          </w:rPr>
          <w:t>托管人报告</w:t>
        </w:r>
        <w:r>
          <w:rPr>
            <w:noProof/>
            <w:webHidden/>
          </w:rPr>
          <w:tab/>
        </w:r>
        <w:r>
          <w:rPr>
            <w:noProof/>
            <w:webHidden/>
          </w:rPr>
          <w:fldChar w:fldCharType="begin"/>
        </w:r>
        <w:r>
          <w:rPr>
            <w:noProof/>
            <w:webHidden/>
          </w:rPr>
          <w:instrText xml:space="preserve"> PAGEREF _Toc17816337 \h </w:instrText>
        </w:r>
        <w:r>
          <w:rPr>
            <w:noProof/>
            <w:webHidden/>
          </w:rPr>
        </w:r>
        <w:r>
          <w:rPr>
            <w:noProof/>
            <w:webHidden/>
          </w:rPr>
          <w:fldChar w:fldCharType="separate"/>
        </w:r>
        <w:r>
          <w:rPr>
            <w:noProof/>
            <w:webHidden/>
          </w:rPr>
          <w:t>14</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38" w:history="1">
        <w:r w:rsidRPr="009A15C6">
          <w:rPr>
            <w:rStyle w:val="a8"/>
            <w:noProof/>
          </w:rPr>
          <w:t xml:space="preserve">5.1 </w:t>
        </w:r>
        <w:r w:rsidRPr="009A15C6">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_Toc17816338 \h </w:instrText>
        </w:r>
        <w:r>
          <w:rPr>
            <w:noProof/>
            <w:webHidden/>
          </w:rPr>
        </w:r>
        <w:r>
          <w:rPr>
            <w:noProof/>
            <w:webHidden/>
          </w:rPr>
          <w:fldChar w:fldCharType="separate"/>
        </w:r>
        <w:r>
          <w:rPr>
            <w:noProof/>
            <w:webHidden/>
          </w:rPr>
          <w:t>14</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39" w:history="1">
        <w:r w:rsidRPr="009A15C6">
          <w:rPr>
            <w:rStyle w:val="a8"/>
            <w:noProof/>
          </w:rPr>
          <w:t xml:space="preserve">5.2 </w:t>
        </w:r>
        <w:r w:rsidRPr="009A15C6">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_Toc17816339 \h </w:instrText>
        </w:r>
        <w:r>
          <w:rPr>
            <w:noProof/>
            <w:webHidden/>
          </w:rPr>
        </w:r>
        <w:r>
          <w:rPr>
            <w:noProof/>
            <w:webHidden/>
          </w:rPr>
          <w:fldChar w:fldCharType="separate"/>
        </w:r>
        <w:r>
          <w:rPr>
            <w:noProof/>
            <w:webHidden/>
          </w:rPr>
          <w:t>14</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40" w:history="1">
        <w:r w:rsidRPr="009A15C6">
          <w:rPr>
            <w:rStyle w:val="a8"/>
            <w:noProof/>
          </w:rPr>
          <w:t xml:space="preserve">5.3 </w:t>
        </w:r>
        <w:r w:rsidRPr="009A15C6">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_Toc17816340 \h </w:instrText>
        </w:r>
        <w:r>
          <w:rPr>
            <w:noProof/>
            <w:webHidden/>
          </w:rPr>
        </w:r>
        <w:r>
          <w:rPr>
            <w:noProof/>
            <w:webHidden/>
          </w:rPr>
          <w:fldChar w:fldCharType="separate"/>
        </w:r>
        <w:r>
          <w:rPr>
            <w:noProof/>
            <w:webHidden/>
          </w:rPr>
          <w:t>15</w:t>
        </w:r>
        <w:r>
          <w:rPr>
            <w:noProof/>
            <w:webHidden/>
          </w:rPr>
          <w:fldChar w:fldCharType="end"/>
        </w:r>
      </w:hyperlink>
    </w:p>
    <w:p w:rsidR="005F41E8" w:rsidRDefault="005F41E8" w:rsidP="005F41E8">
      <w:pPr>
        <w:pStyle w:val="11"/>
        <w:tabs>
          <w:tab w:val="left" w:pos="435"/>
        </w:tabs>
        <w:rPr>
          <w:rFonts w:asciiTheme="minorHAnsi" w:eastAsiaTheme="minorEastAsia" w:hAnsiTheme="minorHAnsi" w:cstheme="minorBidi"/>
          <w:noProof/>
          <w:szCs w:val="22"/>
        </w:rPr>
      </w:pPr>
      <w:hyperlink w:anchor="_Toc17816341" w:history="1">
        <w:r w:rsidRPr="009A15C6">
          <w:rPr>
            <w:rStyle w:val="a8"/>
            <w:b/>
            <w:bCs/>
            <w:noProof/>
          </w:rPr>
          <w:t>§6</w:t>
        </w:r>
        <w:r>
          <w:rPr>
            <w:rFonts w:asciiTheme="minorHAnsi" w:eastAsiaTheme="minorEastAsia" w:hAnsiTheme="minorHAnsi" w:cstheme="minorBidi"/>
            <w:noProof/>
            <w:szCs w:val="22"/>
          </w:rPr>
          <w:tab/>
        </w:r>
        <w:r w:rsidRPr="009A15C6">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_Toc17816341 \h </w:instrText>
        </w:r>
        <w:r>
          <w:rPr>
            <w:noProof/>
            <w:webHidden/>
          </w:rPr>
        </w:r>
        <w:r>
          <w:rPr>
            <w:noProof/>
            <w:webHidden/>
          </w:rPr>
          <w:fldChar w:fldCharType="separate"/>
        </w:r>
        <w:r>
          <w:rPr>
            <w:noProof/>
            <w:webHidden/>
          </w:rPr>
          <w:t>15</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42" w:history="1">
        <w:r w:rsidRPr="009A15C6">
          <w:rPr>
            <w:rStyle w:val="a8"/>
            <w:noProof/>
          </w:rPr>
          <w:t xml:space="preserve">6.1 </w:t>
        </w:r>
        <w:r w:rsidRPr="009A15C6">
          <w:rPr>
            <w:rStyle w:val="a8"/>
            <w:rFonts w:hint="eastAsia"/>
            <w:noProof/>
          </w:rPr>
          <w:t>资产负债表</w:t>
        </w:r>
        <w:r>
          <w:rPr>
            <w:noProof/>
            <w:webHidden/>
          </w:rPr>
          <w:tab/>
        </w:r>
        <w:r>
          <w:rPr>
            <w:noProof/>
            <w:webHidden/>
          </w:rPr>
          <w:fldChar w:fldCharType="begin"/>
        </w:r>
        <w:r>
          <w:rPr>
            <w:noProof/>
            <w:webHidden/>
          </w:rPr>
          <w:instrText xml:space="preserve"> PAGEREF _Toc17816342 \h </w:instrText>
        </w:r>
        <w:r>
          <w:rPr>
            <w:noProof/>
            <w:webHidden/>
          </w:rPr>
        </w:r>
        <w:r>
          <w:rPr>
            <w:noProof/>
            <w:webHidden/>
          </w:rPr>
          <w:fldChar w:fldCharType="separate"/>
        </w:r>
        <w:r>
          <w:rPr>
            <w:noProof/>
            <w:webHidden/>
          </w:rPr>
          <w:t>15</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43" w:history="1">
        <w:r w:rsidRPr="009A15C6">
          <w:rPr>
            <w:rStyle w:val="a8"/>
            <w:noProof/>
          </w:rPr>
          <w:t xml:space="preserve">6.2 </w:t>
        </w:r>
        <w:r w:rsidRPr="009A15C6">
          <w:rPr>
            <w:rStyle w:val="a8"/>
            <w:rFonts w:hint="eastAsia"/>
            <w:noProof/>
          </w:rPr>
          <w:t>利润表</w:t>
        </w:r>
        <w:r>
          <w:rPr>
            <w:noProof/>
            <w:webHidden/>
          </w:rPr>
          <w:tab/>
        </w:r>
        <w:r>
          <w:rPr>
            <w:noProof/>
            <w:webHidden/>
          </w:rPr>
          <w:fldChar w:fldCharType="begin"/>
        </w:r>
        <w:r>
          <w:rPr>
            <w:noProof/>
            <w:webHidden/>
          </w:rPr>
          <w:instrText xml:space="preserve"> PAGEREF _Toc17816343 \h </w:instrText>
        </w:r>
        <w:r>
          <w:rPr>
            <w:noProof/>
            <w:webHidden/>
          </w:rPr>
        </w:r>
        <w:r>
          <w:rPr>
            <w:noProof/>
            <w:webHidden/>
          </w:rPr>
          <w:fldChar w:fldCharType="separate"/>
        </w:r>
        <w:r>
          <w:rPr>
            <w:noProof/>
            <w:webHidden/>
          </w:rPr>
          <w:t>16</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44" w:history="1">
        <w:r w:rsidRPr="009A15C6">
          <w:rPr>
            <w:rStyle w:val="a8"/>
            <w:noProof/>
          </w:rPr>
          <w:t xml:space="preserve">6.3 </w:t>
        </w:r>
        <w:r w:rsidRPr="009A15C6">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_Toc17816344 \h </w:instrText>
        </w:r>
        <w:r>
          <w:rPr>
            <w:noProof/>
            <w:webHidden/>
          </w:rPr>
        </w:r>
        <w:r>
          <w:rPr>
            <w:noProof/>
            <w:webHidden/>
          </w:rPr>
          <w:fldChar w:fldCharType="separate"/>
        </w:r>
        <w:r>
          <w:rPr>
            <w:noProof/>
            <w:webHidden/>
          </w:rPr>
          <w:t>18</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45" w:history="1">
        <w:r w:rsidRPr="009A15C6">
          <w:rPr>
            <w:rStyle w:val="a8"/>
            <w:noProof/>
          </w:rPr>
          <w:t>6.4</w:t>
        </w:r>
        <w:r w:rsidRPr="009A15C6">
          <w:rPr>
            <w:rStyle w:val="a8"/>
            <w:rFonts w:hint="eastAsia"/>
            <w:noProof/>
          </w:rPr>
          <w:t>报表附注</w:t>
        </w:r>
        <w:r>
          <w:rPr>
            <w:noProof/>
            <w:webHidden/>
          </w:rPr>
          <w:tab/>
        </w:r>
        <w:r>
          <w:rPr>
            <w:noProof/>
            <w:webHidden/>
          </w:rPr>
          <w:fldChar w:fldCharType="begin"/>
        </w:r>
        <w:r>
          <w:rPr>
            <w:noProof/>
            <w:webHidden/>
          </w:rPr>
          <w:instrText xml:space="preserve"> PAGEREF _Toc17816345 \h </w:instrText>
        </w:r>
        <w:r>
          <w:rPr>
            <w:noProof/>
            <w:webHidden/>
          </w:rPr>
        </w:r>
        <w:r>
          <w:rPr>
            <w:noProof/>
            <w:webHidden/>
          </w:rPr>
          <w:fldChar w:fldCharType="separate"/>
        </w:r>
        <w:r>
          <w:rPr>
            <w:noProof/>
            <w:webHidden/>
          </w:rPr>
          <w:t>19</w:t>
        </w:r>
        <w:r>
          <w:rPr>
            <w:noProof/>
            <w:webHidden/>
          </w:rPr>
          <w:fldChar w:fldCharType="end"/>
        </w:r>
      </w:hyperlink>
    </w:p>
    <w:p w:rsidR="005F41E8" w:rsidRDefault="005F41E8">
      <w:pPr>
        <w:pStyle w:val="11"/>
        <w:rPr>
          <w:rFonts w:asciiTheme="minorHAnsi" w:eastAsiaTheme="minorEastAsia" w:hAnsiTheme="minorHAnsi" w:cstheme="minorBidi"/>
          <w:noProof/>
          <w:szCs w:val="22"/>
        </w:rPr>
      </w:pPr>
      <w:hyperlink w:anchor="_Toc17816346" w:history="1">
        <w:r w:rsidRPr="009A15C6">
          <w:rPr>
            <w:rStyle w:val="a8"/>
            <w:b/>
            <w:bCs/>
            <w:noProof/>
          </w:rPr>
          <w:t xml:space="preserve">§7  </w:t>
        </w:r>
        <w:r w:rsidRPr="009A15C6">
          <w:rPr>
            <w:rStyle w:val="a8"/>
            <w:rFonts w:hint="eastAsia"/>
            <w:b/>
            <w:bCs/>
            <w:noProof/>
          </w:rPr>
          <w:t>投资组合报告</w:t>
        </w:r>
        <w:r>
          <w:rPr>
            <w:noProof/>
            <w:webHidden/>
          </w:rPr>
          <w:tab/>
        </w:r>
        <w:r>
          <w:rPr>
            <w:noProof/>
            <w:webHidden/>
          </w:rPr>
          <w:fldChar w:fldCharType="begin"/>
        </w:r>
        <w:r>
          <w:rPr>
            <w:noProof/>
            <w:webHidden/>
          </w:rPr>
          <w:instrText xml:space="preserve"> PAGEREF _Toc17816346 \h </w:instrText>
        </w:r>
        <w:r>
          <w:rPr>
            <w:noProof/>
            <w:webHidden/>
          </w:rPr>
        </w:r>
        <w:r>
          <w:rPr>
            <w:noProof/>
            <w:webHidden/>
          </w:rPr>
          <w:fldChar w:fldCharType="separate"/>
        </w:r>
        <w:r>
          <w:rPr>
            <w:noProof/>
            <w:webHidden/>
          </w:rPr>
          <w:t>37</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47" w:history="1">
        <w:r w:rsidRPr="009A15C6">
          <w:rPr>
            <w:rStyle w:val="a8"/>
            <w:noProof/>
          </w:rPr>
          <w:t xml:space="preserve">7.1 </w:t>
        </w:r>
        <w:r w:rsidRPr="009A15C6">
          <w:rPr>
            <w:rStyle w:val="a8"/>
            <w:rFonts w:hint="eastAsia"/>
            <w:noProof/>
          </w:rPr>
          <w:t>期末基金资产组合情况</w:t>
        </w:r>
        <w:r>
          <w:rPr>
            <w:noProof/>
            <w:webHidden/>
          </w:rPr>
          <w:tab/>
        </w:r>
        <w:r>
          <w:rPr>
            <w:noProof/>
            <w:webHidden/>
          </w:rPr>
          <w:fldChar w:fldCharType="begin"/>
        </w:r>
        <w:r>
          <w:rPr>
            <w:noProof/>
            <w:webHidden/>
          </w:rPr>
          <w:instrText xml:space="preserve"> PAGEREF _Toc17816347 \h </w:instrText>
        </w:r>
        <w:r>
          <w:rPr>
            <w:noProof/>
            <w:webHidden/>
          </w:rPr>
        </w:r>
        <w:r>
          <w:rPr>
            <w:noProof/>
            <w:webHidden/>
          </w:rPr>
          <w:fldChar w:fldCharType="separate"/>
        </w:r>
        <w:r>
          <w:rPr>
            <w:noProof/>
            <w:webHidden/>
          </w:rPr>
          <w:t>37</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48" w:history="1">
        <w:r w:rsidRPr="009A15C6">
          <w:rPr>
            <w:rStyle w:val="a8"/>
            <w:noProof/>
          </w:rPr>
          <w:t xml:space="preserve">7.2 </w:t>
        </w:r>
        <w:r w:rsidRPr="009A15C6">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_Toc17816348 \h </w:instrText>
        </w:r>
        <w:r>
          <w:rPr>
            <w:noProof/>
            <w:webHidden/>
          </w:rPr>
        </w:r>
        <w:r>
          <w:rPr>
            <w:noProof/>
            <w:webHidden/>
          </w:rPr>
          <w:fldChar w:fldCharType="separate"/>
        </w:r>
        <w:r>
          <w:rPr>
            <w:noProof/>
            <w:webHidden/>
          </w:rPr>
          <w:t>37</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51" w:history="1">
        <w:r w:rsidRPr="009A15C6">
          <w:rPr>
            <w:rStyle w:val="a8"/>
            <w:noProof/>
          </w:rPr>
          <w:t xml:space="preserve">7.3 </w:t>
        </w:r>
        <w:r w:rsidRPr="009A15C6">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_Toc17816351 \h </w:instrText>
        </w:r>
        <w:r>
          <w:rPr>
            <w:noProof/>
            <w:webHidden/>
          </w:rPr>
        </w:r>
        <w:r>
          <w:rPr>
            <w:noProof/>
            <w:webHidden/>
          </w:rPr>
          <w:fldChar w:fldCharType="separate"/>
        </w:r>
        <w:r>
          <w:rPr>
            <w:noProof/>
            <w:webHidden/>
          </w:rPr>
          <w:t>37</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52" w:history="1">
        <w:r w:rsidRPr="009A15C6">
          <w:rPr>
            <w:rStyle w:val="a8"/>
            <w:noProof/>
          </w:rPr>
          <w:t>7.4</w:t>
        </w:r>
        <w:r w:rsidRPr="009A15C6">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_Toc17816352 \h </w:instrText>
        </w:r>
        <w:r>
          <w:rPr>
            <w:noProof/>
            <w:webHidden/>
          </w:rPr>
        </w:r>
        <w:r>
          <w:rPr>
            <w:noProof/>
            <w:webHidden/>
          </w:rPr>
          <w:fldChar w:fldCharType="separate"/>
        </w:r>
        <w:r>
          <w:rPr>
            <w:noProof/>
            <w:webHidden/>
          </w:rPr>
          <w:t>37</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53" w:history="1">
        <w:r w:rsidRPr="009A15C6">
          <w:rPr>
            <w:rStyle w:val="a8"/>
            <w:noProof/>
          </w:rPr>
          <w:t xml:space="preserve">7.5 </w:t>
        </w:r>
        <w:r w:rsidRPr="009A15C6">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_Toc17816353 \h </w:instrText>
        </w:r>
        <w:r>
          <w:rPr>
            <w:noProof/>
            <w:webHidden/>
          </w:rPr>
        </w:r>
        <w:r>
          <w:rPr>
            <w:noProof/>
            <w:webHidden/>
          </w:rPr>
          <w:fldChar w:fldCharType="separate"/>
        </w:r>
        <w:r>
          <w:rPr>
            <w:noProof/>
            <w:webHidden/>
          </w:rPr>
          <w:t>38</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54" w:history="1">
        <w:r w:rsidRPr="009A15C6">
          <w:rPr>
            <w:rStyle w:val="a8"/>
            <w:noProof/>
          </w:rPr>
          <w:t>7.6</w:t>
        </w:r>
        <w:r w:rsidRPr="009A15C6">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_Toc17816354 \h </w:instrText>
        </w:r>
        <w:r>
          <w:rPr>
            <w:noProof/>
            <w:webHidden/>
          </w:rPr>
        </w:r>
        <w:r>
          <w:rPr>
            <w:noProof/>
            <w:webHidden/>
          </w:rPr>
          <w:fldChar w:fldCharType="separate"/>
        </w:r>
        <w:r>
          <w:rPr>
            <w:noProof/>
            <w:webHidden/>
          </w:rPr>
          <w:t>38</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55" w:history="1">
        <w:r w:rsidRPr="009A15C6">
          <w:rPr>
            <w:rStyle w:val="a8"/>
            <w:noProof/>
          </w:rPr>
          <w:t xml:space="preserve">7.7 </w:t>
        </w:r>
        <w:r w:rsidRPr="009A15C6">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_Toc17816355 \h </w:instrText>
        </w:r>
        <w:r>
          <w:rPr>
            <w:noProof/>
            <w:webHidden/>
          </w:rPr>
        </w:r>
        <w:r>
          <w:rPr>
            <w:noProof/>
            <w:webHidden/>
          </w:rPr>
          <w:fldChar w:fldCharType="separate"/>
        </w:r>
        <w:r>
          <w:rPr>
            <w:noProof/>
            <w:webHidden/>
          </w:rPr>
          <w:t>38</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56" w:history="1">
        <w:r w:rsidRPr="009A15C6">
          <w:rPr>
            <w:rStyle w:val="a8"/>
            <w:noProof/>
          </w:rPr>
          <w:t xml:space="preserve">7.8 </w:t>
        </w:r>
        <w:r w:rsidRPr="009A15C6">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_Toc17816356 \h </w:instrText>
        </w:r>
        <w:r>
          <w:rPr>
            <w:noProof/>
            <w:webHidden/>
          </w:rPr>
        </w:r>
        <w:r>
          <w:rPr>
            <w:noProof/>
            <w:webHidden/>
          </w:rPr>
          <w:fldChar w:fldCharType="separate"/>
        </w:r>
        <w:r>
          <w:rPr>
            <w:noProof/>
            <w:webHidden/>
          </w:rPr>
          <w:t>39</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57" w:history="1">
        <w:r w:rsidRPr="009A15C6">
          <w:rPr>
            <w:rStyle w:val="a8"/>
            <w:noProof/>
          </w:rPr>
          <w:t xml:space="preserve">7.9 </w:t>
        </w:r>
        <w:r w:rsidRPr="009A15C6">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_Toc17816357 \h </w:instrText>
        </w:r>
        <w:r>
          <w:rPr>
            <w:noProof/>
            <w:webHidden/>
          </w:rPr>
        </w:r>
        <w:r>
          <w:rPr>
            <w:noProof/>
            <w:webHidden/>
          </w:rPr>
          <w:fldChar w:fldCharType="separate"/>
        </w:r>
        <w:r>
          <w:rPr>
            <w:noProof/>
            <w:webHidden/>
          </w:rPr>
          <w:t>39</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58" w:history="1">
        <w:r w:rsidRPr="009A15C6">
          <w:rPr>
            <w:rStyle w:val="a8"/>
            <w:noProof/>
          </w:rPr>
          <w:t xml:space="preserve">7.10 </w:t>
        </w:r>
        <w:r w:rsidRPr="009A15C6">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_Toc17816358 \h </w:instrText>
        </w:r>
        <w:r>
          <w:rPr>
            <w:noProof/>
            <w:webHidden/>
          </w:rPr>
        </w:r>
        <w:r>
          <w:rPr>
            <w:noProof/>
            <w:webHidden/>
          </w:rPr>
          <w:fldChar w:fldCharType="separate"/>
        </w:r>
        <w:r>
          <w:rPr>
            <w:noProof/>
            <w:webHidden/>
          </w:rPr>
          <w:t>39</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59" w:history="1">
        <w:r w:rsidRPr="009A15C6">
          <w:rPr>
            <w:rStyle w:val="a8"/>
            <w:noProof/>
          </w:rPr>
          <w:t>7.11</w:t>
        </w:r>
        <w:r w:rsidRPr="009A15C6">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_Toc17816359 \h </w:instrText>
        </w:r>
        <w:r>
          <w:rPr>
            <w:noProof/>
            <w:webHidden/>
          </w:rPr>
        </w:r>
        <w:r>
          <w:rPr>
            <w:noProof/>
            <w:webHidden/>
          </w:rPr>
          <w:fldChar w:fldCharType="separate"/>
        </w:r>
        <w:r>
          <w:rPr>
            <w:noProof/>
            <w:webHidden/>
          </w:rPr>
          <w:t>39</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60" w:history="1">
        <w:r w:rsidRPr="009A15C6">
          <w:rPr>
            <w:rStyle w:val="a8"/>
            <w:noProof/>
          </w:rPr>
          <w:t xml:space="preserve">7.12 </w:t>
        </w:r>
        <w:r w:rsidRPr="009A15C6">
          <w:rPr>
            <w:rStyle w:val="a8"/>
            <w:rFonts w:hint="eastAsia"/>
            <w:noProof/>
          </w:rPr>
          <w:t>投资组合报告附注</w:t>
        </w:r>
        <w:r>
          <w:rPr>
            <w:noProof/>
            <w:webHidden/>
          </w:rPr>
          <w:tab/>
        </w:r>
        <w:r>
          <w:rPr>
            <w:noProof/>
            <w:webHidden/>
          </w:rPr>
          <w:fldChar w:fldCharType="begin"/>
        </w:r>
        <w:r>
          <w:rPr>
            <w:noProof/>
            <w:webHidden/>
          </w:rPr>
          <w:instrText xml:space="preserve"> PAGEREF _Toc17816360 \h </w:instrText>
        </w:r>
        <w:r>
          <w:rPr>
            <w:noProof/>
            <w:webHidden/>
          </w:rPr>
        </w:r>
        <w:r>
          <w:rPr>
            <w:noProof/>
            <w:webHidden/>
          </w:rPr>
          <w:fldChar w:fldCharType="separate"/>
        </w:r>
        <w:r>
          <w:rPr>
            <w:noProof/>
            <w:webHidden/>
          </w:rPr>
          <w:t>39</w:t>
        </w:r>
        <w:r>
          <w:rPr>
            <w:noProof/>
            <w:webHidden/>
          </w:rPr>
          <w:fldChar w:fldCharType="end"/>
        </w:r>
      </w:hyperlink>
    </w:p>
    <w:p w:rsidR="005F41E8" w:rsidRDefault="005F41E8">
      <w:pPr>
        <w:pStyle w:val="11"/>
        <w:rPr>
          <w:rFonts w:asciiTheme="minorHAnsi" w:eastAsiaTheme="minorEastAsia" w:hAnsiTheme="minorHAnsi" w:cstheme="minorBidi"/>
          <w:noProof/>
          <w:szCs w:val="22"/>
        </w:rPr>
      </w:pPr>
      <w:hyperlink w:anchor="_Toc17816361" w:history="1">
        <w:r w:rsidRPr="009A15C6">
          <w:rPr>
            <w:rStyle w:val="a8"/>
            <w:b/>
            <w:bCs/>
            <w:noProof/>
          </w:rPr>
          <w:t xml:space="preserve">§8  </w:t>
        </w:r>
        <w:r w:rsidRPr="009A15C6">
          <w:rPr>
            <w:rStyle w:val="a8"/>
            <w:rFonts w:hint="eastAsia"/>
            <w:b/>
            <w:bCs/>
            <w:noProof/>
          </w:rPr>
          <w:t>基金份额持有人信息</w:t>
        </w:r>
        <w:r>
          <w:rPr>
            <w:noProof/>
            <w:webHidden/>
          </w:rPr>
          <w:tab/>
        </w:r>
        <w:r>
          <w:rPr>
            <w:noProof/>
            <w:webHidden/>
          </w:rPr>
          <w:fldChar w:fldCharType="begin"/>
        </w:r>
        <w:r>
          <w:rPr>
            <w:noProof/>
            <w:webHidden/>
          </w:rPr>
          <w:instrText xml:space="preserve"> PAGEREF _Toc17816361 \h </w:instrText>
        </w:r>
        <w:r>
          <w:rPr>
            <w:noProof/>
            <w:webHidden/>
          </w:rPr>
        </w:r>
        <w:r>
          <w:rPr>
            <w:noProof/>
            <w:webHidden/>
          </w:rPr>
          <w:fldChar w:fldCharType="separate"/>
        </w:r>
        <w:r>
          <w:rPr>
            <w:noProof/>
            <w:webHidden/>
          </w:rPr>
          <w:t>40</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62" w:history="1">
        <w:r w:rsidRPr="009A15C6">
          <w:rPr>
            <w:rStyle w:val="a8"/>
            <w:noProof/>
          </w:rPr>
          <w:t xml:space="preserve">8.1 </w:t>
        </w:r>
        <w:r w:rsidRPr="009A15C6">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_Toc17816362 \h </w:instrText>
        </w:r>
        <w:r>
          <w:rPr>
            <w:noProof/>
            <w:webHidden/>
          </w:rPr>
        </w:r>
        <w:r>
          <w:rPr>
            <w:noProof/>
            <w:webHidden/>
          </w:rPr>
          <w:fldChar w:fldCharType="separate"/>
        </w:r>
        <w:r>
          <w:rPr>
            <w:noProof/>
            <w:webHidden/>
          </w:rPr>
          <w:t>40</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63" w:history="1">
        <w:r w:rsidRPr="009A15C6">
          <w:rPr>
            <w:rStyle w:val="a8"/>
            <w:noProof/>
          </w:rPr>
          <w:t xml:space="preserve">8.2 </w:t>
        </w:r>
        <w:r w:rsidRPr="009A15C6">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_Toc17816363 \h </w:instrText>
        </w:r>
        <w:r>
          <w:rPr>
            <w:noProof/>
            <w:webHidden/>
          </w:rPr>
        </w:r>
        <w:r>
          <w:rPr>
            <w:noProof/>
            <w:webHidden/>
          </w:rPr>
          <w:fldChar w:fldCharType="separate"/>
        </w:r>
        <w:r>
          <w:rPr>
            <w:noProof/>
            <w:webHidden/>
          </w:rPr>
          <w:t>40</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64" w:history="1">
        <w:r w:rsidRPr="009A15C6">
          <w:rPr>
            <w:rStyle w:val="a8"/>
            <w:noProof/>
          </w:rPr>
          <w:t>8.3</w:t>
        </w:r>
        <w:r w:rsidRPr="009A15C6">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_Toc17816364 \h </w:instrText>
        </w:r>
        <w:r>
          <w:rPr>
            <w:noProof/>
            <w:webHidden/>
          </w:rPr>
        </w:r>
        <w:r>
          <w:rPr>
            <w:noProof/>
            <w:webHidden/>
          </w:rPr>
          <w:fldChar w:fldCharType="separate"/>
        </w:r>
        <w:r>
          <w:rPr>
            <w:noProof/>
            <w:webHidden/>
          </w:rPr>
          <w:t>40</w:t>
        </w:r>
        <w:r>
          <w:rPr>
            <w:noProof/>
            <w:webHidden/>
          </w:rPr>
          <w:fldChar w:fldCharType="end"/>
        </w:r>
      </w:hyperlink>
    </w:p>
    <w:p w:rsidR="005F41E8" w:rsidRDefault="005F41E8">
      <w:pPr>
        <w:pStyle w:val="11"/>
        <w:rPr>
          <w:rFonts w:asciiTheme="minorHAnsi" w:eastAsiaTheme="minorEastAsia" w:hAnsiTheme="minorHAnsi" w:cstheme="minorBidi"/>
          <w:noProof/>
          <w:szCs w:val="22"/>
        </w:rPr>
      </w:pPr>
      <w:hyperlink w:anchor="_Toc17816365" w:history="1">
        <w:r w:rsidRPr="009A15C6">
          <w:rPr>
            <w:rStyle w:val="a8"/>
            <w:b/>
            <w:bCs/>
            <w:noProof/>
          </w:rPr>
          <w:t>§9</w:t>
        </w:r>
        <w:r>
          <w:rPr>
            <w:rStyle w:val="a8"/>
            <w:b/>
            <w:bCs/>
            <w:noProof/>
          </w:rPr>
          <w:t xml:space="preserve"> </w:t>
        </w:r>
        <w:r w:rsidRPr="009A15C6">
          <w:rPr>
            <w:rStyle w:val="a8"/>
            <w:rFonts w:hint="eastAsia"/>
            <w:b/>
            <w:bCs/>
            <w:noProof/>
          </w:rPr>
          <w:t>开放式基金份额变动</w:t>
        </w:r>
        <w:r>
          <w:rPr>
            <w:noProof/>
            <w:webHidden/>
          </w:rPr>
          <w:tab/>
        </w:r>
        <w:r>
          <w:rPr>
            <w:noProof/>
            <w:webHidden/>
          </w:rPr>
          <w:fldChar w:fldCharType="begin"/>
        </w:r>
        <w:r>
          <w:rPr>
            <w:noProof/>
            <w:webHidden/>
          </w:rPr>
          <w:instrText xml:space="preserve"> PAGEREF _Toc17816365 \h </w:instrText>
        </w:r>
        <w:r>
          <w:rPr>
            <w:noProof/>
            <w:webHidden/>
          </w:rPr>
        </w:r>
        <w:r>
          <w:rPr>
            <w:noProof/>
            <w:webHidden/>
          </w:rPr>
          <w:fldChar w:fldCharType="separate"/>
        </w:r>
        <w:r>
          <w:rPr>
            <w:noProof/>
            <w:webHidden/>
          </w:rPr>
          <w:t>41</w:t>
        </w:r>
        <w:r>
          <w:rPr>
            <w:noProof/>
            <w:webHidden/>
          </w:rPr>
          <w:fldChar w:fldCharType="end"/>
        </w:r>
      </w:hyperlink>
    </w:p>
    <w:p w:rsidR="005F41E8" w:rsidRDefault="005F41E8">
      <w:pPr>
        <w:pStyle w:val="11"/>
        <w:rPr>
          <w:rFonts w:asciiTheme="minorHAnsi" w:eastAsiaTheme="minorEastAsia" w:hAnsiTheme="minorHAnsi" w:cstheme="minorBidi"/>
          <w:noProof/>
          <w:szCs w:val="22"/>
        </w:rPr>
      </w:pPr>
      <w:hyperlink w:anchor="_Toc17816366" w:history="1">
        <w:r>
          <w:rPr>
            <w:rStyle w:val="a8"/>
            <w:b/>
            <w:bCs/>
            <w:noProof/>
          </w:rPr>
          <w:t xml:space="preserve">§10 </w:t>
        </w:r>
        <w:bookmarkStart w:id="3" w:name="_GoBack"/>
        <w:bookmarkEnd w:id="3"/>
        <w:r w:rsidRPr="009A15C6">
          <w:rPr>
            <w:rStyle w:val="a8"/>
            <w:rFonts w:hint="eastAsia"/>
            <w:b/>
            <w:bCs/>
            <w:noProof/>
          </w:rPr>
          <w:t>重大事件揭示</w:t>
        </w:r>
        <w:r>
          <w:rPr>
            <w:noProof/>
            <w:webHidden/>
          </w:rPr>
          <w:tab/>
        </w:r>
        <w:r>
          <w:rPr>
            <w:noProof/>
            <w:webHidden/>
          </w:rPr>
          <w:fldChar w:fldCharType="begin"/>
        </w:r>
        <w:r>
          <w:rPr>
            <w:noProof/>
            <w:webHidden/>
          </w:rPr>
          <w:instrText xml:space="preserve"> PAGEREF _Toc17816366 \h </w:instrText>
        </w:r>
        <w:r>
          <w:rPr>
            <w:noProof/>
            <w:webHidden/>
          </w:rPr>
        </w:r>
        <w:r>
          <w:rPr>
            <w:noProof/>
            <w:webHidden/>
          </w:rPr>
          <w:fldChar w:fldCharType="separate"/>
        </w:r>
        <w:r>
          <w:rPr>
            <w:noProof/>
            <w:webHidden/>
          </w:rPr>
          <w:t>41</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67" w:history="1">
        <w:r w:rsidRPr="009A15C6">
          <w:rPr>
            <w:rStyle w:val="a8"/>
            <w:noProof/>
          </w:rPr>
          <w:t xml:space="preserve">10.1 </w:t>
        </w:r>
        <w:r w:rsidRPr="009A15C6">
          <w:rPr>
            <w:rStyle w:val="a8"/>
            <w:rFonts w:hint="eastAsia"/>
            <w:noProof/>
          </w:rPr>
          <w:t>基金份额持有人大会决议</w:t>
        </w:r>
        <w:r>
          <w:rPr>
            <w:noProof/>
            <w:webHidden/>
          </w:rPr>
          <w:tab/>
        </w:r>
        <w:r>
          <w:rPr>
            <w:noProof/>
            <w:webHidden/>
          </w:rPr>
          <w:fldChar w:fldCharType="begin"/>
        </w:r>
        <w:r>
          <w:rPr>
            <w:noProof/>
            <w:webHidden/>
          </w:rPr>
          <w:instrText xml:space="preserve"> PAGEREF _Toc17816367 \h </w:instrText>
        </w:r>
        <w:r>
          <w:rPr>
            <w:noProof/>
            <w:webHidden/>
          </w:rPr>
        </w:r>
        <w:r>
          <w:rPr>
            <w:noProof/>
            <w:webHidden/>
          </w:rPr>
          <w:fldChar w:fldCharType="separate"/>
        </w:r>
        <w:r>
          <w:rPr>
            <w:noProof/>
            <w:webHidden/>
          </w:rPr>
          <w:t>41</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68" w:history="1">
        <w:r w:rsidRPr="009A15C6">
          <w:rPr>
            <w:rStyle w:val="a8"/>
            <w:noProof/>
          </w:rPr>
          <w:t xml:space="preserve">10.2 </w:t>
        </w:r>
        <w:r w:rsidRPr="009A15C6">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_Toc17816368 \h </w:instrText>
        </w:r>
        <w:r>
          <w:rPr>
            <w:noProof/>
            <w:webHidden/>
          </w:rPr>
        </w:r>
        <w:r>
          <w:rPr>
            <w:noProof/>
            <w:webHidden/>
          </w:rPr>
          <w:fldChar w:fldCharType="separate"/>
        </w:r>
        <w:r>
          <w:rPr>
            <w:noProof/>
            <w:webHidden/>
          </w:rPr>
          <w:t>41</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69" w:history="1">
        <w:r w:rsidRPr="009A15C6">
          <w:rPr>
            <w:rStyle w:val="a8"/>
            <w:noProof/>
          </w:rPr>
          <w:t xml:space="preserve">10.3 </w:t>
        </w:r>
        <w:r w:rsidRPr="009A15C6">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_Toc17816369 \h </w:instrText>
        </w:r>
        <w:r>
          <w:rPr>
            <w:noProof/>
            <w:webHidden/>
          </w:rPr>
        </w:r>
        <w:r>
          <w:rPr>
            <w:noProof/>
            <w:webHidden/>
          </w:rPr>
          <w:fldChar w:fldCharType="separate"/>
        </w:r>
        <w:r>
          <w:rPr>
            <w:noProof/>
            <w:webHidden/>
          </w:rPr>
          <w:t>41</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70" w:history="1">
        <w:r w:rsidRPr="009A15C6">
          <w:rPr>
            <w:rStyle w:val="a8"/>
            <w:noProof/>
          </w:rPr>
          <w:t xml:space="preserve">10.4 </w:t>
        </w:r>
        <w:r w:rsidRPr="009A15C6">
          <w:rPr>
            <w:rStyle w:val="a8"/>
            <w:rFonts w:hint="eastAsia"/>
            <w:noProof/>
          </w:rPr>
          <w:t>基金投资策略的改变</w:t>
        </w:r>
        <w:r>
          <w:rPr>
            <w:noProof/>
            <w:webHidden/>
          </w:rPr>
          <w:tab/>
        </w:r>
        <w:r>
          <w:rPr>
            <w:noProof/>
            <w:webHidden/>
          </w:rPr>
          <w:fldChar w:fldCharType="begin"/>
        </w:r>
        <w:r>
          <w:rPr>
            <w:noProof/>
            <w:webHidden/>
          </w:rPr>
          <w:instrText xml:space="preserve"> PAGEREF _Toc17816370 \h </w:instrText>
        </w:r>
        <w:r>
          <w:rPr>
            <w:noProof/>
            <w:webHidden/>
          </w:rPr>
        </w:r>
        <w:r>
          <w:rPr>
            <w:noProof/>
            <w:webHidden/>
          </w:rPr>
          <w:fldChar w:fldCharType="separate"/>
        </w:r>
        <w:r>
          <w:rPr>
            <w:noProof/>
            <w:webHidden/>
          </w:rPr>
          <w:t>42</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71" w:history="1">
        <w:r w:rsidRPr="009A15C6">
          <w:rPr>
            <w:rStyle w:val="a8"/>
            <w:noProof/>
          </w:rPr>
          <w:t>10.5</w:t>
        </w:r>
        <w:r w:rsidRPr="009A15C6">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_Toc17816371 \h </w:instrText>
        </w:r>
        <w:r>
          <w:rPr>
            <w:noProof/>
            <w:webHidden/>
          </w:rPr>
        </w:r>
        <w:r>
          <w:rPr>
            <w:noProof/>
            <w:webHidden/>
          </w:rPr>
          <w:fldChar w:fldCharType="separate"/>
        </w:r>
        <w:r>
          <w:rPr>
            <w:noProof/>
            <w:webHidden/>
          </w:rPr>
          <w:t>42</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72" w:history="1">
        <w:r w:rsidRPr="009A15C6">
          <w:rPr>
            <w:rStyle w:val="a8"/>
            <w:noProof/>
          </w:rPr>
          <w:t>10.6</w:t>
        </w:r>
        <w:r w:rsidRPr="009A15C6">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_Toc17816372 \h </w:instrText>
        </w:r>
        <w:r>
          <w:rPr>
            <w:noProof/>
            <w:webHidden/>
          </w:rPr>
        </w:r>
        <w:r>
          <w:rPr>
            <w:noProof/>
            <w:webHidden/>
          </w:rPr>
          <w:fldChar w:fldCharType="separate"/>
        </w:r>
        <w:r>
          <w:rPr>
            <w:noProof/>
            <w:webHidden/>
          </w:rPr>
          <w:t>42</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73" w:history="1">
        <w:r w:rsidRPr="009A15C6">
          <w:rPr>
            <w:rStyle w:val="a8"/>
            <w:noProof/>
          </w:rPr>
          <w:t>10.7</w:t>
        </w:r>
        <w:r w:rsidRPr="009A15C6">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_Toc17816373 \h </w:instrText>
        </w:r>
        <w:r>
          <w:rPr>
            <w:noProof/>
            <w:webHidden/>
          </w:rPr>
        </w:r>
        <w:r>
          <w:rPr>
            <w:noProof/>
            <w:webHidden/>
          </w:rPr>
          <w:fldChar w:fldCharType="separate"/>
        </w:r>
        <w:r>
          <w:rPr>
            <w:noProof/>
            <w:webHidden/>
          </w:rPr>
          <w:t>42</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74" w:history="1">
        <w:r w:rsidRPr="009A15C6">
          <w:rPr>
            <w:rStyle w:val="a8"/>
            <w:noProof/>
          </w:rPr>
          <w:t>10.8</w:t>
        </w:r>
        <w:r w:rsidRPr="009A15C6">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_Toc17816374 \h </w:instrText>
        </w:r>
        <w:r>
          <w:rPr>
            <w:noProof/>
            <w:webHidden/>
          </w:rPr>
        </w:r>
        <w:r>
          <w:rPr>
            <w:noProof/>
            <w:webHidden/>
          </w:rPr>
          <w:fldChar w:fldCharType="separate"/>
        </w:r>
        <w:r>
          <w:rPr>
            <w:noProof/>
            <w:webHidden/>
          </w:rPr>
          <w:t>42</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75" w:history="1">
        <w:r w:rsidRPr="009A15C6">
          <w:rPr>
            <w:rStyle w:val="a8"/>
            <w:noProof/>
          </w:rPr>
          <w:t xml:space="preserve">10.9 </w:t>
        </w:r>
        <w:r w:rsidRPr="009A15C6">
          <w:rPr>
            <w:rStyle w:val="a8"/>
            <w:rFonts w:hint="eastAsia"/>
            <w:noProof/>
          </w:rPr>
          <w:t>其他重大事件</w:t>
        </w:r>
        <w:r>
          <w:rPr>
            <w:noProof/>
            <w:webHidden/>
          </w:rPr>
          <w:tab/>
        </w:r>
        <w:r>
          <w:rPr>
            <w:noProof/>
            <w:webHidden/>
          </w:rPr>
          <w:fldChar w:fldCharType="begin"/>
        </w:r>
        <w:r>
          <w:rPr>
            <w:noProof/>
            <w:webHidden/>
          </w:rPr>
          <w:instrText xml:space="preserve"> PAGEREF _Toc17816375 \h </w:instrText>
        </w:r>
        <w:r>
          <w:rPr>
            <w:noProof/>
            <w:webHidden/>
          </w:rPr>
        </w:r>
        <w:r>
          <w:rPr>
            <w:noProof/>
            <w:webHidden/>
          </w:rPr>
          <w:fldChar w:fldCharType="separate"/>
        </w:r>
        <w:r>
          <w:rPr>
            <w:noProof/>
            <w:webHidden/>
          </w:rPr>
          <w:t>43</w:t>
        </w:r>
        <w:r>
          <w:rPr>
            <w:noProof/>
            <w:webHidden/>
          </w:rPr>
          <w:fldChar w:fldCharType="end"/>
        </w:r>
      </w:hyperlink>
    </w:p>
    <w:p w:rsidR="005F41E8" w:rsidRDefault="005F41E8">
      <w:pPr>
        <w:pStyle w:val="11"/>
        <w:rPr>
          <w:rFonts w:asciiTheme="minorHAnsi" w:eastAsiaTheme="minorEastAsia" w:hAnsiTheme="minorHAnsi" w:cstheme="minorBidi"/>
          <w:noProof/>
          <w:szCs w:val="22"/>
        </w:rPr>
      </w:pPr>
      <w:hyperlink w:anchor="_Toc17816376" w:history="1">
        <w:r w:rsidRPr="009A15C6">
          <w:rPr>
            <w:rStyle w:val="a8"/>
            <w:b/>
            <w:bCs/>
            <w:noProof/>
          </w:rPr>
          <w:t xml:space="preserve">§11  </w:t>
        </w:r>
        <w:r w:rsidRPr="009A15C6">
          <w:rPr>
            <w:rStyle w:val="a8"/>
            <w:rFonts w:hint="eastAsia"/>
            <w:b/>
            <w:bCs/>
            <w:noProof/>
          </w:rPr>
          <w:t>备查文件目录</w:t>
        </w:r>
        <w:r>
          <w:rPr>
            <w:noProof/>
            <w:webHidden/>
          </w:rPr>
          <w:tab/>
        </w:r>
        <w:r>
          <w:rPr>
            <w:noProof/>
            <w:webHidden/>
          </w:rPr>
          <w:fldChar w:fldCharType="begin"/>
        </w:r>
        <w:r>
          <w:rPr>
            <w:noProof/>
            <w:webHidden/>
          </w:rPr>
          <w:instrText xml:space="preserve"> PAGEREF _Toc17816376 \h </w:instrText>
        </w:r>
        <w:r>
          <w:rPr>
            <w:noProof/>
            <w:webHidden/>
          </w:rPr>
        </w:r>
        <w:r>
          <w:rPr>
            <w:noProof/>
            <w:webHidden/>
          </w:rPr>
          <w:fldChar w:fldCharType="separate"/>
        </w:r>
        <w:r>
          <w:rPr>
            <w:noProof/>
            <w:webHidden/>
          </w:rPr>
          <w:t>44</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77" w:history="1">
        <w:r w:rsidRPr="009A15C6">
          <w:rPr>
            <w:rStyle w:val="a8"/>
            <w:noProof/>
          </w:rPr>
          <w:t xml:space="preserve">11.1 </w:t>
        </w:r>
        <w:r w:rsidRPr="009A15C6">
          <w:rPr>
            <w:rStyle w:val="a8"/>
            <w:rFonts w:hint="eastAsia"/>
            <w:noProof/>
          </w:rPr>
          <w:t>备查文件目录</w:t>
        </w:r>
        <w:r>
          <w:rPr>
            <w:noProof/>
            <w:webHidden/>
          </w:rPr>
          <w:tab/>
        </w:r>
        <w:r>
          <w:rPr>
            <w:noProof/>
            <w:webHidden/>
          </w:rPr>
          <w:fldChar w:fldCharType="begin"/>
        </w:r>
        <w:r>
          <w:rPr>
            <w:noProof/>
            <w:webHidden/>
          </w:rPr>
          <w:instrText xml:space="preserve"> PAGEREF _Toc17816377 \h </w:instrText>
        </w:r>
        <w:r>
          <w:rPr>
            <w:noProof/>
            <w:webHidden/>
          </w:rPr>
        </w:r>
        <w:r>
          <w:rPr>
            <w:noProof/>
            <w:webHidden/>
          </w:rPr>
          <w:fldChar w:fldCharType="separate"/>
        </w:r>
        <w:r>
          <w:rPr>
            <w:noProof/>
            <w:webHidden/>
          </w:rPr>
          <w:t>44</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78" w:history="1">
        <w:r w:rsidRPr="009A15C6">
          <w:rPr>
            <w:rStyle w:val="a8"/>
            <w:noProof/>
          </w:rPr>
          <w:t xml:space="preserve">11.2 </w:t>
        </w:r>
        <w:r w:rsidRPr="009A15C6">
          <w:rPr>
            <w:rStyle w:val="a8"/>
            <w:rFonts w:hint="eastAsia"/>
            <w:noProof/>
          </w:rPr>
          <w:t>存放地点</w:t>
        </w:r>
        <w:r>
          <w:rPr>
            <w:noProof/>
            <w:webHidden/>
          </w:rPr>
          <w:tab/>
        </w:r>
        <w:r>
          <w:rPr>
            <w:noProof/>
            <w:webHidden/>
          </w:rPr>
          <w:fldChar w:fldCharType="begin"/>
        </w:r>
        <w:r>
          <w:rPr>
            <w:noProof/>
            <w:webHidden/>
          </w:rPr>
          <w:instrText xml:space="preserve"> PAGEREF _Toc17816378 \h </w:instrText>
        </w:r>
        <w:r>
          <w:rPr>
            <w:noProof/>
            <w:webHidden/>
          </w:rPr>
        </w:r>
        <w:r>
          <w:rPr>
            <w:noProof/>
            <w:webHidden/>
          </w:rPr>
          <w:fldChar w:fldCharType="separate"/>
        </w:r>
        <w:r>
          <w:rPr>
            <w:noProof/>
            <w:webHidden/>
          </w:rPr>
          <w:t>44</w:t>
        </w:r>
        <w:r>
          <w:rPr>
            <w:noProof/>
            <w:webHidden/>
          </w:rPr>
          <w:fldChar w:fldCharType="end"/>
        </w:r>
      </w:hyperlink>
    </w:p>
    <w:p w:rsidR="005F41E8" w:rsidRDefault="005F41E8">
      <w:pPr>
        <w:pStyle w:val="22"/>
        <w:rPr>
          <w:rFonts w:asciiTheme="minorHAnsi" w:eastAsiaTheme="minorEastAsia" w:hAnsiTheme="minorHAnsi" w:cstheme="minorBidi"/>
          <w:noProof/>
          <w:kern w:val="2"/>
          <w:szCs w:val="22"/>
        </w:rPr>
      </w:pPr>
      <w:hyperlink w:anchor="_Toc17816379" w:history="1">
        <w:r w:rsidRPr="009A15C6">
          <w:rPr>
            <w:rStyle w:val="a8"/>
            <w:noProof/>
          </w:rPr>
          <w:t xml:space="preserve">11.3 </w:t>
        </w:r>
        <w:r w:rsidRPr="009A15C6">
          <w:rPr>
            <w:rStyle w:val="a8"/>
            <w:rFonts w:hint="eastAsia"/>
            <w:noProof/>
          </w:rPr>
          <w:t>查阅方式</w:t>
        </w:r>
        <w:r>
          <w:rPr>
            <w:noProof/>
            <w:webHidden/>
          </w:rPr>
          <w:tab/>
        </w:r>
        <w:r>
          <w:rPr>
            <w:noProof/>
            <w:webHidden/>
          </w:rPr>
          <w:fldChar w:fldCharType="begin"/>
        </w:r>
        <w:r>
          <w:rPr>
            <w:noProof/>
            <w:webHidden/>
          </w:rPr>
          <w:instrText xml:space="preserve"> PAGEREF _Toc17816379 \h </w:instrText>
        </w:r>
        <w:r>
          <w:rPr>
            <w:noProof/>
            <w:webHidden/>
          </w:rPr>
        </w:r>
        <w:r>
          <w:rPr>
            <w:noProof/>
            <w:webHidden/>
          </w:rPr>
          <w:fldChar w:fldCharType="separate"/>
        </w:r>
        <w:r>
          <w:rPr>
            <w:noProof/>
            <w:webHidden/>
          </w:rPr>
          <w:t>45</w:t>
        </w:r>
        <w:r>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17816319"/>
      <w:r w:rsidRPr="001B7979">
        <w:rPr>
          <w:b/>
          <w:bCs/>
          <w:szCs w:val="24"/>
          <w:lang w:val="en-US"/>
        </w:rPr>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17816320"/>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交银施罗德丰晟收益债券型证券投资基金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交银丰晟收益债券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005577</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005577</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契约型，本基金在基金合同生效之日起两年（含两年）的期间内封闭式运作，封闭期结束后转为开放式运作。</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2018</w:t>
            </w:r>
            <w:r w:rsidRPr="001B7979">
              <w:rPr>
                <w:sz w:val="24"/>
              </w:rPr>
              <w:t>年</w:t>
            </w:r>
            <w:r w:rsidRPr="001B7979">
              <w:rPr>
                <w:sz w:val="24"/>
              </w:rPr>
              <w:t>5</w:t>
            </w:r>
            <w:r w:rsidRPr="001B7979">
              <w:rPr>
                <w:sz w:val="24"/>
              </w:rPr>
              <w:t>月</w:t>
            </w:r>
            <w:r w:rsidRPr="001B7979">
              <w:rPr>
                <w:sz w:val="24"/>
              </w:rPr>
              <w:t>23</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招商银行股份有限公司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331,589,908.23</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交银丰晟收益债券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交银丰晟收益债券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005577</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005578</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330,813,244.80</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776,663.43</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17816321"/>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在严格控制风险的前提下</w:t>
            </w:r>
            <w:r w:rsidRPr="001B7979">
              <w:rPr>
                <w:sz w:val="24"/>
              </w:rPr>
              <w:t>,</w:t>
            </w:r>
            <w:r w:rsidRPr="001B7979">
              <w:rPr>
                <w:sz w:val="24"/>
              </w:rPr>
              <w:t>力求获得高于业绩基准的投资收益。</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637861" w:rsidRDefault="00762792">
            <w:pPr>
              <w:spacing w:before="29" w:line="288" w:lineRule="auto"/>
              <w:rPr>
                <w:sz w:val="24"/>
              </w:rPr>
            </w:pPr>
            <w:r>
              <w:rPr>
                <w:sz w:val="24"/>
              </w:rPr>
              <w:t>封闭期内的投资策略：</w:t>
            </w:r>
          </w:p>
          <w:p w:rsidR="00637861" w:rsidRDefault="00762792">
            <w:pPr>
              <w:spacing w:before="29" w:line="288" w:lineRule="auto"/>
              <w:rPr>
                <w:sz w:val="24"/>
              </w:rPr>
            </w:pPr>
            <w:r>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p w:rsidR="00637861" w:rsidRDefault="00762792">
            <w:pPr>
              <w:spacing w:before="29" w:line="288" w:lineRule="auto"/>
              <w:rPr>
                <w:sz w:val="24"/>
              </w:rPr>
            </w:pPr>
            <w:r>
              <w:rPr>
                <w:sz w:val="24"/>
              </w:rPr>
              <w:t>转为开放式运作后的投资策略：</w:t>
            </w:r>
          </w:p>
          <w:p w:rsidR="001548F9" w:rsidRPr="001B7979" w:rsidRDefault="001548F9" w:rsidP="00571B8A">
            <w:pPr>
              <w:spacing w:before="29" w:line="288" w:lineRule="auto"/>
              <w:rPr>
                <w:sz w:val="24"/>
              </w:rPr>
            </w:pPr>
            <w:r w:rsidRPr="001B7979">
              <w:rPr>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中债综合全价指数收益率</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本基金是一只债券型基金，其预期风险与预期收益高于货币市场基金，低于混合型基金和股票型基金。</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17816322"/>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招商银行股份有限公司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张燕</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0755-83199084</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yan_zhang@cmbchina.com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95555</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0755-83195201</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深圳市深南大道</w:t>
            </w:r>
            <w:r w:rsidRPr="001B7979">
              <w:rPr>
                <w:color w:val="000000"/>
                <w:kern w:val="0"/>
                <w:sz w:val="24"/>
              </w:rPr>
              <w:t>7088</w:t>
            </w:r>
            <w:r w:rsidRPr="001B7979">
              <w:rPr>
                <w:color w:val="000000"/>
                <w:kern w:val="0"/>
                <w:sz w:val="24"/>
              </w:rPr>
              <w:t>号招商银行大厦</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深圳市深南大道</w:t>
            </w:r>
            <w:r w:rsidRPr="001B7979">
              <w:rPr>
                <w:color w:val="000000"/>
                <w:kern w:val="0"/>
                <w:sz w:val="24"/>
              </w:rPr>
              <w:t>7088</w:t>
            </w:r>
            <w:r w:rsidRPr="001B7979">
              <w:rPr>
                <w:color w:val="000000"/>
                <w:kern w:val="0"/>
                <w:sz w:val="24"/>
              </w:rPr>
              <w:t>号招商银行大厦</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518040</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李建红</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17816323"/>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17816324"/>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17816325"/>
      <w:r w:rsidRPr="001B7979">
        <w:rPr>
          <w:b/>
          <w:bCs/>
          <w:szCs w:val="24"/>
          <w:lang w:val="en-US"/>
        </w:rPr>
        <w:t xml:space="preserve">§3  </w:t>
      </w:r>
      <w:r w:rsidRPr="001B7979">
        <w:rPr>
          <w:b/>
          <w:bCs/>
          <w:szCs w:val="24"/>
          <w:lang w:val="en-US"/>
        </w:rPr>
        <w:t>主要财务指标和基金净值表现</w:t>
      </w:r>
      <w:bookmarkEnd w:id="14"/>
      <w:bookmarkEnd w:id="17"/>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17816326"/>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2019</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交银丰晟收益债券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交银丰晟收益债券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10,020,433.17</w:t>
            </w:r>
          </w:p>
        </w:tc>
        <w:tc>
          <w:tcPr>
            <w:tcW w:w="2558" w:type="dxa"/>
            <w:vAlign w:val="center"/>
          </w:tcPr>
          <w:p w:rsidR="001548F9" w:rsidRPr="001B7979" w:rsidRDefault="001548F9" w:rsidP="00571B8A">
            <w:pPr>
              <w:spacing w:before="29" w:line="288" w:lineRule="auto"/>
              <w:jc w:val="right"/>
              <w:rPr>
                <w:sz w:val="24"/>
              </w:rPr>
            </w:pPr>
            <w:r w:rsidRPr="001B7979">
              <w:rPr>
                <w:sz w:val="24"/>
              </w:rPr>
              <w:t>21,036.94</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11,161,786.62</w:t>
            </w:r>
          </w:p>
        </w:tc>
        <w:tc>
          <w:tcPr>
            <w:tcW w:w="2558" w:type="dxa"/>
            <w:vAlign w:val="center"/>
          </w:tcPr>
          <w:p w:rsidR="001548F9" w:rsidRPr="001B7979" w:rsidRDefault="001548F9" w:rsidP="00571B8A">
            <w:pPr>
              <w:spacing w:before="29" w:line="288" w:lineRule="auto"/>
              <w:jc w:val="right"/>
              <w:rPr>
                <w:sz w:val="24"/>
              </w:rPr>
            </w:pPr>
            <w:r w:rsidRPr="001B7979">
              <w:rPr>
                <w:sz w:val="24"/>
              </w:rPr>
              <w:t>23,694.47</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0.0337</w:t>
            </w:r>
          </w:p>
        </w:tc>
        <w:tc>
          <w:tcPr>
            <w:tcW w:w="2558" w:type="dxa"/>
            <w:vAlign w:val="center"/>
          </w:tcPr>
          <w:p w:rsidR="001548F9" w:rsidRPr="001B7979" w:rsidRDefault="001548F9" w:rsidP="00571B8A">
            <w:pPr>
              <w:spacing w:before="29" w:line="288" w:lineRule="auto"/>
              <w:jc w:val="right"/>
              <w:rPr>
                <w:sz w:val="24"/>
              </w:rPr>
            </w:pPr>
            <w:r w:rsidRPr="001B7979">
              <w:rPr>
                <w:sz w:val="24"/>
              </w:rPr>
              <w:t>0.0305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3.19%</w:t>
            </w:r>
          </w:p>
        </w:tc>
        <w:tc>
          <w:tcPr>
            <w:tcW w:w="2558" w:type="dxa"/>
            <w:vAlign w:val="center"/>
          </w:tcPr>
          <w:p w:rsidR="001548F9" w:rsidRPr="001B7979" w:rsidRDefault="001548F9" w:rsidP="00571B8A">
            <w:pPr>
              <w:spacing w:before="29" w:line="288" w:lineRule="auto"/>
              <w:jc w:val="right"/>
              <w:rPr>
                <w:sz w:val="24"/>
              </w:rPr>
            </w:pPr>
            <w:r w:rsidRPr="001B7979">
              <w:rPr>
                <w:sz w:val="24"/>
              </w:rPr>
              <w:t>2.89%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3.22%</w:t>
            </w:r>
          </w:p>
        </w:tc>
        <w:tc>
          <w:tcPr>
            <w:tcW w:w="2558" w:type="dxa"/>
            <w:vAlign w:val="center"/>
          </w:tcPr>
          <w:p w:rsidR="001548F9" w:rsidRPr="001B7979" w:rsidRDefault="001548F9" w:rsidP="00571B8A">
            <w:pPr>
              <w:spacing w:before="29" w:line="288" w:lineRule="auto"/>
              <w:jc w:val="right"/>
              <w:rPr>
                <w:sz w:val="24"/>
              </w:rPr>
            </w:pPr>
            <w:r w:rsidRPr="001B7979">
              <w:rPr>
                <w:sz w:val="24"/>
              </w:rPr>
              <w:t>2.91%</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交银丰晟收益债券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交银丰晟收益债券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10,940,741.86</w:t>
            </w:r>
          </w:p>
        </w:tc>
        <w:tc>
          <w:tcPr>
            <w:tcW w:w="2558" w:type="dxa"/>
            <w:vAlign w:val="center"/>
          </w:tcPr>
          <w:p w:rsidR="001548F9" w:rsidRPr="001B7979" w:rsidRDefault="001548F9" w:rsidP="00571B8A">
            <w:pPr>
              <w:spacing w:before="29" w:line="288" w:lineRule="auto"/>
              <w:jc w:val="right"/>
              <w:rPr>
                <w:sz w:val="24"/>
              </w:rPr>
            </w:pPr>
            <w:r w:rsidRPr="001B7979">
              <w:rPr>
                <w:sz w:val="24"/>
              </w:rPr>
              <w:t>23,326.75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0.0331</w:t>
            </w:r>
          </w:p>
        </w:tc>
        <w:tc>
          <w:tcPr>
            <w:tcW w:w="2558" w:type="dxa"/>
            <w:vAlign w:val="center"/>
          </w:tcPr>
          <w:p w:rsidR="001548F9" w:rsidRPr="001B7979" w:rsidRDefault="001548F9" w:rsidP="00571B8A">
            <w:pPr>
              <w:spacing w:before="29" w:line="288" w:lineRule="auto"/>
              <w:jc w:val="right"/>
              <w:rPr>
                <w:sz w:val="24"/>
              </w:rPr>
            </w:pPr>
            <w:r w:rsidRPr="001B7979">
              <w:rPr>
                <w:sz w:val="24"/>
              </w:rPr>
              <w:t>0.0300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353,194,372.94</w:t>
            </w:r>
          </w:p>
        </w:tc>
        <w:tc>
          <w:tcPr>
            <w:tcW w:w="2558" w:type="dxa"/>
            <w:vAlign w:val="center"/>
          </w:tcPr>
          <w:p w:rsidR="001548F9" w:rsidRPr="001B7979" w:rsidRDefault="001548F9" w:rsidP="00571B8A">
            <w:pPr>
              <w:spacing w:before="29" w:line="288" w:lineRule="auto"/>
              <w:jc w:val="right"/>
              <w:rPr>
                <w:sz w:val="24"/>
              </w:rPr>
            </w:pPr>
            <w:r w:rsidRPr="001B7979">
              <w:rPr>
                <w:sz w:val="24"/>
              </w:rPr>
              <w:t>826,784.25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1.0677</w:t>
            </w:r>
          </w:p>
        </w:tc>
        <w:tc>
          <w:tcPr>
            <w:tcW w:w="2558" w:type="dxa"/>
            <w:vAlign w:val="center"/>
          </w:tcPr>
          <w:p w:rsidR="001548F9" w:rsidRPr="001B7979" w:rsidRDefault="001548F9" w:rsidP="00571B8A">
            <w:pPr>
              <w:spacing w:before="29" w:line="288" w:lineRule="auto"/>
              <w:jc w:val="right"/>
              <w:rPr>
                <w:sz w:val="24"/>
              </w:rPr>
            </w:pPr>
            <w:r w:rsidRPr="001B7979">
              <w:rPr>
                <w:sz w:val="24"/>
              </w:rPr>
              <w:t>1.0645</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交银丰晟收益债券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交银丰晟收益债券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10.23%</w:t>
            </w:r>
          </w:p>
        </w:tc>
        <w:tc>
          <w:tcPr>
            <w:tcW w:w="2558" w:type="dxa"/>
            <w:vAlign w:val="center"/>
          </w:tcPr>
          <w:p w:rsidR="001548F9" w:rsidRPr="001B7979" w:rsidRDefault="001548F9" w:rsidP="00571B8A">
            <w:pPr>
              <w:spacing w:before="29" w:line="288" w:lineRule="auto"/>
              <w:jc w:val="right"/>
              <w:rPr>
                <w:sz w:val="24"/>
              </w:rPr>
            </w:pPr>
            <w:r w:rsidRPr="001B7979">
              <w:rPr>
                <w:sz w:val="24"/>
              </w:rPr>
              <w:t>9.50%</w:t>
            </w:r>
          </w:p>
        </w:tc>
      </w:tr>
    </w:tbl>
    <w:p w:rsidR="00637861" w:rsidRDefault="00762792">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548F9" w:rsidRPr="001B7979" w:rsidRDefault="001548F9" w:rsidP="00571B8A">
      <w:pPr>
        <w:tabs>
          <w:tab w:val="left" w:pos="426"/>
        </w:tabs>
        <w:spacing w:before="29" w:line="288" w:lineRule="auto"/>
        <w:jc w:val="left"/>
        <w:rPr>
          <w:kern w:val="0"/>
          <w:sz w:val="24"/>
        </w:rPr>
      </w:pPr>
      <w:r w:rsidRPr="001B7979">
        <w:rPr>
          <w:kern w:val="0"/>
          <w:sz w:val="24"/>
        </w:rPr>
        <w:t>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17816327"/>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交银丰晟收益债券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637861">
        <w:tc>
          <w:tcPr>
            <w:tcW w:w="1497" w:type="dxa"/>
            <w:vAlign w:val="center"/>
          </w:tcPr>
          <w:p w:rsidR="00637861" w:rsidRDefault="00762792">
            <w:pPr>
              <w:jc w:val="left"/>
            </w:pPr>
            <w:r>
              <w:rPr>
                <w:color w:val="000000"/>
                <w:sz w:val="24"/>
              </w:rPr>
              <w:t>过去一个月</w:t>
            </w:r>
          </w:p>
        </w:tc>
        <w:tc>
          <w:tcPr>
            <w:tcW w:w="1251" w:type="dxa"/>
            <w:vAlign w:val="center"/>
          </w:tcPr>
          <w:p w:rsidR="00637861" w:rsidRDefault="00762792">
            <w:pPr>
              <w:jc w:val="center"/>
            </w:pPr>
            <w:r>
              <w:rPr>
                <w:color w:val="000000"/>
                <w:sz w:val="24"/>
              </w:rPr>
              <w:t>0.29%</w:t>
            </w:r>
          </w:p>
        </w:tc>
        <w:tc>
          <w:tcPr>
            <w:tcW w:w="1250" w:type="dxa"/>
            <w:vAlign w:val="center"/>
          </w:tcPr>
          <w:p w:rsidR="00637861" w:rsidRDefault="00762792">
            <w:pPr>
              <w:jc w:val="center"/>
            </w:pPr>
            <w:r>
              <w:rPr>
                <w:color w:val="000000"/>
                <w:sz w:val="24"/>
              </w:rPr>
              <w:t>0.06%</w:t>
            </w:r>
          </w:p>
        </w:tc>
        <w:tc>
          <w:tcPr>
            <w:tcW w:w="1250" w:type="dxa"/>
            <w:vAlign w:val="center"/>
          </w:tcPr>
          <w:p w:rsidR="00637861" w:rsidRDefault="00762792">
            <w:pPr>
              <w:jc w:val="center"/>
            </w:pPr>
            <w:r>
              <w:rPr>
                <w:color w:val="000000"/>
                <w:sz w:val="24"/>
              </w:rPr>
              <w:t>0.28%</w:t>
            </w:r>
          </w:p>
        </w:tc>
        <w:tc>
          <w:tcPr>
            <w:tcW w:w="1250" w:type="dxa"/>
            <w:vAlign w:val="center"/>
          </w:tcPr>
          <w:p w:rsidR="00637861" w:rsidRDefault="00762792">
            <w:pPr>
              <w:jc w:val="center"/>
            </w:pPr>
            <w:r>
              <w:rPr>
                <w:color w:val="000000"/>
                <w:sz w:val="24"/>
              </w:rPr>
              <w:t>0.03%</w:t>
            </w:r>
          </w:p>
        </w:tc>
        <w:tc>
          <w:tcPr>
            <w:tcW w:w="1250" w:type="dxa"/>
            <w:vAlign w:val="center"/>
          </w:tcPr>
          <w:p w:rsidR="00637861" w:rsidRDefault="00762792">
            <w:pPr>
              <w:jc w:val="center"/>
            </w:pPr>
            <w:r>
              <w:rPr>
                <w:color w:val="000000"/>
                <w:sz w:val="24"/>
              </w:rPr>
              <w:t>0.01%</w:t>
            </w:r>
          </w:p>
        </w:tc>
        <w:tc>
          <w:tcPr>
            <w:tcW w:w="1250" w:type="dxa"/>
            <w:vAlign w:val="center"/>
          </w:tcPr>
          <w:p w:rsidR="00637861" w:rsidRDefault="00762792">
            <w:pPr>
              <w:jc w:val="center"/>
            </w:pPr>
            <w:r>
              <w:rPr>
                <w:color w:val="000000"/>
                <w:sz w:val="24"/>
              </w:rPr>
              <w:t>0.03%</w:t>
            </w:r>
          </w:p>
        </w:tc>
      </w:tr>
      <w:tr w:rsidR="00637861">
        <w:tc>
          <w:tcPr>
            <w:tcW w:w="1497" w:type="dxa"/>
            <w:vAlign w:val="center"/>
          </w:tcPr>
          <w:p w:rsidR="00637861" w:rsidRDefault="00762792">
            <w:pPr>
              <w:jc w:val="left"/>
            </w:pPr>
            <w:r>
              <w:rPr>
                <w:color w:val="000000"/>
                <w:sz w:val="24"/>
              </w:rPr>
              <w:t>过去三个月</w:t>
            </w:r>
          </w:p>
        </w:tc>
        <w:tc>
          <w:tcPr>
            <w:tcW w:w="1251" w:type="dxa"/>
            <w:vAlign w:val="center"/>
          </w:tcPr>
          <w:p w:rsidR="00637861" w:rsidRDefault="00762792">
            <w:pPr>
              <w:jc w:val="center"/>
            </w:pPr>
            <w:r>
              <w:rPr>
                <w:color w:val="000000"/>
                <w:sz w:val="24"/>
              </w:rPr>
              <w:t>1.01%</w:t>
            </w:r>
          </w:p>
        </w:tc>
        <w:tc>
          <w:tcPr>
            <w:tcW w:w="1250" w:type="dxa"/>
            <w:vAlign w:val="center"/>
          </w:tcPr>
          <w:p w:rsidR="00637861" w:rsidRDefault="00762792">
            <w:pPr>
              <w:jc w:val="center"/>
            </w:pPr>
            <w:r>
              <w:rPr>
                <w:color w:val="000000"/>
                <w:sz w:val="24"/>
              </w:rPr>
              <w:t>0.07%</w:t>
            </w:r>
          </w:p>
        </w:tc>
        <w:tc>
          <w:tcPr>
            <w:tcW w:w="1250" w:type="dxa"/>
            <w:vAlign w:val="center"/>
          </w:tcPr>
          <w:p w:rsidR="00637861" w:rsidRDefault="00762792">
            <w:pPr>
              <w:jc w:val="center"/>
            </w:pPr>
            <w:r>
              <w:rPr>
                <w:color w:val="000000"/>
                <w:sz w:val="24"/>
              </w:rPr>
              <w:t>-0.23%</w:t>
            </w:r>
          </w:p>
        </w:tc>
        <w:tc>
          <w:tcPr>
            <w:tcW w:w="1250" w:type="dxa"/>
            <w:vAlign w:val="center"/>
          </w:tcPr>
          <w:p w:rsidR="00637861" w:rsidRDefault="00762792">
            <w:pPr>
              <w:jc w:val="center"/>
            </w:pPr>
            <w:r>
              <w:rPr>
                <w:color w:val="000000"/>
                <w:sz w:val="24"/>
              </w:rPr>
              <w:t>0.06%</w:t>
            </w:r>
          </w:p>
        </w:tc>
        <w:tc>
          <w:tcPr>
            <w:tcW w:w="1250" w:type="dxa"/>
            <w:vAlign w:val="center"/>
          </w:tcPr>
          <w:p w:rsidR="00637861" w:rsidRDefault="00762792">
            <w:pPr>
              <w:jc w:val="center"/>
            </w:pPr>
            <w:r>
              <w:rPr>
                <w:color w:val="000000"/>
                <w:sz w:val="24"/>
              </w:rPr>
              <w:t>1.24%</w:t>
            </w:r>
          </w:p>
        </w:tc>
        <w:tc>
          <w:tcPr>
            <w:tcW w:w="1250" w:type="dxa"/>
            <w:vAlign w:val="center"/>
          </w:tcPr>
          <w:p w:rsidR="00637861" w:rsidRDefault="00762792">
            <w:pPr>
              <w:jc w:val="center"/>
            </w:pPr>
            <w:r>
              <w:rPr>
                <w:color w:val="000000"/>
                <w:sz w:val="24"/>
              </w:rPr>
              <w:t>0.01%</w:t>
            </w:r>
          </w:p>
        </w:tc>
      </w:tr>
      <w:tr w:rsidR="00637861">
        <w:tc>
          <w:tcPr>
            <w:tcW w:w="1497" w:type="dxa"/>
            <w:vAlign w:val="center"/>
          </w:tcPr>
          <w:p w:rsidR="00637861" w:rsidRDefault="00762792">
            <w:pPr>
              <w:jc w:val="left"/>
            </w:pPr>
            <w:r>
              <w:rPr>
                <w:color w:val="000000"/>
                <w:sz w:val="24"/>
              </w:rPr>
              <w:t>过去六个月</w:t>
            </w:r>
          </w:p>
        </w:tc>
        <w:tc>
          <w:tcPr>
            <w:tcW w:w="1251" w:type="dxa"/>
            <w:vAlign w:val="center"/>
          </w:tcPr>
          <w:p w:rsidR="00637861" w:rsidRDefault="00762792">
            <w:pPr>
              <w:jc w:val="center"/>
            </w:pPr>
            <w:r>
              <w:rPr>
                <w:color w:val="000000"/>
                <w:sz w:val="24"/>
              </w:rPr>
              <w:t>3.22%</w:t>
            </w:r>
          </w:p>
        </w:tc>
        <w:tc>
          <w:tcPr>
            <w:tcW w:w="1250" w:type="dxa"/>
            <w:vAlign w:val="center"/>
          </w:tcPr>
          <w:p w:rsidR="00637861" w:rsidRDefault="00762792">
            <w:pPr>
              <w:jc w:val="center"/>
            </w:pPr>
            <w:r>
              <w:rPr>
                <w:color w:val="000000"/>
                <w:sz w:val="24"/>
              </w:rPr>
              <w:t>0.08%</w:t>
            </w:r>
          </w:p>
        </w:tc>
        <w:tc>
          <w:tcPr>
            <w:tcW w:w="1250" w:type="dxa"/>
            <w:vAlign w:val="center"/>
          </w:tcPr>
          <w:p w:rsidR="00637861" w:rsidRDefault="00762792">
            <w:pPr>
              <w:jc w:val="center"/>
            </w:pPr>
            <w:r>
              <w:rPr>
                <w:color w:val="000000"/>
                <w:sz w:val="24"/>
              </w:rPr>
              <w:t>0.24%</w:t>
            </w:r>
          </w:p>
        </w:tc>
        <w:tc>
          <w:tcPr>
            <w:tcW w:w="1250" w:type="dxa"/>
            <w:vAlign w:val="center"/>
          </w:tcPr>
          <w:p w:rsidR="00637861" w:rsidRDefault="00762792">
            <w:pPr>
              <w:jc w:val="center"/>
            </w:pPr>
            <w:r>
              <w:rPr>
                <w:color w:val="000000"/>
                <w:sz w:val="24"/>
              </w:rPr>
              <w:t>0.06%</w:t>
            </w:r>
          </w:p>
        </w:tc>
        <w:tc>
          <w:tcPr>
            <w:tcW w:w="1250" w:type="dxa"/>
            <w:vAlign w:val="center"/>
          </w:tcPr>
          <w:p w:rsidR="00637861" w:rsidRDefault="00762792">
            <w:pPr>
              <w:jc w:val="center"/>
            </w:pPr>
            <w:r>
              <w:rPr>
                <w:color w:val="000000"/>
                <w:sz w:val="24"/>
              </w:rPr>
              <w:t>2.98%</w:t>
            </w:r>
          </w:p>
        </w:tc>
        <w:tc>
          <w:tcPr>
            <w:tcW w:w="1250" w:type="dxa"/>
            <w:vAlign w:val="center"/>
          </w:tcPr>
          <w:p w:rsidR="00637861" w:rsidRDefault="00762792">
            <w:pPr>
              <w:jc w:val="center"/>
            </w:pPr>
            <w:r>
              <w:rPr>
                <w:color w:val="000000"/>
                <w:sz w:val="24"/>
              </w:rPr>
              <w:t>0.02%</w:t>
            </w:r>
          </w:p>
        </w:tc>
      </w:tr>
      <w:tr w:rsidR="00637861">
        <w:tc>
          <w:tcPr>
            <w:tcW w:w="1497" w:type="dxa"/>
            <w:vAlign w:val="center"/>
          </w:tcPr>
          <w:p w:rsidR="00637861" w:rsidRDefault="00762792">
            <w:pPr>
              <w:jc w:val="left"/>
            </w:pPr>
            <w:r>
              <w:rPr>
                <w:color w:val="000000"/>
                <w:sz w:val="24"/>
              </w:rPr>
              <w:t>过去一年</w:t>
            </w:r>
          </w:p>
        </w:tc>
        <w:tc>
          <w:tcPr>
            <w:tcW w:w="1251" w:type="dxa"/>
            <w:vAlign w:val="center"/>
          </w:tcPr>
          <w:p w:rsidR="00637861" w:rsidRDefault="00762792">
            <w:pPr>
              <w:jc w:val="center"/>
            </w:pPr>
            <w:r>
              <w:rPr>
                <w:color w:val="000000"/>
                <w:sz w:val="24"/>
              </w:rPr>
              <w:t>10.56%</w:t>
            </w:r>
          </w:p>
        </w:tc>
        <w:tc>
          <w:tcPr>
            <w:tcW w:w="1250" w:type="dxa"/>
            <w:vAlign w:val="center"/>
          </w:tcPr>
          <w:p w:rsidR="00637861" w:rsidRDefault="00762792">
            <w:pPr>
              <w:jc w:val="center"/>
            </w:pPr>
            <w:r>
              <w:rPr>
                <w:color w:val="000000"/>
                <w:sz w:val="24"/>
              </w:rPr>
              <w:t>0.09%</w:t>
            </w:r>
          </w:p>
        </w:tc>
        <w:tc>
          <w:tcPr>
            <w:tcW w:w="1250" w:type="dxa"/>
            <w:vAlign w:val="center"/>
          </w:tcPr>
          <w:p w:rsidR="00637861" w:rsidRDefault="00762792">
            <w:pPr>
              <w:jc w:val="center"/>
            </w:pPr>
            <w:r>
              <w:rPr>
                <w:color w:val="000000"/>
                <w:sz w:val="24"/>
              </w:rPr>
              <w:t>2.81%</w:t>
            </w:r>
          </w:p>
        </w:tc>
        <w:tc>
          <w:tcPr>
            <w:tcW w:w="1250" w:type="dxa"/>
            <w:vAlign w:val="center"/>
          </w:tcPr>
          <w:p w:rsidR="00637861" w:rsidRDefault="00762792">
            <w:pPr>
              <w:jc w:val="center"/>
            </w:pPr>
            <w:r>
              <w:rPr>
                <w:color w:val="000000"/>
                <w:sz w:val="24"/>
              </w:rPr>
              <w:t>0.06%</w:t>
            </w:r>
          </w:p>
        </w:tc>
        <w:tc>
          <w:tcPr>
            <w:tcW w:w="1250" w:type="dxa"/>
            <w:vAlign w:val="center"/>
          </w:tcPr>
          <w:p w:rsidR="00637861" w:rsidRDefault="00762792">
            <w:pPr>
              <w:jc w:val="center"/>
            </w:pPr>
            <w:r>
              <w:rPr>
                <w:color w:val="000000"/>
                <w:sz w:val="24"/>
              </w:rPr>
              <w:t>7.75%</w:t>
            </w:r>
          </w:p>
        </w:tc>
        <w:tc>
          <w:tcPr>
            <w:tcW w:w="1250" w:type="dxa"/>
            <w:vAlign w:val="center"/>
          </w:tcPr>
          <w:p w:rsidR="00637861" w:rsidRDefault="00762792">
            <w:pPr>
              <w:jc w:val="center"/>
            </w:pPr>
            <w:r>
              <w:rPr>
                <w:color w:val="000000"/>
                <w:sz w:val="24"/>
              </w:rPr>
              <w:t>0.03%</w:t>
            </w:r>
          </w:p>
        </w:tc>
      </w:tr>
      <w:tr w:rsidR="00637861">
        <w:tc>
          <w:tcPr>
            <w:tcW w:w="1497" w:type="dxa"/>
            <w:vAlign w:val="center"/>
          </w:tcPr>
          <w:p w:rsidR="00637861" w:rsidRDefault="00762792">
            <w:pPr>
              <w:jc w:val="left"/>
            </w:pPr>
            <w:r>
              <w:rPr>
                <w:color w:val="000000"/>
                <w:sz w:val="24"/>
              </w:rPr>
              <w:t>自基金合同生效起至今</w:t>
            </w:r>
          </w:p>
        </w:tc>
        <w:tc>
          <w:tcPr>
            <w:tcW w:w="1251" w:type="dxa"/>
            <w:vAlign w:val="center"/>
          </w:tcPr>
          <w:p w:rsidR="00637861" w:rsidRDefault="00762792">
            <w:pPr>
              <w:jc w:val="center"/>
            </w:pPr>
            <w:r>
              <w:rPr>
                <w:color w:val="000000"/>
                <w:sz w:val="24"/>
              </w:rPr>
              <w:t>10.23%</w:t>
            </w:r>
          </w:p>
        </w:tc>
        <w:tc>
          <w:tcPr>
            <w:tcW w:w="1250" w:type="dxa"/>
            <w:vAlign w:val="center"/>
          </w:tcPr>
          <w:p w:rsidR="00637861" w:rsidRDefault="00762792">
            <w:pPr>
              <w:jc w:val="center"/>
            </w:pPr>
            <w:r>
              <w:rPr>
                <w:color w:val="000000"/>
                <w:sz w:val="24"/>
              </w:rPr>
              <w:t>0.10%</w:t>
            </w:r>
          </w:p>
        </w:tc>
        <w:tc>
          <w:tcPr>
            <w:tcW w:w="1250" w:type="dxa"/>
            <w:vAlign w:val="center"/>
          </w:tcPr>
          <w:p w:rsidR="00637861" w:rsidRDefault="00762792">
            <w:pPr>
              <w:jc w:val="center"/>
            </w:pPr>
            <w:r>
              <w:rPr>
                <w:color w:val="000000"/>
                <w:sz w:val="24"/>
              </w:rPr>
              <w:t>3.28%</w:t>
            </w:r>
          </w:p>
        </w:tc>
        <w:tc>
          <w:tcPr>
            <w:tcW w:w="1250" w:type="dxa"/>
            <w:vAlign w:val="center"/>
          </w:tcPr>
          <w:p w:rsidR="00637861" w:rsidRDefault="00762792">
            <w:pPr>
              <w:jc w:val="center"/>
            </w:pPr>
            <w:r>
              <w:rPr>
                <w:color w:val="000000"/>
                <w:sz w:val="24"/>
              </w:rPr>
              <w:t>0.06%</w:t>
            </w:r>
          </w:p>
        </w:tc>
        <w:tc>
          <w:tcPr>
            <w:tcW w:w="1250" w:type="dxa"/>
            <w:vAlign w:val="center"/>
          </w:tcPr>
          <w:p w:rsidR="00637861" w:rsidRDefault="00762792">
            <w:pPr>
              <w:jc w:val="center"/>
            </w:pPr>
            <w:r>
              <w:rPr>
                <w:color w:val="000000"/>
                <w:sz w:val="24"/>
              </w:rPr>
              <w:t>6.95%</w:t>
            </w:r>
          </w:p>
        </w:tc>
        <w:tc>
          <w:tcPr>
            <w:tcW w:w="1250" w:type="dxa"/>
            <w:vAlign w:val="center"/>
          </w:tcPr>
          <w:p w:rsidR="00637861" w:rsidRDefault="00762792">
            <w:pPr>
              <w:jc w:val="center"/>
            </w:pPr>
            <w:r>
              <w:rPr>
                <w:color w:val="000000"/>
                <w:sz w:val="24"/>
              </w:rPr>
              <w:t>0.04%</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注：本基金的业绩比较基准为中债综合全价指数。</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交银丰晟收益债券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637861">
        <w:tc>
          <w:tcPr>
            <w:tcW w:w="1497" w:type="dxa"/>
            <w:vAlign w:val="center"/>
          </w:tcPr>
          <w:p w:rsidR="00637861" w:rsidRDefault="00762792">
            <w:pPr>
              <w:jc w:val="left"/>
            </w:pPr>
            <w:r>
              <w:rPr>
                <w:color w:val="000000"/>
                <w:sz w:val="24"/>
              </w:rPr>
              <w:t>过去一个月</w:t>
            </w:r>
          </w:p>
        </w:tc>
        <w:tc>
          <w:tcPr>
            <w:tcW w:w="1251" w:type="dxa"/>
            <w:vAlign w:val="center"/>
          </w:tcPr>
          <w:p w:rsidR="00637861" w:rsidRDefault="00762792">
            <w:pPr>
              <w:jc w:val="center"/>
            </w:pPr>
            <w:r>
              <w:rPr>
                <w:color w:val="000000"/>
                <w:sz w:val="24"/>
              </w:rPr>
              <w:t>0.23%</w:t>
            </w:r>
          </w:p>
        </w:tc>
        <w:tc>
          <w:tcPr>
            <w:tcW w:w="1250" w:type="dxa"/>
            <w:vAlign w:val="center"/>
          </w:tcPr>
          <w:p w:rsidR="00637861" w:rsidRDefault="00762792">
            <w:pPr>
              <w:jc w:val="center"/>
            </w:pPr>
            <w:r>
              <w:rPr>
                <w:color w:val="000000"/>
                <w:sz w:val="24"/>
              </w:rPr>
              <w:t>0.06%</w:t>
            </w:r>
          </w:p>
        </w:tc>
        <w:tc>
          <w:tcPr>
            <w:tcW w:w="1250" w:type="dxa"/>
            <w:vAlign w:val="center"/>
          </w:tcPr>
          <w:p w:rsidR="00637861" w:rsidRDefault="00762792">
            <w:pPr>
              <w:jc w:val="center"/>
            </w:pPr>
            <w:r>
              <w:rPr>
                <w:color w:val="000000"/>
                <w:sz w:val="24"/>
              </w:rPr>
              <w:t>0.28%</w:t>
            </w:r>
          </w:p>
        </w:tc>
        <w:tc>
          <w:tcPr>
            <w:tcW w:w="1250" w:type="dxa"/>
            <w:vAlign w:val="center"/>
          </w:tcPr>
          <w:p w:rsidR="00637861" w:rsidRDefault="00762792">
            <w:pPr>
              <w:jc w:val="center"/>
            </w:pPr>
            <w:r>
              <w:rPr>
                <w:color w:val="000000"/>
                <w:sz w:val="24"/>
              </w:rPr>
              <w:t>0.03%</w:t>
            </w:r>
          </w:p>
        </w:tc>
        <w:tc>
          <w:tcPr>
            <w:tcW w:w="1250" w:type="dxa"/>
            <w:vAlign w:val="center"/>
          </w:tcPr>
          <w:p w:rsidR="00637861" w:rsidRDefault="00762792">
            <w:pPr>
              <w:jc w:val="center"/>
            </w:pPr>
            <w:r>
              <w:rPr>
                <w:color w:val="000000"/>
                <w:sz w:val="24"/>
              </w:rPr>
              <w:t>-0.05%</w:t>
            </w:r>
          </w:p>
        </w:tc>
        <w:tc>
          <w:tcPr>
            <w:tcW w:w="1250" w:type="dxa"/>
            <w:vAlign w:val="center"/>
          </w:tcPr>
          <w:p w:rsidR="00637861" w:rsidRDefault="00762792">
            <w:pPr>
              <w:jc w:val="center"/>
            </w:pPr>
            <w:r>
              <w:rPr>
                <w:color w:val="000000"/>
                <w:sz w:val="24"/>
              </w:rPr>
              <w:t>0.03%</w:t>
            </w:r>
          </w:p>
        </w:tc>
      </w:tr>
      <w:tr w:rsidR="00637861">
        <w:tc>
          <w:tcPr>
            <w:tcW w:w="1497" w:type="dxa"/>
            <w:vAlign w:val="center"/>
          </w:tcPr>
          <w:p w:rsidR="00637861" w:rsidRDefault="00762792">
            <w:pPr>
              <w:jc w:val="left"/>
            </w:pPr>
            <w:r>
              <w:rPr>
                <w:color w:val="000000"/>
                <w:sz w:val="24"/>
              </w:rPr>
              <w:t>过去三个月</w:t>
            </w:r>
          </w:p>
        </w:tc>
        <w:tc>
          <w:tcPr>
            <w:tcW w:w="1251" w:type="dxa"/>
            <w:vAlign w:val="center"/>
          </w:tcPr>
          <w:p w:rsidR="00637861" w:rsidRDefault="00762792">
            <w:pPr>
              <w:jc w:val="center"/>
            </w:pPr>
            <w:r>
              <w:rPr>
                <w:color w:val="000000"/>
                <w:sz w:val="24"/>
              </w:rPr>
              <w:t>0.85%</w:t>
            </w:r>
          </w:p>
        </w:tc>
        <w:tc>
          <w:tcPr>
            <w:tcW w:w="1250" w:type="dxa"/>
            <w:vAlign w:val="center"/>
          </w:tcPr>
          <w:p w:rsidR="00637861" w:rsidRDefault="00762792">
            <w:pPr>
              <w:jc w:val="center"/>
            </w:pPr>
            <w:r>
              <w:rPr>
                <w:color w:val="000000"/>
                <w:sz w:val="24"/>
              </w:rPr>
              <w:t>0.07%</w:t>
            </w:r>
          </w:p>
        </w:tc>
        <w:tc>
          <w:tcPr>
            <w:tcW w:w="1250" w:type="dxa"/>
            <w:vAlign w:val="center"/>
          </w:tcPr>
          <w:p w:rsidR="00637861" w:rsidRDefault="00762792">
            <w:pPr>
              <w:jc w:val="center"/>
            </w:pPr>
            <w:r>
              <w:rPr>
                <w:color w:val="000000"/>
                <w:sz w:val="24"/>
              </w:rPr>
              <w:t>-0.23%</w:t>
            </w:r>
          </w:p>
        </w:tc>
        <w:tc>
          <w:tcPr>
            <w:tcW w:w="1250" w:type="dxa"/>
            <w:vAlign w:val="center"/>
          </w:tcPr>
          <w:p w:rsidR="00637861" w:rsidRDefault="00762792">
            <w:pPr>
              <w:jc w:val="center"/>
            </w:pPr>
            <w:r>
              <w:rPr>
                <w:color w:val="000000"/>
                <w:sz w:val="24"/>
              </w:rPr>
              <w:t>0.06%</w:t>
            </w:r>
          </w:p>
        </w:tc>
        <w:tc>
          <w:tcPr>
            <w:tcW w:w="1250" w:type="dxa"/>
            <w:vAlign w:val="center"/>
          </w:tcPr>
          <w:p w:rsidR="00637861" w:rsidRDefault="00762792">
            <w:pPr>
              <w:jc w:val="center"/>
            </w:pPr>
            <w:r>
              <w:rPr>
                <w:color w:val="000000"/>
                <w:sz w:val="24"/>
              </w:rPr>
              <w:t>1.08%</w:t>
            </w:r>
          </w:p>
        </w:tc>
        <w:tc>
          <w:tcPr>
            <w:tcW w:w="1250" w:type="dxa"/>
            <w:vAlign w:val="center"/>
          </w:tcPr>
          <w:p w:rsidR="00637861" w:rsidRDefault="00762792">
            <w:pPr>
              <w:jc w:val="center"/>
            </w:pPr>
            <w:r>
              <w:rPr>
                <w:color w:val="000000"/>
                <w:sz w:val="24"/>
              </w:rPr>
              <w:t>0.01%</w:t>
            </w:r>
          </w:p>
        </w:tc>
      </w:tr>
      <w:tr w:rsidR="00637861">
        <w:tc>
          <w:tcPr>
            <w:tcW w:w="1497" w:type="dxa"/>
            <w:vAlign w:val="center"/>
          </w:tcPr>
          <w:p w:rsidR="00637861" w:rsidRDefault="00762792">
            <w:pPr>
              <w:jc w:val="left"/>
            </w:pPr>
            <w:r>
              <w:rPr>
                <w:color w:val="000000"/>
                <w:sz w:val="24"/>
              </w:rPr>
              <w:t>过去六个月</w:t>
            </w:r>
          </w:p>
        </w:tc>
        <w:tc>
          <w:tcPr>
            <w:tcW w:w="1251" w:type="dxa"/>
            <w:vAlign w:val="center"/>
          </w:tcPr>
          <w:p w:rsidR="00637861" w:rsidRDefault="00762792">
            <w:pPr>
              <w:jc w:val="center"/>
            </w:pPr>
            <w:r>
              <w:rPr>
                <w:color w:val="000000"/>
                <w:sz w:val="24"/>
              </w:rPr>
              <w:t>2.91%</w:t>
            </w:r>
          </w:p>
        </w:tc>
        <w:tc>
          <w:tcPr>
            <w:tcW w:w="1250" w:type="dxa"/>
            <w:vAlign w:val="center"/>
          </w:tcPr>
          <w:p w:rsidR="00637861" w:rsidRDefault="00762792">
            <w:pPr>
              <w:jc w:val="center"/>
            </w:pPr>
            <w:r>
              <w:rPr>
                <w:color w:val="000000"/>
                <w:sz w:val="24"/>
              </w:rPr>
              <w:t>0.08%</w:t>
            </w:r>
          </w:p>
        </w:tc>
        <w:tc>
          <w:tcPr>
            <w:tcW w:w="1250" w:type="dxa"/>
            <w:vAlign w:val="center"/>
          </w:tcPr>
          <w:p w:rsidR="00637861" w:rsidRDefault="00762792">
            <w:pPr>
              <w:jc w:val="center"/>
            </w:pPr>
            <w:r>
              <w:rPr>
                <w:color w:val="000000"/>
                <w:sz w:val="24"/>
              </w:rPr>
              <w:t>0.24%</w:t>
            </w:r>
          </w:p>
        </w:tc>
        <w:tc>
          <w:tcPr>
            <w:tcW w:w="1250" w:type="dxa"/>
            <w:vAlign w:val="center"/>
          </w:tcPr>
          <w:p w:rsidR="00637861" w:rsidRDefault="00762792">
            <w:pPr>
              <w:jc w:val="center"/>
            </w:pPr>
            <w:r>
              <w:rPr>
                <w:color w:val="000000"/>
                <w:sz w:val="24"/>
              </w:rPr>
              <w:t>0.06%</w:t>
            </w:r>
          </w:p>
        </w:tc>
        <w:tc>
          <w:tcPr>
            <w:tcW w:w="1250" w:type="dxa"/>
            <w:vAlign w:val="center"/>
          </w:tcPr>
          <w:p w:rsidR="00637861" w:rsidRDefault="00762792">
            <w:pPr>
              <w:jc w:val="center"/>
            </w:pPr>
            <w:r>
              <w:rPr>
                <w:color w:val="000000"/>
                <w:sz w:val="24"/>
              </w:rPr>
              <w:t>2.67%</w:t>
            </w:r>
          </w:p>
        </w:tc>
        <w:tc>
          <w:tcPr>
            <w:tcW w:w="1250" w:type="dxa"/>
            <w:vAlign w:val="center"/>
          </w:tcPr>
          <w:p w:rsidR="00637861" w:rsidRDefault="00762792">
            <w:pPr>
              <w:jc w:val="center"/>
            </w:pPr>
            <w:r>
              <w:rPr>
                <w:color w:val="000000"/>
                <w:sz w:val="24"/>
              </w:rPr>
              <w:t>0.02%</w:t>
            </w:r>
          </w:p>
        </w:tc>
      </w:tr>
      <w:tr w:rsidR="00637861">
        <w:tc>
          <w:tcPr>
            <w:tcW w:w="1497" w:type="dxa"/>
            <w:vAlign w:val="center"/>
          </w:tcPr>
          <w:p w:rsidR="00637861" w:rsidRDefault="00762792">
            <w:pPr>
              <w:jc w:val="left"/>
            </w:pPr>
            <w:r>
              <w:rPr>
                <w:color w:val="000000"/>
                <w:sz w:val="24"/>
              </w:rPr>
              <w:t>过去一年</w:t>
            </w:r>
          </w:p>
        </w:tc>
        <w:tc>
          <w:tcPr>
            <w:tcW w:w="1251" w:type="dxa"/>
            <w:vAlign w:val="center"/>
          </w:tcPr>
          <w:p w:rsidR="00637861" w:rsidRDefault="00762792">
            <w:pPr>
              <w:jc w:val="center"/>
            </w:pPr>
            <w:r>
              <w:rPr>
                <w:color w:val="000000"/>
                <w:sz w:val="24"/>
              </w:rPr>
              <w:t>9.89%</w:t>
            </w:r>
          </w:p>
        </w:tc>
        <w:tc>
          <w:tcPr>
            <w:tcW w:w="1250" w:type="dxa"/>
            <w:vAlign w:val="center"/>
          </w:tcPr>
          <w:p w:rsidR="00637861" w:rsidRDefault="00762792">
            <w:pPr>
              <w:jc w:val="center"/>
            </w:pPr>
            <w:r>
              <w:rPr>
                <w:color w:val="000000"/>
                <w:sz w:val="24"/>
              </w:rPr>
              <w:t>0.09%</w:t>
            </w:r>
          </w:p>
        </w:tc>
        <w:tc>
          <w:tcPr>
            <w:tcW w:w="1250" w:type="dxa"/>
            <w:vAlign w:val="center"/>
          </w:tcPr>
          <w:p w:rsidR="00637861" w:rsidRDefault="00762792">
            <w:pPr>
              <w:jc w:val="center"/>
            </w:pPr>
            <w:r>
              <w:rPr>
                <w:color w:val="000000"/>
                <w:sz w:val="24"/>
              </w:rPr>
              <w:t>2.81%</w:t>
            </w:r>
          </w:p>
        </w:tc>
        <w:tc>
          <w:tcPr>
            <w:tcW w:w="1250" w:type="dxa"/>
            <w:vAlign w:val="center"/>
          </w:tcPr>
          <w:p w:rsidR="00637861" w:rsidRDefault="00762792">
            <w:pPr>
              <w:jc w:val="center"/>
            </w:pPr>
            <w:r>
              <w:rPr>
                <w:color w:val="000000"/>
                <w:sz w:val="24"/>
              </w:rPr>
              <w:t>0.06%</w:t>
            </w:r>
          </w:p>
        </w:tc>
        <w:tc>
          <w:tcPr>
            <w:tcW w:w="1250" w:type="dxa"/>
            <w:vAlign w:val="center"/>
          </w:tcPr>
          <w:p w:rsidR="00637861" w:rsidRDefault="00762792">
            <w:pPr>
              <w:jc w:val="center"/>
            </w:pPr>
            <w:r>
              <w:rPr>
                <w:color w:val="000000"/>
                <w:sz w:val="24"/>
              </w:rPr>
              <w:t>7.08%</w:t>
            </w:r>
          </w:p>
        </w:tc>
        <w:tc>
          <w:tcPr>
            <w:tcW w:w="1250" w:type="dxa"/>
            <w:vAlign w:val="center"/>
          </w:tcPr>
          <w:p w:rsidR="00637861" w:rsidRDefault="00762792">
            <w:pPr>
              <w:jc w:val="center"/>
            </w:pPr>
            <w:r>
              <w:rPr>
                <w:color w:val="000000"/>
                <w:sz w:val="24"/>
              </w:rPr>
              <w:t>0.03%</w:t>
            </w:r>
          </w:p>
        </w:tc>
      </w:tr>
      <w:tr w:rsidR="00637861">
        <w:tc>
          <w:tcPr>
            <w:tcW w:w="1497" w:type="dxa"/>
            <w:vAlign w:val="center"/>
          </w:tcPr>
          <w:p w:rsidR="00637861" w:rsidRDefault="00762792">
            <w:pPr>
              <w:jc w:val="left"/>
            </w:pPr>
            <w:r>
              <w:rPr>
                <w:color w:val="000000"/>
                <w:sz w:val="24"/>
              </w:rPr>
              <w:t>自基金合同生效起至今</w:t>
            </w:r>
          </w:p>
        </w:tc>
        <w:tc>
          <w:tcPr>
            <w:tcW w:w="1251" w:type="dxa"/>
            <w:vAlign w:val="center"/>
          </w:tcPr>
          <w:p w:rsidR="00637861" w:rsidRDefault="00762792">
            <w:pPr>
              <w:jc w:val="center"/>
            </w:pPr>
            <w:r>
              <w:rPr>
                <w:color w:val="000000"/>
                <w:sz w:val="24"/>
              </w:rPr>
              <w:t>9.50%</w:t>
            </w:r>
          </w:p>
        </w:tc>
        <w:tc>
          <w:tcPr>
            <w:tcW w:w="1250" w:type="dxa"/>
            <w:vAlign w:val="center"/>
          </w:tcPr>
          <w:p w:rsidR="00637861" w:rsidRDefault="00762792">
            <w:pPr>
              <w:jc w:val="center"/>
            </w:pPr>
            <w:r>
              <w:rPr>
                <w:color w:val="000000"/>
                <w:sz w:val="24"/>
              </w:rPr>
              <w:t>0.10%</w:t>
            </w:r>
          </w:p>
        </w:tc>
        <w:tc>
          <w:tcPr>
            <w:tcW w:w="1250" w:type="dxa"/>
            <w:vAlign w:val="center"/>
          </w:tcPr>
          <w:p w:rsidR="00637861" w:rsidRDefault="00762792">
            <w:pPr>
              <w:jc w:val="center"/>
            </w:pPr>
            <w:r>
              <w:rPr>
                <w:color w:val="000000"/>
                <w:sz w:val="24"/>
              </w:rPr>
              <w:t>3.28%</w:t>
            </w:r>
          </w:p>
        </w:tc>
        <w:tc>
          <w:tcPr>
            <w:tcW w:w="1250" w:type="dxa"/>
            <w:vAlign w:val="center"/>
          </w:tcPr>
          <w:p w:rsidR="00637861" w:rsidRDefault="00762792">
            <w:pPr>
              <w:jc w:val="center"/>
            </w:pPr>
            <w:r>
              <w:rPr>
                <w:color w:val="000000"/>
                <w:sz w:val="24"/>
              </w:rPr>
              <w:t>0.06%</w:t>
            </w:r>
          </w:p>
        </w:tc>
        <w:tc>
          <w:tcPr>
            <w:tcW w:w="1250" w:type="dxa"/>
            <w:vAlign w:val="center"/>
          </w:tcPr>
          <w:p w:rsidR="00637861" w:rsidRDefault="00762792">
            <w:pPr>
              <w:jc w:val="center"/>
            </w:pPr>
            <w:r>
              <w:rPr>
                <w:color w:val="000000"/>
                <w:sz w:val="24"/>
              </w:rPr>
              <w:t>6.22%</w:t>
            </w:r>
          </w:p>
        </w:tc>
        <w:tc>
          <w:tcPr>
            <w:tcW w:w="1250" w:type="dxa"/>
            <w:vAlign w:val="center"/>
          </w:tcPr>
          <w:p w:rsidR="00637861" w:rsidRDefault="00762792">
            <w:pPr>
              <w:jc w:val="center"/>
            </w:pPr>
            <w:r>
              <w:rPr>
                <w:color w:val="000000"/>
                <w:sz w:val="24"/>
              </w:rPr>
              <w:t>0.04%</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注：本基金的业绩比较基准为中债综合全价指数。</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交银施罗德丰晟收益债券型证券投资基金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2018</w:t>
      </w:r>
      <w:r w:rsidR="001548F9" w:rsidRPr="001B7979">
        <w:rPr>
          <w:rFonts w:ascii="Times New Roman" w:hAnsi="Times New Roman"/>
          <w:sz w:val="24"/>
          <w:szCs w:val="24"/>
        </w:rPr>
        <w:t>年</w:t>
      </w:r>
      <w:r w:rsidR="001548F9" w:rsidRPr="001B7979">
        <w:rPr>
          <w:rFonts w:ascii="Times New Roman" w:hAnsi="Times New Roman"/>
          <w:sz w:val="24"/>
          <w:szCs w:val="24"/>
        </w:rPr>
        <w:t>5</w:t>
      </w:r>
      <w:r w:rsidR="001548F9" w:rsidRPr="001B7979">
        <w:rPr>
          <w:rFonts w:ascii="Times New Roman" w:hAnsi="Times New Roman"/>
          <w:sz w:val="24"/>
          <w:szCs w:val="24"/>
        </w:rPr>
        <w:t>月</w:t>
      </w:r>
      <w:r w:rsidR="001548F9" w:rsidRPr="001B7979">
        <w:rPr>
          <w:rFonts w:ascii="Times New Roman" w:hAnsi="Times New Roman"/>
          <w:sz w:val="24"/>
          <w:szCs w:val="24"/>
        </w:rPr>
        <w:t>23</w:t>
      </w:r>
      <w:r w:rsidR="001548F9" w:rsidRPr="001B7979">
        <w:rPr>
          <w:rFonts w:ascii="Times New Roman" w:hAnsi="Times New Roman"/>
          <w:sz w:val="24"/>
          <w:szCs w:val="24"/>
        </w:rPr>
        <w:t>日至</w:t>
      </w:r>
      <w:r w:rsidRPr="001B7979">
        <w:rPr>
          <w:rFonts w:ascii="Times New Roman" w:hAnsi="Times New Roman"/>
          <w:sz w:val="24"/>
          <w:szCs w:val="24"/>
        </w:rPr>
        <w:t>2019</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交银丰晟收益债券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注：本基金基金合同生效日为</w:t>
      </w:r>
      <w:r w:rsidRPr="001B7979">
        <w:rPr>
          <w:kern w:val="0"/>
          <w:sz w:val="24"/>
        </w:rPr>
        <w:t>2018</w:t>
      </w:r>
      <w:r w:rsidRPr="001B7979">
        <w:rPr>
          <w:kern w:val="0"/>
          <w:sz w:val="24"/>
        </w:rPr>
        <w:t>年</w:t>
      </w:r>
      <w:r w:rsidRPr="001B7979">
        <w:rPr>
          <w:kern w:val="0"/>
          <w:sz w:val="24"/>
        </w:rPr>
        <w:t>5</w:t>
      </w:r>
      <w:r w:rsidRPr="001B7979">
        <w:rPr>
          <w:kern w:val="0"/>
          <w:sz w:val="24"/>
        </w:rPr>
        <w:t>月</w:t>
      </w:r>
      <w:r w:rsidRPr="001B7979">
        <w:rPr>
          <w:kern w:val="0"/>
          <w:sz w:val="24"/>
        </w:rPr>
        <w:t>23</w:t>
      </w:r>
      <w:r w:rsidRPr="001B7979">
        <w:rPr>
          <w:kern w:val="0"/>
          <w:sz w:val="24"/>
        </w:rPr>
        <w:t>日，截至报告期期末，本基金已完成建仓但报告期期末距建仓结束未满一年。本基金建仓期为自基金合同生效日起的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交银丰晟收益债券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注：本基金基金合同生效日为</w:t>
      </w:r>
      <w:r w:rsidRPr="001B7979">
        <w:rPr>
          <w:kern w:val="0"/>
          <w:sz w:val="24"/>
        </w:rPr>
        <w:t>2018</w:t>
      </w:r>
      <w:r w:rsidRPr="001B7979">
        <w:rPr>
          <w:kern w:val="0"/>
          <w:sz w:val="24"/>
        </w:rPr>
        <w:t>年</w:t>
      </w:r>
      <w:r w:rsidRPr="001B7979">
        <w:rPr>
          <w:kern w:val="0"/>
          <w:sz w:val="24"/>
        </w:rPr>
        <w:t>5</w:t>
      </w:r>
      <w:r w:rsidRPr="001B7979">
        <w:rPr>
          <w:kern w:val="0"/>
          <w:sz w:val="24"/>
        </w:rPr>
        <w:t>月</w:t>
      </w:r>
      <w:r w:rsidRPr="001B7979">
        <w:rPr>
          <w:kern w:val="0"/>
          <w:sz w:val="24"/>
        </w:rPr>
        <w:t>23</w:t>
      </w:r>
      <w:r w:rsidRPr="001B7979">
        <w:rPr>
          <w:kern w:val="0"/>
          <w:sz w:val="24"/>
        </w:rPr>
        <w:t>日，截至报告期期末，本基金已完成建仓但报告期期末距建仓结束未满一年。本基金建仓期为自基金合同生效日起的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816328"/>
      <w:r w:rsidRPr="001B7979">
        <w:rPr>
          <w:b/>
          <w:bCs/>
          <w:szCs w:val="24"/>
          <w:lang w:val="en-US"/>
        </w:rPr>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17816329"/>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637861" w:rsidRDefault="00762792">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80</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637861">
        <w:tc>
          <w:tcPr>
            <w:tcW w:w="1033" w:type="dxa"/>
            <w:vAlign w:val="center"/>
          </w:tcPr>
          <w:p w:rsidR="00637861" w:rsidRDefault="00762792">
            <w:pPr>
              <w:jc w:val="center"/>
            </w:pPr>
            <w:r>
              <w:rPr>
                <w:color w:val="000000"/>
                <w:sz w:val="24"/>
              </w:rPr>
              <w:t>于海颖</w:t>
            </w:r>
          </w:p>
        </w:tc>
        <w:tc>
          <w:tcPr>
            <w:tcW w:w="1416" w:type="dxa"/>
            <w:vAlign w:val="center"/>
          </w:tcPr>
          <w:p w:rsidR="00637861" w:rsidRDefault="00762792">
            <w:pPr>
              <w:jc w:val="center"/>
            </w:pPr>
            <w:r>
              <w:rPr>
                <w:color w:val="000000"/>
                <w:sz w:val="24"/>
              </w:rPr>
              <w:t>交银增利债券、交银纯债债券发起、交银丰盈收益债券、交银丰晟收益债券、交银裕如纯债债券的基金经理，公司固定收益（公募）投资总监</w:t>
            </w:r>
          </w:p>
        </w:tc>
        <w:tc>
          <w:tcPr>
            <w:tcW w:w="1275" w:type="dxa"/>
            <w:vAlign w:val="center"/>
          </w:tcPr>
          <w:p w:rsidR="00637861" w:rsidRDefault="00762792">
            <w:pPr>
              <w:jc w:val="center"/>
            </w:pPr>
            <w:r>
              <w:rPr>
                <w:color w:val="000000"/>
                <w:sz w:val="24"/>
              </w:rPr>
              <w:t>2018-05-23</w:t>
            </w:r>
          </w:p>
        </w:tc>
        <w:tc>
          <w:tcPr>
            <w:tcW w:w="1276" w:type="dxa"/>
            <w:vAlign w:val="center"/>
          </w:tcPr>
          <w:p w:rsidR="00637861" w:rsidRDefault="00762792">
            <w:pPr>
              <w:jc w:val="center"/>
            </w:pPr>
            <w:r>
              <w:rPr>
                <w:color w:val="000000"/>
                <w:sz w:val="24"/>
              </w:rPr>
              <w:t>-</w:t>
            </w:r>
          </w:p>
        </w:tc>
        <w:tc>
          <w:tcPr>
            <w:tcW w:w="992" w:type="dxa"/>
            <w:vAlign w:val="center"/>
          </w:tcPr>
          <w:p w:rsidR="00637861" w:rsidRDefault="00762792">
            <w:pPr>
              <w:jc w:val="center"/>
            </w:pPr>
            <w:r>
              <w:rPr>
                <w:color w:val="000000"/>
                <w:sz w:val="24"/>
              </w:rPr>
              <w:t>13</w:t>
            </w:r>
            <w:r>
              <w:rPr>
                <w:color w:val="000000"/>
                <w:sz w:val="24"/>
              </w:rPr>
              <w:t>年</w:t>
            </w:r>
          </w:p>
        </w:tc>
        <w:tc>
          <w:tcPr>
            <w:tcW w:w="3006" w:type="dxa"/>
            <w:vAlign w:val="center"/>
          </w:tcPr>
          <w:p w:rsidR="00637861" w:rsidRDefault="00762792">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r w:rsidR="00637861">
        <w:tc>
          <w:tcPr>
            <w:tcW w:w="1033" w:type="dxa"/>
            <w:vAlign w:val="center"/>
          </w:tcPr>
          <w:p w:rsidR="00637861" w:rsidRDefault="00762792">
            <w:pPr>
              <w:jc w:val="center"/>
            </w:pPr>
            <w:r>
              <w:rPr>
                <w:color w:val="000000"/>
                <w:sz w:val="24"/>
              </w:rPr>
              <w:t>魏玉敏</w:t>
            </w:r>
          </w:p>
        </w:tc>
        <w:tc>
          <w:tcPr>
            <w:tcW w:w="1416" w:type="dxa"/>
            <w:vAlign w:val="center"/>
          </w:tcPr>
          <w:p w:rsidR="00637861" w:rsidRDefault="00762792">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年农发债指数的基金经理</w:t>
            </w:r>
          </w:p>
        </w:tc>
        <w:tc>
          <w:tcPr>
            <w:tcW w:w="1275" w:type="dxa"/>
            <w:vAlign w:val="center"/>
          </w:tcPr>
          <w:p w:rsidR="00637861" w:rsidRDefault="00762792">
            <w:pPr>
              <w:jc w:val="center"/>
            </w:pPr>
            <w:r>
              <w:rPr>
                <w:color w:val="000000"/>
                <w:sz w:val="24"/>
              </w:rPr>
              <w:t>2018-08-29</w:t>
            </w:r>
          </w:p>
        </w:tc>
        <w:tc>
          <w:tcPr>
            <w:tcW w:w="1276" w:type="dxa"/>
            <w:vAlign w:val="center"/>
          </w:tcPr>
          <w:p w:rsidR="00637861" w:rsidRDefault="00762792">
            <w:pPr>
              <w:jc w:val="center"/>
            </w:pPr>
            <w:r>
              <w:rPr>
                <w:color w:val="000000"/>
                <w:sz w:val="24"/>
              </w:rPr>
              <w:t>-</w:t>
            </w:r>
          </w:p>
        </w:tc>
        <w:tc>
          <w:tcPr>
            <w:tcW w:w="992" w:type="dxa"/>
            <w:vAlign w:val="center"/>
          </w:tcPr>
          <w:p w:rsidR="00637861" w:rsidRDefault="00762792">
            <w:pPr>
              <w:jc w:val="center"/>
            </w:pPr>
            <w:r>
              <w:rPr>
                <w:color w:val="000000"/>
                <w:sz w:val="24"/>
              </w:rPr>
              <w:t>7</w:t>
            </w:r>
            <w:r>
              <w:rPr>
                <w:color w:val="000000"/>
                <w:sz w:val="24"/>
              </w:rPr>
              <w:t>年</w:t>
            </w:r>
          </w:p>
        </w:tc>
        <w:tc>
          <w:tcPr>
            <w:tcW w:w="3006" w:type="dxa"/>
            <w:vAlign w:val="center"/>
          </w:tcPr>
          <w:p w:rsidR="00637861" w:rsidRDefault="00762792">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637861" w:rsidRDefault="0076279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637861" w:rsidRDefault="00762792">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17816330"/>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17816331"/>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637861" w:rsidRDefault="00762792">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37861" w:rsidRDefault="00762792">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637861" w:rsidRDefault="00762792">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本基金于本报告期内未发现异常交易行为。本报告期内，本公司管理的所有投资组合参与的交易所公开竞价同日反向交易成交较少的单边交易量超过该证券当日总成交量</w:t>
      </w:r>
      <w:r w:rsidRPr="001B7979">
        <w:rPr>
          <w:kern w:val="0"/>
          <w:sz w:val="24"/>
        </w:rPr>
        <w:t>5%</w:t>
      </w:r>
      <w:r w:rsidRPr="001B7979">
        <w:rPr>
          <w:kern w:val="0"/>
          <w:sz w:val="24"/>
        </w:rPr>
        <w:t>的情况有</w:t>
      </w:r>
      <w:r w:rsidRPr="001B7979">
        <w:rPr>
          <w:kern w:val="0"/>
          <w:sz w:val="24"/>
        </w:rPr>
        <w:t>1</w:t>
      </w:r>
      <w:r w:rsidRPr="001B7979">
        <w:rPr>
          <w:kern w:val="0"/>
          <w:sz w:val="24"/>
        </w:rPr>
        <w:t>次，是投资组合因投资策略需要而发生同日反向交易，未发现不公平交易和利益输送的情况。本基金与本公司管理的其他投资组合在不同时间窗下（如日内、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日内）同向交易的交易价差未发现异常。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17816332"/>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637861" w:rsidRDefault="00762792">
      <w:pPr>
        <w:spacing w:before="29" w:line="288" w:lineRule="auto"/>
        <w:ind w:firstLineChars="200" w:firstLine="480"/>
        <w:rPr>
          <w:kern w:val="0"/>
          <w:sz w:val="24"/>
        </w:rPr>
      </w:pPr>
      <w:r>
        <w:rPr>
          <w:kern w:val="0"/>
          <w:sz w:val="24"/>
        </w:rPr>
        <w:t>2019</w:t>
      </w:r>
      <w:r>
        <w:rPr>
          <w:kern w:val="0"/>
          <w:sz w:val="24"/>
        </w:rPr>
        <w:t>年上半年宏观经济和债券市场均处于震荡波动中，债券收益率呈现先上后下走势。今年年初以来债券市场的交易逻辑从去年的</w:t>
      </w:r>
      <w:r>
        <w:rPr>
          <w:kern w:val="0"/>
          <w:sz w:val="24"/>
        </w:rPr>
        <w:t>“</w:t>
      </w:r>
      <w:r>
        <w:rPr>
          <w:kern w:val="0"/>
          <w:sz w:val="24"/>
        </w:rPr>
        <w:t>宽货币紧信用</w:t>
      </w:r>
      <w:r>
        <w:rPr>
          <w:kern w:val="0"/>
          <w:sz w:val="24"/>
        </w:rPr>
        <w:t>”</w:t>
      </w:r>
      <w:r>
        <w:rPr>
          <w:kern w:val="0"/>
          <w:sz w:val="24"/>
        </w:rPr>
        <w:t>逐步转向</w:t>
      </w:r>
      <w:r>
        <w:rPr>
          <w:kern w:val="0"/>
          <w:sz w:val="24"/>
        </w:rPr>
        <w:t>“</w:t>
      </w:r>
      <w:r>
        <w:rPr>
          <w:kern w:val="0"/>
          <w:sz w:val="24"/>
        </w:rPr>
        <w:t>宽货币宽信用</w:t>
      </w:r>
      <w:r>
        <w:rPr>
          <w:kern w:val="0"/>
          <w:sz w:val="24"/>
        </w:rPr>
        <w:t>”</w:t>
      </w:r>
      <w:r>
        <w:rPr>
          <w:kern w:val="0"/>
          <w:sz w:val="24"/>
        </w:rPr>
        <w:t>，随着经济托底政策的推进，市场对前期经济的悲观预期明显修复，债券收益率震荡上行。进入四月，经济数据大幅超预期，在央行辟谣降准后，货币政策宽松的预期出现动摇，资金面边际收敛、再加上股市上涨的多重利空之下，现券收益率加速上行。五月之后，中美贸易摩擦再度升级，风险偏好大幅回落，央行随即定向降准。随后出台的经济数据较前期明显走弱，尤其是信贷社融大幅低于预期，带动债券收益率震荡下行。</w:t>
      </w:r>
    </w:p>
    <w:p w:rsidR="00C02A8F" w:rsidRPr="001B7979" w:rsidRDefault="00C02A8F" w:rsidP="00571B8A">
      <w:pPr>
        <w:spacing w:before="29" w:line="288" w:lineRule="auto"/>
        <w:ind w:firstLineChars="200" w:firstLine="480"/>
        <w:rPr>
          <w:kern w:val="0"/>
          <w:sz w:val="24"/>
        </w:rPr>
      </w:pPr>
      <w:r w:rsidRPr="001B7979">
        <w:rPr>
          <w:kern w:val="0"/>
          <w:sz w:val="24"/>
        </w:rPr>
        <w:t>报告期内，本基金采用久期匹配策略配置信用债，并根据市场情况适时优化组合持仓。本基金以信用债为主要配置，充分利用杠杆，获得稳定的票息和杠杆收益。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17816333"/>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2019</w:t>
      </w:r>
      <w:r w:rsidRPr="001B7979">
        <w:rPr>
          <w:kern w:val="0"/>
          <w:sz w:val="24"/>
        </w:rPr>
        <w:t>年下半年，基本面仍是债市的核心影响因素，在逆周期政策压力之下，货币政策难以明显收紧，宽信用政策效果始终受到稳定宏观杠杆率的上限约束。后续稳增长发力需要更多依靠财政政策，但在财政支出前置、地方政府隐性债务监管之下，资金来源问题需要更多解决途径。在政策托而不举的思路下，经济或延续缓慢下行的趋势，三季度或随着名义增速回落，债券收益率仍有一定下行空间，但之后则需要关注经济企稳预期和通胀回升压力。操作策略方面，组合将维持久期匹配的套息策略，通过对资金面的预判，尽力控制组合资金成本，以期获得较好的票息和杠杆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17816334"/>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637861" w:rsidRDefault="00762792">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637861" w:rsidRDefault="00762792">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17816335"/>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637861" w:rsidRDefault="00762792">
      <w:pPr>
        <w:spacing w:before="29" w:line="288" w:lineRule="auto"/>
        <w:ind w:firstLineChars="200" w:firstLine="480"/>
        <w:rPr>
          <w:kern w:val="0"/>
          <w:sz w:val="24"/>
        </w:rPr>
      </w:pPr>
      <w:r>
        <w:rPr>
          <w:kern w:val="0"/>
          <w:sz w:val="24"/>
        </w:rPr>
        <w:t>根据相关法律法规和基金合同要求，本基金本报告期内对上一年度应分配的可分配利润进行了收益分配，具体情况参见</w:t>
      </w:r>
      <w:r>
        <w:rPr>
          <w:kern w:val="0"/>
          <w:sz w:val="24"/>
        </w:rPr>
        <w:t>6.4.11</w:t>
      </w:r>
      <w:r>
        <w:rPr>
          <w:kern w:val="0"/>
          <w:sz w:val="24"/>
        </w:rPr>
        <w:t>利润分配情况。</w:t>
      </w:r>
    </w:p>
    <w:p w:rsidR="001548F9" w:rsidRDefault="001548F9" w:rsidP="00571B8A">
      <w:pPr>
        <w:spacing w:before="29" w:line="288" w:lineRule="auto"/>
        <w:ind w:firstLineChars="200" w:firstLine="480"/>
        <w:rPr>
          <w:kern w:val="0"/>
          <w:sz w:val="24"/>
        </w:rPr>
      </w:pPr>
      <w:r w:rsidRPr="001B7979">
        <w:rPr>
          <w:kern w:val="0"/>
          <w:sz w:val="24"/>
        </w:rPr>
        <w:t>本基金未对本报告期内利润进行分配。</w:t>
      </w:r>
    </w:p>
    <w:p w:rsidR="002423EB" w:rsidRPr="001B7979" w:rsidRDefault="002423EB" w:rsidP="00571B8A">
      <w:pPr>
        <w:spacing w:before="29" w:line="288" w:lineRule="auto"/>
        <w:ind w:firstLineChars="200" w:firstLine="480"/>
        <w:rPr>
          <w:kern w:val="0"/>
          <w:sz w:val="24"/>
        </w:rPr>
      </w:pPr>
    </w:p>
    <w:p w:rsidR="004D7B20" w:rsidRPr="001B7979" w:rsidRDefault="004D7B20" w:rsidP="004D7B20">
      <w:pPr>
        <w:pStyle w:val="20"/>
        <w:spacing w:before="29" w:after="0" w:line="288" w:lineRule="auto"/>
        <w:rPr>
          <w:rFonts w:ascii="Times New Roman" w:hAnsi="Times New Roman"/>
          <w:kern w:val="0"/>
          <w:szCs w:val="24"/>
        </w:rPr>
      </w:pPr>
      <w:bookmarkStart w:id="39" w:name="_Toc17816336"/>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816337"/>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17816338"/>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8E67C2" w:rsidP="00571B8A">
      <w:pPr>
        <w:spacing w:before="29" w:line="288" w:lineRule="auto"/>
        <w:ind w:firstLineChars="200" w:firstLine="480"/>
        <w:rPr>
          <w:kern w:val="0"/>
          <w:sz w:val="24"/>
        </w:rPr>
      </w:pPr>
      <w:r w:rsidRPr="001B7979">
        <w:rPr>
          <w:kern w:val="0"/>
          <w:sz w:val="24"/>
        </w:rPr>
        <w:t>托管人声明，招商银行具备完善的公司治理结构、内部稽核监控制度和风险控制制度，我行在履行托管职责中，严格遵守有关法律法规、托管协议的规定，尽职尽责地履行托管义务并安全保管托管资产。</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17816339"/>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8E67C2" w:rsidRDefault="008E67C2" w:rsidP="008E67C2">
      <w:pPr>
        <w:spacing w:before="29" w:line="288" w:lineRule="auto"/>
        <w:ind w:firstLineChars="200" w:firstLine="480"/>
        <w:rPr>
          <w:kern w:val="0"/>
          <w:sz w:val="24"/>
        </w:rPr>
      </w:pPr>
      <w:r>
        <w:rPr>
          <w:kern w:val="0"/>
          <w:sz w:val="24"/>
        </w:rPr>
        <w:t>招商银行根据法律法规、托管协议约定的投资监督条款，对托管产品的投资行为进行监督，并根据监管要求履行报告义务。</w:t>
      </w:r>
    </w:p>
    <w:p w:rsidR="008E67C2" w:rsidRDefault="008E67C2" w:rsidP="008E67C2">
      <w:pPr>
        <w:spacing w:before="29" w:line="288" w:lineRule="auto"/>
        <w:ind w:firstLineChars="200" w:firstLine="480"/>
        <w:rPr>
          <w:kern w:val="0"/>
          <w:sz w:val="24"/>
        </w:rPr>
      </w:pPr>
      <w:r>
        <w:rPr>
          <w:kern w:val="0"/>
          <w:sz w:val="24"/>
        </w:rPr>
        <w:t>招商银行按照托管协议约定的统一记账方法和会计处理原则，独立地设置、登录和保管本产品的全套账册，进行会计核算和资产估值并与管理人建立对账机制。</w:t>
      </w:r>
    </w:p>
    <w:p w:rsidR="001548F9" w:rsidRPr="001B7979" w:rsidRDefault="008E67C2" w:rsidP="008E67C2">
      <w:pPr>
        <w:spacing w:before="29" w:line="288" w:lineRule="auto"/>
        <w:ind w:firstLineChars="200" w:firstLine="480"/>
        <w:rPr>
          <w:kern w:val="0"/>
          <w:sz w:val="24"/>
        </w:rPr>
      </w:pPr>
      <w:r w:rsidRPr="001B7979">
        <w:rPr>
          <w:kern w:val="0"/>
          <w:sz w:val="24"/>
        </w:rPr>
        <w:t>本半年度报告中利润分配情况真实、准确。</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17816340"/>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6"/>
      <w:bookmarkEnd w:id="47"/>
    </w:p>
    <w:p w:rsidR="001548F9" w:rsidRPr="001B7979" w:rsidRDefault="008E67C2" w:rsidP="00571B8A">
      <w:pPr>
        <w:spacing w:before="29" w:line="288" w:lineRule="auto"/>
        <w:ind w:firstLineChars="200" w:firstLine="480"/>
        <w:rPr>
          <w:kern w:val="0"/>
          <w:sz w:val="24"/>
        </w:rPr>
      </w:pPr>
      <w:r w:rsidRPr="001B7979">
        <w:rPr>
          <w:kern w:val="0"/>
          <w:sz w:val="24"/>
        </w:rPr>
        <w:t>本半年度报告中财务指标、净值表现、财务会计报告、投资组合报告内容真实、准确，不存在虚假记载、误导性陈述或者重大遗漏。</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8" w:name="_Toc17816341"/>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17816342"/>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会计主体：交银施罗德丰晟收益债券型证券投资基金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591,102.90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517,687.20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19,791,975.40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21,090,963.23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556.17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9,852.42</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656,943,100.00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668,423,400.00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656,943,100.00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668,423,400.00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263,663.48</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12,424,781.04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12,582,627.36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689,751,515.51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702,888,193.69</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335,059,410.91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348,055,594.42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28,668.63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232,420.87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240,539.19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43,578.92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45,101.10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407.19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421.14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15,688.22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9,306.82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102,674.04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74,359.43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150,689.58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46,944.63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96,819.96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309,300.00</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335,730,358.32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348,781,566.73</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331,589,908.23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331,589,908.23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22,431,248.96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22,516,718.73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354,021,157.19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354,106,626.96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689,751,515.51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702,888,193.69</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1.0677</w:t>
      </w:r>
      <w:r w:rsidRPr="001B7979">
        <w:rPr>
          <w:kern w:val="0"/>
          <w:sz w:val="24"/>
        </w:rPr>
        <w:t>元，</w:t>
      </w:r>
      <w:r w:rsidRPr="001B7979">
        <w:rPr>
          <w:kern w:val="0"/>
          <w:sz w:val="24"/>
        </w:rPr>
        <w:t>C</w:t>
      </w:r>
      <w:r w:rsidRPr="001B7979">
        <w:rPr>
          <w:kern w:val="0"/>
          <w:sz w:val="24"/>
        </w:rPr>
        <w:t>类基金份额净值</w:t>
      </w:r>
      <w:r w:rsidRPr="001B7979">
        <w:rPr>
          <w:kern w:val="0"/>
          <w:sz w:val="24"/>
        </w:rPr>
        <w:t>1.0645</w:t>
      </w:r>
      <w:r w:rsidRPr="001B7979">
        <w:rPr>
          <w:kern w:val="0"/>
          <w:sz w:val="24"/>
        </w:rPr>
        <w:t>元，基金份额总额</w:t>
      </w:r>
      <w:r w:rsidRPr="001B7979">
        <w:rPr>
          <w:kern w:val="0"/>
          <w:sz w:val="24"/>
        </w:rPr>
        <w:t>331,589,908.23</w:t>
      </w:r>
      <w:r w:rsidRPr="001B7979">
        <w:rPr>
          <w:kern w:val="0"/>
          <w:sz w:val="24"/>
        </w:rPr>
        <w:t>份，其中</w:t>
      </w:r>
      <w:r w:rsidRPr="001B7979">
        <w:rPr>
          <w:kern w:val="0"/>
          <w:sz w:val="24"/>
        </w:rPr>
        <w:t>A</w:t>
      </w:r>
      <w:r w:rsidRPr="001B7979">
        <w:rPr>
          <w:kern w:val="0"/>
          <w:sz w:val="24"/>
        </w:rPr>
        <w:t>类基金份额</w:t>
      </w:r>
      <w:r w:rsidRPr="001B7979">
        <w:rPr>
          <w:kern w:val="0"/>
          <w:sz w:val="24"/>
        </w:rPr>
        <w:t>330,813,244.80</w:t>
      </w:r>
      <w:r w:rsidRPr="001B7979">
        <w:rPr>
          <w:kern w:val="0"/>
          <w:sz w:val="24"/>
        </w:rPr>
        <w:t>份，</w:t>
      </w:r>
      <w:r w:rsidRPr="001B7979">
        <w:rPr>
          <w:kern w:val="0"/>
          <w:sz w:val="24"/>
        </w:rPr>
        <w:t>C</w:t>
      </w:r>
      <w:r w:rsidRPr="001B7979">
        <w:rPr>
          <w:kern w:val="0"/>
          <w:sz w:val="24"/>
        </w:rPr>
        <w:t>类基金份额</w:t>
      </w:r>
      <w:r w:rsidRPr="001B7979">
        <w:rPr>
          <w:kern w:val="0"/>
          <w:sz w:val="24"/>
        </w:rPr>
        <w:t>776,663.43</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17816343"/>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交银施罗德丰晟收益债券型证券投资基金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4A1B56" w:rsidRDefault="001548F9" w:rsidP="00571B8A">
            <w:pPr>
              <w:pStyle w:val="af6"/>
              <w:spacing w:before="29" w:beforeAutospacing="0" w:after="0" w:afterAutospacing="0" w:line="288" w:lineRule="auto"/>
              <w:jc w:val="center"/>
              <w:rPr>
                <w:rFonts w:ascii="Times New Roman" w:hAnsi="Times New Roman"/>
                <w:b/>
                <w:color w:val="000000"/>
              </w:rPr>
            </w:pPr>
            <w:r w:rsidRPr="004A1B56">
              <w:rPr>
                <w:rFonts w:ascii="Times New Roman" w:hAnsi="Times New Roman"/>
                <w:b/>
                <w:color w:val="000000"/>
              </w:rPr>
              <w:t>上年度可比期间</w:t>
            </w:r>
          </w:p>
          <w:p w:rsidR="001548F9" w:rsidRPr="004A1B56" w:rsidRDefault="001548F9" w:rsidP="00571B8A">
            <w:pPr>
              <w:pStyle w:val="af6"/>
              <w:spacing w:before="29" w:beforeAutospacing="0" w:after="0" w:afterAutospacing="0" w:line="288" w:lineRule="auto"/>
              <w:jc w:val="center"/>
              <w:rPr>
                <w:rFonts w:ascii="Times New Roman" w:hAnsi="Times New Roman"/>
                <w:color w:val="000000"/>
              </w:rPr>
            </w:pPr>
            <w:r w:rsidRPr="004A1B56">
              <w:rPr>
                <w:rFonts w:ascii="Times New Roman" w:hAnsi="Times New Roman"/>
                <w:color w:val="000000"/>
              </w:rPr>
              <w:t>2018</w:t>
            </w:r>
            <w:r w:rsidRPr="004A1B56">
              <w:rPr>
                <w:rFonts w:ascii="Times New Roman" w:hAnsi="Times New Roman"/>
                <w:color w:val="000000"/>
              </w:rPr>
              <w:t>年</w:t>
            </w:r>
            <w:r w:rsidRPr="004A1B56">
              <w:rPr>
                <w:rFonts w:ascii="Times New Roman" w:hAnsi="Times New Roman"/>
                <w:color w:val="000000"/>
              </w:rPr>
              <w:t>5</w:t>
            </w:r>
            <w:r w:rsidRPr="004A1B56">
              <w:rPr>
                <w:rFonts w:ascii="Times New Roman" w:hAnsi="Times New Roman"/>
                <w:color w:val="000000"/>
              </w:rPr>
              <w:t>月</w:t>
            </w:r>
            <w:r w:rsidRPr="004A1B56">
              <w:rPr>
                <w:rFonts w:ascii="Times New Roman" w:hAnsi="Times New Roman"/>
                <w:color w:val="000000"/>
              </w:rPr>
              <w:t>23</w:t>
            </w:r>
            <w:r w:rsidRPr="004A1B56">
              <w:rPr>
                <w:rFonts w:ascii="Times New Roman" w:hAnsi="Times New Roman"/>
                <w:color w:val="000000"/>
              </w:rPr>
              <w:t>日（基金合同生效日）至</w:t>
            </w:r>
            <w:r w:rsidRPr="004A1B56">
              <w:rPr>
                <w:rFonts w:ascii="Times New Roman" w:hAnsi="Times New Roman"/>
                <w:color w:val="000000"/>
              </w:rPr>
              <w:t>2018</w:t>
            </w:r>
            <w:r w:rsidRPr="004A1B56">
              <w:rPr>
                <w:rFonts w:ascii="Times New Roman" w:hAnsi="Times New Roman"/>
                <w:color w:val="000000"/>
              </w:rPr>
              <w:t>年</w:t>
            </w:r>
            <w:r w:rsidRPr="004A1B56">
              <w:rPr>
                <w:rFonts w:ascii="Times New Roman" w:hAnsi="Times New Roman"/>
                <w:color w:val="000000"/>
              </w:rPr>
              <w:t>6</w:t>
            </w:r>
            <w:r w:rsidRPr="004A1B56">
              <w:rPr>
                <w:rFonts w:ascii="Times New Roman" w:hAnsi="Times New Roman"/>
                <w:color w:val="000000"/>
              </w:rPr>
              <w:t>月</w:t>
            </w:r>
            <w:r w:rsidRPr="004A1B56">
              <w:rPr>
                <w:rFonts w:ascii="Times New Roman" w:hAnsi="Times New Roman"/>
                <w:color w:val="000000"/>
              </w:rPr>
              <w:t>30</w:t>
            </w:r>
            <w:r w:rsidRPr="004A1B56">
              <w:rPr>
                <w:rFonts w:ascii="Times New Roman" w:hAnsi="Times New Roman"/>
                <w:color w:val="000000"/>
              </w:rPr>
              <w:t>日</w:t>
            </w:r>
          </w:p>
        </w:tc>
      </w:tr>
      <w:tr w:rsidR="004A1B56" w:rsidRPr="001B7979" w:rsidTr="00DF6751">
        <w:tc>
          <w:tcPr>
            <w:tcW w:w="3420" w:type="dxa"/>
            <w:vAlign w:val="center"/>
          </w:tcPr>
          <w:p w:rsidR="004A1B56" w:rsidRPr="001B7979" w:rsidRDefault="004A1B56" w:rsidP="004A1B56">
            <w:pPr>
              <w:spacing w:before="29" w:line="288" w:lineRule="auto"/>
              <w:rPr>
                <w:b/>
                <w:color w:val="000000"/>
                <w:sz w:val="24"/>
              </w:rPr>
            </w:pPr>
            <w:r w:rsidRPr="001B7979">
              <w:rPr>
                <w:b/>
                <w:color w:val="000000"/>
                <w:sz w:val="24"/>
              </w:rPr>
              <w:t>一、收入</w:t>
            </w:r>
          </w:p>
        </w:tc>
        <w:tc>
          <w:tcPr>
            <w:tcW w:w="1080" w:type="dxa"/>
            <w:vAlign w:val="center"/>
          </w:tcPr>
          <w:p w:rsidR="004A1B56" w:rsidRPr="001B7979" w:rsidRDefault="004A1B56" w:rsidP="004A1B56">
            <w:pPr>
              <w:pStyle w:val="af6"/>
              <w:jc w:val="center"/>
              <w:rPr>
                <w:rFonts w:ascii="Times New Roman" w:hAnsi="Times New Roman"/>
                <w:b/>
                <w:color w:val="000000"/>
                <w:sz w:val="21"/>
                <w:szCs w:val="21"/>
              </w:rPr>
            </w:pPr>
          </w:p>
        </w:tc>
        <w:tc>
          <w:tcPr>
            <w:tcW w:w="2250" w:type="dxa"/>
            <w:vAlign w:val="center"/>
          </w:tcPr>
          <w:p w:rsidR="004A1B56" w:rsidRPr="001B7979" w:rsidRDefault="004A1B56" w:rsidP="004A1B56">
            <w:pPr>
              <w:spacing w:before="29" w:line="288" w:lineRule="auto"/>
              <w:jc w:val="right"/>
              <w:rPr>
                <w:b/>
                <w:color w:val="000000"/>
                <w:sz w:val="24"/>
              </w:rPr>
            </w:pPr>
            <w:r w:rsidRPr="001B7979">
              <w:rPr>
                <w:b/>
                <w:color w:val="000000"/>
                <w:sz w:val="24"/>
              </w:rPr>
              <w:t>17,367,512.56</w:t>
            </w:r>
          </w:p>
        </w:tc>
        <w:tc>
          <w:tcPr>
            <w:tcW w:w="2250" w:type="dxa"/>
            <w:vAlign w:val="bottom"/>
          </w:tcPr>
          <w:p w:rsidR="004A1B56" w:rsidRPr="004A1B56" w:rsidRDefault="004A1B56" w:rsidP="004A1B56">
            <w:pPr>
              <w:spacing w:before="29" w:line="288" w:lineRule="auto"/>
              <w:jc w:val="right"/>
              <w:rPr>
                <w:b/>
                <w:color w:val="000000"/>
                <w:sz w:val="24"/>
              </w:rPr>
            </w:pPr>
            <w:r w:rsidRPr="004A1B56">
              <w:rPr>
                <w:rFonts w:hint="eastAsia"/>
                <w:b/>
                <w:color w:val="000000"/>
                <w:sz w:val="24"/>
              </w:rPr>
              <w:t>-116,523.90</w:t>
            </w:r>
          </w:p>
        </w:tc>
      </w:tr>
      <w:tr w:rsidR="004A1B56" w:rsidRPr="001B7979" w:rsidTr="00114D73">
        <w:tc>
          <w:tcPr>
            <w:tcW w:w="3420" w:type="dxa"/>
            <w:vAlign w:val="center"/>
          </w:tcPr>
          <w:p w:rsidR="004A1B56" w:rsidRPr="001B7979" w:rsidRDefault="004A1B56" w:rsidP="004A1B56">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4A1B56" w:rsidRPr="001B7979" w:rsidRDefault="004A1B56" w:rsidP="004A1B56">
            <w:pPr>
              <w:pStyle w:val="af6"/>
              <w:jc w:val="center"/>
              <w:rPr>
                <w:rFonts w:ascii="Times New Roman" w:hAnsi="Times New Roman"/>
                <w:color w:val="000000"/>
                <w:sz w:val="21"/>
                <w:szCs w:val="21"/>
              </w:rPr>
            </w:pPr>
          </w:p>
        </w:tc>
        <w:tc>
          <w:tcPr>
            <w:tcW w:w="2250" w:type="dxa"/>
            <w:vAlign w:val="center"/>
          </w:tcPr>
          <w:p w:rsidR="004A1B56" w:rsidRPr="001B7979" w:rsidRDefault="004A1B56" w:rsidP="004A1B56">
            <w:pPr>
              <w:spacing w:before="29" w:line="288" w:lineRule="auto"/>
              <w:jc w:val="right"/>
              <w:rPr>
                <w:color w:val="000000"/>
                <w:sz w:val="24"/>
              </w:rPr>
            </w:pPr>
            <w:r w:rsidRPr="001B7979">
              <w:rPr>
                <w:color w:val="000000"/>
                <w:sz w:val="24"/>
              </w:rPr>
              <w:t>15,758,048.19</w:t>
            </w:r>
          </w:p>
        </w:tc>
        <w:tc>
          <w:tcPr>
            <w:tcW w:w="2250" w:type="dxa"/>
            <w:vAlign w:val="center"/>
          </w:tcPr>
          <w:p w:rsidR="004A1B56" w:rsidRPr="004A1B56" w:rsidRDefault="004A1B56" w:rsidP="004A1B56">
            <w:pPr>
              <w:spacing w:before="29" w:line="288" w:lineRule="auto"/>
              <w:jc w:val="right"/>
              <w:rPr>
                <w:color w:val="000000"/>
                <w:sz w:val="24"/>
              </w:rPr>
            </w:pPr>
            <w:r w:rsidRPr="004A1B56">
              <w:rPr>
                <w:rFonts w:hint="eastAsia"/>
                <w:color w:val="000000"/>
                <w:sz w:val="24"/>
              </w:rPr>
              <w:t>1,866,299.83</w:t>
            </w:r>
          </w:p>
        </w:tc>
      </w:tr>
      <w:tr w:rsidR="004A1B56" w:rsidRPr="001B7979" w:rsidTr="00114D73">
        <w:tc>
          <w:tcPr>
            <w:tcW w:w="3420" w:type="dxa"/>
            <w:vAlign w:val="center"/>
          </w:tcPr>
          <w:p w:rsidR="004A1B56" w:rsidRPr="001B7979" w:rsidRDefault="004A1B56" w:rsidP="004A1B56">
            <w:pPr>
              <w:spacing w:before="29" w:line="288" w:lineRule="auto"/>
              <w:rPr>
                <w:color w:val="000000"/>
                <w:sz w:val="24"/>
              </w:rPr>
            </w:pPr>
            <w:r w:rsidRPr="001B7979">
              <w:rPr>
                <w:color w:val="000000"/>
                <w:sz w:val="24"/>
              </w:rPr>
              <w:t>其中：存款利息收入</w:t>
            </w:r>
          </w:p>
        </w:tc>
        <w:tc>
          <w:tcPr>
            <w:tcW w:w="1080" w:type="dxa"/>
            <w:vAlign w:val="center"/>
          </w:tcPr>
          <w:p w:rsidR="004A1B56" w:rsidRPr="001B7979" w:rsidRDefault="004A1B56" w:rsidP="004A1B56">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4A1B56" w:rsidRPr="001B7979" w:rsidRDefault="004A1B56" w:rsidP="004A1B56">
            <w:pPr>
              <w:spacing w:before="29" w:line="288" w:lineRule="auto"/>
              <w:jc w:val="right"/>
              <w:rPr>
                <w:color w:val="000000"/>
                <w:sz w:val="24"/>
              </w:rPr>
            </w:pPr>
            <w:r w:rsidRPr="001B7979">
              <w:rPr>
                <w:color w:val="000000"/>
                <w:sz w:val="24"/>
              </w:rPr>
              <w:t>163,555.16</w:t>
            </w:r>
          </w:p>
        </w:tc>
        <w:tc>
          <w:tcPr>
            <w:tcW w:w="2250" w:type="dxa"/>
            <w:vAlign w:val="center"/>
          </w:tcPr>
          <w:p w:rsidR="004A1B56" w:rsidRPr="004A1B56" w:rsidRDefault="004A1B56" w:rsidP="004A1B56">
            <w:pPr>
              <w:spacing w:before="29" w:line="288" w:lineRule="auto"/>
              <w:jc w:val="right"/>
              <w:rPr>
                <w:color w:val="000000"/>
                <w:sz w:val="24"/>
              </w:rPr>
            </w:pPr>
            <w:r w:rsidRPr="004A1B56">
              <w:rPr>
                <w:rFonts w:hint="eastAsia"/>
                <w:color w:val="000000"/>
                <w:sz w:val="24"/>
              </w:rPr>
              <w:t>30,663.32</w:t>
            </w:r>
          </w:p>
        </w:tc>
      </w:tr>
      <w:tr w:rsidR="00A60B4C" w:rsidRPr="001B7979" w:rsidTr="00114D73">
        <w:tc>
          <w:tcPr>
            <w:tcW w:w="3420" w:type="dxa"/>
            <w:vAlign w:val="center"/>
          </w:tcPr>
          <w:p w:rsidR="00A60B4C" w:rsidRPr="001B7979" w:rsidRDefault="00A60B4C" w:rsidP="00A60B4C">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A60B4C" w:rsidRPr="001B7979" w:rsidRDefault="00A60B4C" w:rsidP="00A60B4C">
            <w:pPr>
              <w:pStyle w:val="af6"/>
              <w:jc w:val="center"/>
              <w:rPr>
                <w:rFonts w:ascii="Times New Roman" w:hAnsi="Times New Roman"/>
                <w:color w:val="000000"/>
                <w:sz w:val="21"/>
                <w:szCs w:val="21"/>
              </w:rPr>
            </w:pPr>
          </w:p>
        </w:tc>
        <w:tc>
          <w:tcPr>
            <w:tcW w:w="2250" w:type="dxa"/>
            <w:vAlign w:val="center"/>
          </w:tcPr>
          <w:p w:rsidR="00A60B4C" w:rsidRPr="001B7979" w:rsidRDefault="00A60B4C" w:rsidP="00A60B4C">
            <w:pPr>
              <w:spacing w:before="29" w:line="288" w:lineRule="auto"/>
              <w:jc w:val="right"/>
              <w:rPr>
                <w:color w:val="000000"/>
                <w:sz w:val="24"/>
              </w:rPr>
            </w:pPr>
            <w:r w:rsidRPr="001B7979">
              <w:rPr>
                <w:color w:val="000000"/>
                <w:sz w:val="24"/>
              </w:rPr>
              <w:t>15,594,493.03</w:t>
            </w:r>
          </w:p>
        </w:tc>
        <w:tc>
          <w:tcPr>
            <w:tcW w:w="2250" w:type="dxa"/>
            <w:vAlign w:val="center"/>
          </w:tcPr>
          <w:p w:rsidR="00A60B4C" w:rsidRPr="00A60B4C" w:rsidRDefault="00A60B4C" w:rsidP="00A60B4C">
            <w:pPr>
              <w:spacing w:before="29" w:line="288" w:lineRule="auto"/>
              <w:jc w:val="right"/>
              <w:rPr>
                <w:color w:val="000000"/>
                <w:sz w:val="24"/>
              </w:rPr>
            </w:pPr>
            <w:r w:rsidRPr="00A60B4C">
              <w:rPr>
                <w:color w:val="000000"/>
                <w:sz w:val="24"/>
              </w:rPr>
              <w:t>1,742,896.93</w:t>
            </w:r>
          </w:p>
        </w:tc>
      </w:tr>
      <w:tr w:rsidR="00A60B4C" w:rsidRPr="001B7979" w:rsidTr="00114D73">
        <w:tc>
          <w:tcPr>
            <w:tcW w:w="3420" w:type="dxa"/>
            <w:vAlign w:val="center"/>
          </w:tcPr>
          <w:p w:rsidR="00A60B4C" w:rsidRPr="001B7979" w:rsidRDefault="00A60B4C" w:rsidP="00A60B4C">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A60B4C" w:rsidRPr="001B7979" w:rsidRDefault="00A60B4C" w:rsidP="00A60B4C">
            <w:pPr>
              <w:pStyle w:val="af6"/>
              <w:jc w:val="center"/>
              <w:rPr>
                <w:rFonts w:ascii="Times New Roman" w:hAnsi="Times New Roman"/>
                <w:color w:val="000000"/>
                <w:sz w:val="21"/>
                <w:szCs w:val="21"/>
              </w:rPr>
            </w:pPr>
          </w:p>
        </w:tc>
        <w:tc>
          <w:tcPr>
            <w:tcW w:w="2250" w:type="dxa"/>
            <w:vAlign w:val="center"/>
          </w:tcPr>
          <w:p w:rsidR="00A60B4C" w:rsidRPr="001B7979" w:rsidRDefault="00A60B4C" w:rsidP="00A60B4C">
            <w:pPr>
              <w:spacing w:before="29" w:line="288" w:lineRule="auto"/>
              <w:jc w:val="right"/>
              <w:rPr>
                <w:color w:val="000000"/>
                <w:sz w:val="24"/>
              </w:rPr>
            </w:pPr>
            <w:r w:rsidRPr="001B7979">
              <w:rPr>
                <w:color w:val="000000"/>
                <w:sz w:val="24"/>
              </w:rPr>
              <w:t>-</w:t>
            </w:r>
          </w:p>
        </w:tc>
        <w:tc>
          <w:tcPr>
            <w:tcW w:w="2250" w:type="dxa"/>
            <w:vAlign w:val="center"/>
          </w:tcPr>
          <w:p w:rsidR="00A60B4C" w:rsidRPr="00A60B4C" w:rsidRDefault="00A60B4C" w:rsidP="00A60B4C">
            <w:pPr>
              <w:spacing w:before="29" w:line="288" w:lineRule="auto"/>
              <w:jc w:val="right"/>
              <w:rPr>
                <w:color w:val="000000"/>
                <w:sz w:val="24"/>
              </w:rPr>
            </w:pPr>
            <w:r w:rsidRPr="00A60B4C">
              <w:rPr>
                <w:color w:val="000000"/>
                <w:sz w:val="24"/>
              </w:rPr>
              <w:t>-</w:t>
            </w:r>
          </w:p>
        </w:tc>
      </w:tr>
      <w:tr w:rsidR="00A60B4C" w:rsidRPr="001B7979" w:rsidTr="00114D73">
        <w:tc>
          <w:tcPr>
            <w:tcW w:w="3420" w:type="dxa"/>
            <w:vAlign w:val="center"/>
          </w:tcPr>
          <w:p w:rsidR="00A60B4C" w:rsidRPr="001B7979" w:rsidRDefault="00A60B4C" w:rsidP="00A60B4C">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A60B4C" w:rsidRPr="001B7979" w:rsidRDefault="00A60B4C" w:rsidP="00A60B4C">
            <w:pPr>
              <w:pStyle w:val="af6"/>
              <w:jc w:val="center"/>
              <w:rPr>
                <w:rFonts w:ascii="Times New Roman" w:hAnsi="Times New Roman"/>
                <w:color w:val="000000"/>
                <w:sz w:val="21"/>
                <w:szCs w:val="21"/>
              </w:rPr>
            </w:pPr>
          </w:p>
        </w:tc>
        <w:tc>
          <w:tcPr>
            <w:tcW w:w="2250" w:type="dxa"/>
            <w:vAlign w:val="center"/>
          </w:tcPr>
          <w:p w:rsidR="00A60B4C" w:rsidRPr="001B7979" w:rsidRDefault="00A60B4C" w:rsidP="00A60B4C">
            <w:pPr>
              <w:spacing w:before="29" w:line="288" w:lineRule="auto"/>
              <w:jc w:val="right"/>
              <w:rPr>
                <w:color w:val="000000"/>
                <w:sz w:val="24"/>
              </w:rPr>
            </w:pPr>
            <w:r w:rsidRPr="001B7979">
              <w:rPr>
                <w:color w:val="000000"/>
                <w:sz w:val="24"/>
              </w:rPr>
              <w:t>-</w:t>
            </w:r>
          </w:p>
        </w:tc>
        <w:tc>
          <w:tcPr>
            <w:tcW w:w="2250" w:type="dxa"/>
            <w:vAlign w:val="center"/>
          </w:tcPr>
          <w:p w:rsidR="00A60B4C" w:rsidRPr="00A60B4C" w:rsidRDefault="00A60B4C" w:rsidP="00A60B4C">
            <w:pPr>
              <w:spacing w:before="29" w:line="288" w:lineRule="auto"/>
              <w:jc w:val="right"/>
              <w:rPr>
                <w:color w:val="000000"/>
                <w:sz w:val="24"/>
              </w:rPr>
            </w:pPr>
            <w:r w:rsidRPr="00A60B4C">
              <w:rPr>
                <w:color w:val="000000"/>
                <w:sz w:val="24"/>
              </w:rPr>
              <w:t>92,739.58</w:t>
            </w:r>
          </w:p>
        </w:tc>
      </w:tr>
      <w:tr w:rsidR="004A1B56" w:rsidRPr="001B7979" w:rsidTr="00114D73">
        <w:tc>
          <w:tcPr>
            <w:tcW w:w="3420" w:type="dxa"/>
            <w:vAlign w:val="center"/>
          </w:tcPr>
          <w:p w:rsidR="004A1B56" w:rsidRPr="001B7979" w:rsidRDefault="004A1B56" w:rsidP="004A1B56">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4A1B56" w:rsidRPr="001B7979" w:rsidRDefault="004A1B56" w:rsidP="004A1B56">
            <w:pPr>
              <w:pStyle w:val="af6"/>
              <w:jc w:val="center"/>
              <w:rPr>
                <w:rFonts w:ascii="Times New Roman" w:hAnsi="Times New Roman"/>
                <w:color w:val="000000"/>
                <w:sz w:val="21"/>
                <w:szCs w:val="21"/>
              </w:rPr>
            </w:pPr>
          </w:p>
        </w:tc>
        <w:tc>
          <w:tcPr>
            <w:tcW w:w="2250" w:type="dxa"/>
            <w:vAlign w:val="center"/>
          </w:tcPr>
          <w:p w:rsidR="004A1B56" w:rsidRPr="001B7979" w:rsidRDefault="004A1B56" w:rsidP="004A1B56">
            <w:pPr>
              <w:spacing w:before="29" w:line="288" w:lineRule="auto"/>
              <w:jc w:val="right"/>
              <w:rPr>
                <w:color w:val="000000"/>
                <w:sz w:val="24"/>
              </w:rPr>
            </w:pPr>
            <w:r w:rsidRPr="001B7979">
              <w:rPr>
                <w:color w:val="000000"/>
                <w:sz w:val="24"/>
              </w:rPr>
              <w:t>-</w:t>
            </w:r>
          </w:p>
        </w:tc>
        <w:tc>
          <w:tcPr>
            <w:tcW w:w="2250" w:type="dxa"/>
            <w:vAlign w:val="center"/>
          </w:tcPr>
          <w:p w:rsidR="004A1B56" w:rsidRPr="004A1B56" w:rsidRDefault="004A1B56" w:rsidP="004A1B56">
            <w:pPr>
              <w:spacing w:before="29" w:line="288" w:lineRule="auto"/>
              <w:jc w:val="right"/>
              <w:rPr>
                <w:color w:val="000000"/>
                <w:sz w:val="24"/>
              </w:rPr>
            </w:pPr>
            <w:r w:rsidRPr="004A1B56">
              <w:rPr>
                <w:color w:val="000000"/>
                <w:sz w:val="24"/>
              </w:rPr>
              <w:t>-</w:t>
            </w:r>
          </w:p>
        </w:tc>
      </w:tr>
      <w:tr w:rsidR="004A1B56" w:rsidRPr="001B7979" w:rsidTr="00114D73">
        <w:tc>
          <w:tcPr>
            <w:tcW w:w="3420" w:type="dxa"/>
            <w:vAlign w:val="center"/>
          </w:tcPr>
          <w:p w:rsidR="004A1B56" w:rsidRPr="001B7979" w:rsidRDefault="004A1B56" w:rsidP="004A1B56">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4A1B56" w:rsidRPr="001B7979" w:rsidRDefault="004A1B56" w:rsidP="004A1B56">
            <w:pPr>
              <w:pStyle w:val="af6"/>
              <w:jc w:val="center"/>
              <w:rPr>
                <w:rFonts w:ascii="Times New Roman" w:hAnsi="Times New Roman"/>
                <w:color w:val="000000"/>
                <w:sz w:val="21"/>
                <w:szCs w:val="21"/>
              </w:rPr>
            </w:pPr>
          </w:p>
        </w:tc>
        <w:tc>
          <w:tcPr>
            <w:tcW w:w="2250" w:type="dxa"/>
            <w:vAlign w:val="center"/>
          </w:tcPr>
          <w:p w:rsidR="004A1B56" w:rsidRPr="001B7979" w:rsidRDefault="004A1B56" w:rsidP="004A1B56">
            <w:pPr>
              <w:spacing w:before="29" w:line="288" w:lineRule="auto"/>
              <w:jc w:val="right"/>
              <w:rPr>
                <w:color w:val="000000"/>
                <w:sz w:val="24"/>
              </w:rPr>
            </w:pPr>
            <w:r w:rsidRPr="001B7979">
              <w:rPr>
                <w:color w:val="000000"/>
                <w:sz w:val="24"/>
              </w:rPr>
              <w:t>465,453.39</w:t>
            </w:r>
          </w:p>
        </w:tc>
        <w:tc>
          <w:tcPr>
            <w:tcW w:w="2250" w:type="dxa"/>
            <w:vAlign w:val="center"/>
          </w:tcPr>
          <w:p w:rsidR="004A1B56" w:rsidRPr="004A1B56" w:rsidRDefault="004A1B56" w:rsidP="004A1B56">
            <w:pPr>
              <w:spacing w:before="29" w:line="288" w:lineRule="auto"/>
              <w:jc w:val="right"/>
              <w:rPr>
                <w:color w:val="000000"/>
                <w:sz w:val="24"/>
              </w:rPr>
            </w:pPr>
            <w:r w:rsidRPr="004A1B56">
              <w:rPr>
                <w:rFonts w:hint="eastAsia"/>
                <w:color w:val="000000"/>
                <w:sz w:val="24"/>
              </w:rPr>
              <w:t>154,025.31</w:t>
            </w:r>
          </w:p>
        </w:tc>
      </w:tr>
      <w:tr w:rsidR="004A1B56" w:rsidRPr="001B7979" w:rsidTr="00114D73">
        <w:tc>
          <w:tcPr>
            <w:tcW w:w="3420" w:type="dxa"/>
            <w:vAlign w:val="center"/>
          </w:tcPr>
          <w:p w:rsidR="004A1B56" w:rsidRPr="001B7979" w:rsidRDefault="004A1B56" w:rsidP="004A1B56">
            <w:pPr>
              <w:spacing w:before="29" w:line="288" w:lineRule="auto"/>
              <w:rPr>
                <w:color w:val="000000"/>
                <w:sz w:val="24"/>
              </w:rPr>
            </w:pPr>
            <w:r w:rsidRPr="001B7979">
              <w:rPr>
                <w:color w:val="000000"/>
                <w:sz w:val="24"/>
              </w:rPr>
              <w:t>其中：股票投资收益</w:t>
            </w:r>
          </w:p>
        </w:tc>
        <w:tc>
          <w:tcPr>
            <w:tcW w:w="1080" w:type="dxa"/>
            <w:vAlign w:val="center"/>
          </w:tcPr>
          <w:p w:rsidR="004A1B56" w:rsidRPr="001B7979" w:rsidRDefault="004A1B56" w:rsidP="004A1B56">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4A1B56" w:rsidRPr="001B7979" w:rsidRDefault="004A1B56" w:rsidP="004A1B56">
            <w:pPr>
              <w:spacing w:before="29" w:line="288" w:lineRule="auto"/>
              <w:jc w:val="right"/>
              <w:rPr>
                <w:color w:val="000000"/>
                <w:sz w:val="24"/>
              </w:rPr>
            </w:pPr>
            <w:r w:rsidRPr="001B7979">
              <w:rPr>
                <w:color w:val="000000"/>
                <w:sz w:val="24"/>
              </w:rPr>
              <w:t>-</w:t>
            </w:r>
          </w:p>
        </w:tc>
        <w:tc>
          <w:tcPr>
            <w:tcW w:w="2250" w:type="dxa"/>
            <w:vAlign w:val="center"/>
          </w:tcPr>
          <w:p w:rsidR="004A1B56" w:rsidRPr="004A1B56" w:rsidRDefault="004A1B56" w:rsidP="004A1B56">
            <w:pPr>
              <w:spacing w:before="29" w:line="288" w:lineRule="auto"/>
              <w:jc w:val="right"/>
              <w:rPr>
                <w:color w:val="000000"/>
                <w:sz w:val="24"/>
              </w:rPr>
            </w:pPr>
            <w:r w:rsidRPr="004A1B56">
              <w:rPr>
                <w:color w:val="000000"/>
                <w:sz w:val="24"/>
              </w:rPr>
              <w:t>-</w:t>
            </w:r>
          </w:p>
        </w:tc>
      </w:tr>
      <w:tr w:rsidR="004A1B56" w:rsidRPr="001B7979" w:rsidTr="00114D73">
        <w:tc>
          <w:tcPr>
            <w:tcW w:w="3420" w:type="dxa"/>
            <w:vAlign w:val="center"/>
          </w:tcPr>
          <w:p w:rsidR="004A1B56" w:rsidRPr="001B7979" w:rsidRDefault="004A1B56" w:rsidP="004A1B56">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4A1B56" w:rsidRPr="001B7979" w:rsidRDefault="004A1B56" w:rsidP="004A1B56">
            <w:pPr>
              <w:pStyle w:val="af6"/>
              <w:jc w:val="center"/>
              <w:rPr>
                <w:rFonts w:ascii="Times New Roman" w:hAnsi="Times New Roman"/>
                <w:color w:val="000000"/>
                <w:sz w:val="21"/>
                <w:szCs w:val="21"/>
              </w:rPr>
            </w:pPr>
          </w:p>
        </w:tc>
        <w:tc>
          <w:tcPr>
            <w:tcW w:w="2250" w:type="dxa"/>
            <w:vAlign w:val="center"/>
          </w:tcPr>
          <w:p w:rsidR="004A1B56" w:rsidRPr="001B7979" w:rsidRDefault="004A1B56" w:rsidP="004A1B56">
            <w:pPr>
              <w:spacing w:before="29" w:line="288" w:lineRule="auto"/>
              <w:jc w:val="right"/>
              <w:rPr>
                <w:color w:val="000000"/>
                <w:sz w:val="24"/>
              </w:rPr>
            </w:pPr>
            <w:r w:rsidRPr="001B7979">
              <w:rPr>
                <w:color w:val="000000"/>
                <w:sz w:val="24"/>
              </w:rPr>
              <w:t>-</w:t>
            </w:r>
          </w:p>
        </w:tc>
        <w:tc>
          <w:tcPr>
            <w:tcW w:w="2250" w:type="dxa"/>
            <w:vAlign w:val="center"/>
          </w:tcPr>
          <w:p w:rsidR="004A1B56" w:rsidRPr="004A1B56" w:rsidRDefault="004A1B56" w:rsidP="004A1B56">
            <w:pPr>
              <w:spacing w:before="29" w:line="288" w:lineRule="auto"/>
              <w:jc w:val="right"/>
              <w:rPr>
                <w:color w:val="000000"/>
                <w:sz w:val="24"/>
              </w:rPr>
            </w:pPr>
            <w:r w:rsidRPr="004A1B56">
              <w:rPr>
                <w:color w:val="000000"/>
                <w:sz w:val="24"/>
              </w:rPr>
              <w:t>-</w:t>
            </w:r>
          </w:p>
        </w:tc>
      </w:tr>
      <w:tr w:rsidR="004A1B56" w:rsidRPr="001B7979" w:rsidTr="00114D73">
        <w:tc>
          <w:tcPr>
            <w:tcW w:w="3420" w:type="dxa"/>
            <w:vAlign w:val="center"/>
          </w:tcPr>
          <w:p w:rsidR="004A1B56" w:rsidRPr="001B7979" w:rsidRDefault="004A1B56" w:rsidP="004A1B56">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4A1B56" w:rsidRPr="001B7979" w:rsidRDefault="004A1B56" w:rsidP="004A1B56">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4A1B56" w:rsidRPr="001B7979" w:rsidRDefault="004A1B56" w:rsidP="004A1B56">
            <w:pPr>
              <w:spacing w:before="29" w:line="288" w:lineRule="auto"/>
              <w:jc w:val="right"/>
              <w:rPr>
                <w:color w:val="000000"/>
                <w:sz w:val="24"/>
              </w:rPr>
            </w:pPr>
            <w:r w:rsidRPr="001B7979">
              <w:rPr>
                <w:color w:val="000000"/>
                <w:sz w:val="24"/>
              </w:rPr>
              <w:t>465,453.39</w:t>
            </w:r>
          </w:p>
        </w:tc>
        <w:tc>
          <w:tcPr>
            <w:tcW w:w="2250" w:type="dxa"/>
            <w:vAlign w:val="center"/>
          </w:tcPr>
          <w:p w:rsidR="004A1B56" w:rsidRPr="004A1B56" w:rsidRDefault="004A1B56" w:rsidP="004A1B56">
            <w:pPr>
              <w:spacing w:before="29" w:line="288" w:lineRule="auto"/>
              <w:jc w:val="right"/>
              <w:rPr>
                <w:color w:val="000000"/>
                <w:sz w:val="24"/>
              </w:rPr>
            </w:pPr>
            <w:r w:rsidRPr="004A1B56">
              <w:rPr>
                <w:rFonts w:hint="eastAsia"/>
                <w:color w:val="000000"/>
                <w:sz w:val="24"/>
              </w:rPr>
              <w:t>154,025.31</w:t>
            </w:r>
          </w:p>
        </w:tc>
      </w:tr>
      <w:tr w:rsidR="004A1B56" w:rsidRPr="001B7979" w:rsidTr="00114D73">
        <w:tc>
          <w:tcPr>
            <w:tcW w:w="3420" w:type="dxa"/>
            <w:vAlign w:val="center"/>
          </w:tcPr>
          <w:p w:rsidR="004A1B56" w:rsidRPr="001B7979" w:rsidRDefault="004A1B56" w:rsidP="004A1B56">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4A1B56" w:rsidRPr="001B7979" w:rsidRDefault="004A1B56" w:rsidP="004A1B56">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4A1B56" w:rsidRPr="001B7979" w:rsidRDefault="004A1B56" w:rsidP="004A1B56">
            <w:pPr>
              <w:spacing w:before="29" w:line="288" w:lineRule="auto"/>
              <w:jc w:val="right"/>
              <w:rPr>
                <w:color w:val="000000"/>
                <w:sz w:val="24"/>
              </w:rPr>
            </w:pPr>
            <w:r w:rsidRPr="001B7979">
              <w:rPr>
                <w:color w:val="000000"/>
                <w:sz w:val="24"/>
              </w:rPr>
              <w:t>-</w:t>
            </w:r>
          </w:p>
        </w:tc>
        <w:tc>
          <w:tcPr>
            <w:tcW w:w="2250" w:type="dxa"/>
            <w:vAlign w:val="center"/>
          </w:tcPr>
          <w:p w:rsidR="004A1B56" w:rsidRPr="004A1B56" w:rsidRDefault="004A1B56" w:rsidP="004A1B56">
            <w:pPr>
              <w:spacing w:before="29" w:line="288" w:lineRule="auto"/>
              <w:jc w:val="right"/>
              <w:rPr>
                <w:color w:val="000000"/>
                <w:sz w:val="24"/>
              </w:rPr>
            </w:pPr>
            <w:r w:rsidRPr="004A1B56">
              <w:rPr>
                <w:color w:val="000000"/>
                <w:sz w:val="24"/>
              </w:rPr>
              <w:t>-</w:t>
            </w:r>
          </w:p>
        </w:tc>
      </w:tr>
      <w:tr w:rsidR="004A1B56" w:rsidRPr="001B7979" w:rsidTr="00114D73">
        <w:tc>
          <w:tcPr>
            <w:tcW w:w="3420" w:type="dxa"/>
            <w:vAlign w:val="center"/>
          </w:tcPr>
          <w:p w:rsidR="004A1B56" w:rsidRPr="001B7979" w:rsidRDefault="004A1B56" w:rsidP="004A1B56">
            <w:pPr>
              <w:spacing w:before="29" w:line="288" w:lineRule="auto"/>
              <w:ind w:firstLineChars="300" w:firstLine="720"/>
              <w:rPr>
                <w:color w:val="000000"/>
                <w:sz w:val="24"/>
              </w:rPr>
            </w:pPr>
            <w:r w:rsidRPr="001B7979">
              <w:rPr>
                <w:sz w:val="24"/>
              </w:rPr>
              <w:t>贵金属投资收益</w:t>
            </w:r>
          </w:p>
        </w:tc>
        <w:tc>
          <w:tcPr>
            <w:tcW w:w="1080" w:type="dxa"/>
            <w:vAlign w:val="center"/>
          </w:tcPr>
          <w:p w:rsidR="004A1B56" w:rsidRPr="001B7979" w:rsidRDefault="004A1B56" w:rsidP="004A1B56">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4A1B56" w:rsidRPr="001B7979" w:rsidRDefault="004A1B56" w:rsidP="004A1B56">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4A1B56" w:rsidRPr="004A1B56" w:rsidRDefault="004A1B56" w:rsidP="004A1B56">
            <w:pPr>
              <w:spacing w:before="29" w:line="288" w:lineRule="auto"/>
              <w:jc w:val="right"/>
              <w:rPr>
                <w:color w:val="000000"/>
                <w:sz w:val="24"/>
              </w:rPr>
            </w:pPr>
            <w:r w:rsidRPr="004A1B56">
              <w:rPr>
                <w:color w:val="000000"/>
                <w:sz w:val="24"/>
              </w:rPr>
              <w:t>-</w:t>
            </w:r>
          </w:p>
        </w:tc>
      </w:tr>
      <w:tr w:rsidR="004A1B56" w:rsidRPr="001B7979" w:rsidTr="00114D73">
        <w:tc>
          <w:tcPr>
            <w:tcW w:w="3420" w:type="dxa"/>
            <w:vAlign w:val="center"/>
          </w:tcPr>
          <w:p w:rsidR="004A1B56" w:rsidRPr="001B7979" w:rsidRDefault="004A1B56" w:rsidP="004A1B56">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4A1B56" w:rsidRPr="001B7979" w:rsidRDefault="004A1B56" w:rsidP="004A1B56">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4A1B56" w:rsidRPr="001B7979" w:rsidRDefault="004A1B56" w:rsidP="004A1B56">
            <w:pPr>
              <w:spacing w:before="29" w:line="288" w:lineRule="auto"/>
              <w:jc w:val="right"/>
              <w:rPr>
                <w:color w:val="000000"/>
                <w:sz w:val="24"/>
              </w:rPr>
            </w:pPr>
            <w:r w:rsidRPr="001B7979">
              <w:rPr>
                <w:color w:val="000000"/>
                <w:sz w:val="24"/>
              </w:rPr>
              <w:t>-</w:t>
            </w:r>
          </w:p>
        </w:tc>
        <w:tc>
          <w:tcPr>
            <w:tcW w:w="2250" w:type="dxa"/>
            <w:vAlign w:val="center"/>
          </w:tcPr>
          <w:p w:rsidR="004A1B56" w:rsidRPr="004A1B56" w:rsidRDefault="004A1B56" w:rsidP="004A1B56">
            <w:pPr>
              <w:spacing w:before="29" w:line="288" w:lineRule="auto"/>
              <w:jc w:val="right"/>
              <w:rPr>
                <w:color w:val="000000"/>
                <w:sz w:val="24"/>
              </w:rPr>
            </w:pPr>
            <w:r w:rsidRPr="004A1B56">
              <w:rPr>
                <w:color w:val="000000"/>
                <w:sz w:val="24"/>
              </w:rPr>
              <w:t>-</w:t>
            </w:r>
          </w:p>
        </w:tc>
      </w:tr>
      <w:tr w:rsidR="004A1B56" w:rsidRPr="001B7979" w:rsidTr="00114D73">
        <w:tc>
          <w:tcPr>
            <w:tcW w:w="3420" w:type="dxa"/>
            <w:vAlign w:val="center"/>
          </w:tcPr>
          <w:p w:rsidR="004A1B56" w:rsidRPr="001B7979" w:rsidRDefault="004A1B56" w:rsidP="004A1B56">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4A1B56" w:rsidRPr="001B7979" w:rsidRDefault="004A1B56" w:rsidP="004A1B56">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4A1B56" w:rsidRPr="001B7979" w:rsidRDefault="004A1B56" w:rsidP="004A1B56">
            <w:pPr>
              <w:spacing w:before="29" w:line="288" w:lineRule="auto"/>
              <w:jc w:val="right"/>
              <w:rPr>
                <w:color w:val="000000"/>
                <w:sz w:val="24"/>
              </w:rPr>
            </w:pPr>
            <w:r w:rsidRPr="001B7979">
              <w:rPr>
                <w:color w:val="000000"/>
                <w:sz w:val="24"/>
              </w:rPr>
              <w:t>-</w:t>
            </w:r>
          </w:p>
        </w:tc>
        <w:tc>
          <w:tcPr>
            <w:tcW w:w="2250" w:type="dxa"/>
            <w:vAlign w:val="center"/>
          </w:tcPr>
          <w:p w:rsidR="004A1B56" w:rsidRPr="004A1B56" w:rsidRDefault="004A1B56" w:rsidP="004A1B56">
            <w:pPr>
              <w:spacing w:before="29" w:line="288" w:lineRule="auto"/>
              <w:jc w:val="right"/>
              <w:rPr>
                <w:color w:val="000000"/>
                <w:sz w:val="24"/>
              </w:rPr>
            </w:pPr>
            <w:r w:rsidRPr="004A1B56">
              <w:rPr>
                <w:color w:val="000000"/>
                <w:sz w:val="24"/>
              </w:rPr>
              <w:t>-</w:t>
            </w:r>
          </w:p>
        </w:tc>
      </w:tr>
      <w:tr w:rsidR="004A1B56" w:rsidRPr="001B7979" w:rsidTr="00114D73">
        <w:tc>
          <w:tcPr>
            <w:tcW w:w="3420" w:type="dxa"/>
            <w:vAlign w:val="center"/>
          </w:tcPr>
          <w:p w:rsidR="004A1B56" w:rsidRPr="001B7979" w:rsidRDefault="004A1B56" w:rsidP="004A1B56">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4A1B56" w:rsidRPr="001B7979" w:rsidRDefault="004A1B56" w:rsidP="004A1B56">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4A1B56" w:rsidRPr="001B7979" w:rsidRDefault="004A1B56" w:rsidP="004A1B56">
            <w:pPr>
              <w:spacing w:before="29" w:line="288" w:lineRule="auto"/>
              <w:jc w:val="right"/>
              <w:rPr>
                <w:color w:val="000000"/>
                <w:sz w:val="24"/>
              </w:rPr>
            </w:pPr>
            <w:r w:rsidRPr="001B7979">
              <w:rPr>
                <w:color w:val="000000"/>
                <w:sz w:val="24"/>
              </w:rPr>
              <w:t>1,144,010.98</w:t>
            </w:r>
          </w:p>
        </w:tc>
        <w:tc>
          <w:tcPr>
            <w:tcW w:w="2250" w:type="dxa"/>
            <w:vAlign w:val="center"/>
          </w:tcPr>
          <w:p w:rsidR="004A1B56" w:rsidRPr="004A1B56" w:rsidRDefault="004A1B56" w:rsidP="004A1B56">
            <w:pPr>
              <w:spacing w:before="29" w:line="288" w:lineRule="auto"/>
              <w:jc w:val="right"/>
              <w:rPr>
                <w:color w:val="000000"/>
                <w:sz w:val="24"/>
              </w:rPr>
            </w:pPr>
            <w:r w:rsidRPr="004A1B56">
              <w:rPr>
                <w:rFonts w:hint="eastAsia"/>
                <w:color w:val="000000"/>
                <w:sz w:val="24"/>
              </w:rPr>
              <w:t>-2,136,849.04</w:t>
            </w:r>
          </w:p>
        </w:tc>
      </w:tr>
      <w:tr w:rsidR="004A1B56" w:rsidRPr="001B7979" w:rsidTr="00114D73">
        <w:tc>
          <w:tcPr>
            <w:tcW w:w="3420" w:type="dxa"/>
            <w:vAlign w:val="center"/>
          </w:tcPr>
          <w:p w:rsidR="004A1B56" w:rsidRPr="001B7979" w:rsidRDefault="004A1B56" w:rsidP="004A1B56">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4A1B56" w:rsidRPr="001B7979" w:rsidRDefault="004A1B56" w:rsidP="004A1B56">
            <w:pPr>
              <w:pStyle w:val="af6"/>
              <w:jc w:val="center"/>
              <w:rPr>
                <w:rFonts w:ascii="Times New Roman" w:hAnsi="Times New Roman"/>
                <w:color w:val="000000"/>
                <w:sz w:val="21"/>
                <w:szCs w:val="21"/>
              </w:rPr>
            </w:pPr>
          </w:p>
        </w:tc>
        <w:tc>
          <w:tcPr>
            <w:tcW w:w="2250" w:type="dxa"/>
            <w:vAlign w:val="center"/>
          </w:tcPr>
          <w:p w:rsidR="004A1B56" w:rsidRPr="001B7979" w:rsidRDefault="004A1B56" w:rsidP="004A1B56">
            <w:pPr>
              <w:spacing w:before="29" w:line="288" w:lineRule="auto"/>
              <w:jc w:val="right"/>
              <w:rPr>
                <w:color w:val="000000"/>
                <w:sz w:val="24"/>
              </w:rPr>
            </w:pPr>
            <w:r w:rsidRPr="001B7979">
              <w:rPr>
                <w:color w:val="000000"/>
                <w:sz w:val="24"/>
              </w:rPr>
              <w:t>-</w:t>
            </w:r>
          </w:p>
        </w:tc>
        <w:tc>
          <w:tcPr>
            <w:tcW w:w="2250" w:type="dxa"/>
            <w:vAlign w:val="center"/>
          </w:tcPr>
          <w:p w:rsidR="004A1B56" w:rsidRPr="004A1B56" w:rsidRDefault="004A1B56" w:rsidP="004A1B56">
            <w:pPr>
              <w:spacing w:before="29" w:line="288" w:lineRule="auto"/>
              <w:jc w:val="right"/>
              <w:rPr>
                <w:color w:val="000000"/>
                <w:sz w:val="24"/>
              </w:rPr>
            </w:pPr>
            <w:r w:rsidRPr="004A1B56">
              <w:rPr>
                <w:color w:val="000000"/>
                <w:sz w:val="24"/>
              </w:rPr>
              <w:t>-</w:t>
            </w:r>
          </w:p>
        </w:tc>
      </w:tr>
      <w:tr w:rsidR="004A1B56" w:rsidRPr="001B7979" w:rsidTr="00114D73">
        <w:tc>
          <w:tcPr>
            <w:tcW w:w="3420" w:type="dxa"/>
            <w:vAlign w:val="center"/>
          </w:tcPr>
          <w:p w:rsidR="004A1B56" w:rsidRPr="001B7979" w:rsidRDefault="004A1B56" w:rsidP="004A1B56">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4A1B56" w:rsidRPr="001B7979" w:rsidRDefault="004A1B56" w:rsidP="004A1B56">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4A1B56" w:rsidRPr="001B7979" w:rsidRDefault="004A1B56" w:rsidP="004A1B56">
            <w:pPr>
              <w:spacing w:before="29" w:line="288" w:lineRule="auto"/>
              <w:jc w:val="right"/>
              <w:rPr>
                <w:color w:val="000000"/>
                <w:sz w:val="24"/>
              </w:rPr>
            </w:pPr>
            <w:r w:rsidRPr="001B7979">
              <w:rPr>
                <w:color w:val="000000"/>
                <w:sz w:val="24"/>
              </w:rPr>
              <w:t>-</w:t>
            </w:r>
          </w:p>
        </w:tc>
        <w:tc>
          <w:tcPr>
            <w:tcW w:w="2250" w:type="dxa"/>
            <w:vAlign w:val="center"/>
          </w:tcPr>
          <w:p w:rsidR="004A1B56" w:rsidRPr="004A1B56" w:rsidRDefault="004A1B56" w:rsidP="004A1B56">
            <w:pPr>
              <w:spacing w:before="29" w:line="288" w:lineRule="auto"/>
              <w:jc w:val="right"/>
              <w:rPr>
                <w:color w:val="000000"/>
                <w:sz w:val="24"/>
              </w:rPr>
            </w:pPr>
            <w:r w:rsidRPr="004A1B56">
              <w:rPr>
                <w:color w:val="000000"/>
                <w:sz w:val="24"/>
              </w:rPr>
              <w:t>-</w:t>
            </w:r>
          </w:p>
        </w:tc>
      </w:tr>
      <w:tr w:rsidR="004A1B56" w:rsidRPr="001B7979" w:rsidTr="00114D73">
        <w:tc>
          <w:tcPr>
            <w:tcW w:w="3420" w:type="dxa"/>
            <w:vAlign w:val="center"/>
          </w:tcPr>
          <w:p w:rsidR="004A1B56" w:rsidRPr="001B7979" w:rsidRDefault="004A1B56" w:rsidP="004A1B56">
            <w:pPr>
              <w:spacing w:before="29" w:line="288" w:lineRule="auto"/>
              <w:rPr>
                <w:b/>
                <w:color w:val="000000"/>
                <w:sz w:val="24"/>
              </w:rPr>
            </w:pPr>
            <w:r w:rsidRPr="001B7979">
              <w:rPr>
                <w:b/>
                <w:color w:val="000000"/>
                <w:sz w:val="24"/>
              </w:rPr>
              <w:t>减：二、费用</w:t>
            </w:r>
          </w:p>
        </w:tc>
        <w:tc>
          <w:tcPr>
            <w:tcW w:w="1080" w:type="dxa"/>
            <w:vAlign w:val="center"/>
          </w:tcPr>
          <w:p w:rsidR="004A1B56" w:rsidRPr="001B7979" w:rsidRDefault="004A1B56" w:rsidP="004A1B56">
            <w:pPr>
              <w:pStyle w:val="af6"/>
              <w:jc w:val="center"/>
              <w:rPr>
                <w:rFonts w:ascii="Times New Roman" w:hAnsi="Times New Roman"/>
                <w:b/>
                <w:color w:val="000000"/>
                <w:sz w:val="21"/>
                <w:szCs w:val="21"/>
              </w:rPr>
            </w:pPr>
          </w:p>
        </w:tc>
        <w:tc>
          <w:tcPr>
            <w:tcW w:w="2250" w:type="dxa"/>
            <w:vAlign w:val="center"/>
          </w:tcPr>
          <w:p w:rsidR="004A1B56" w:rsidRPr="001B7979" w:rsidRDefault="004A1B56" w:rsidP="004A1B56">
            <w:pPr>
              <w:spacing w:before="29" w:line="288" w:lineRule="auto"/>
              <w:jc w:val="right"/>
              <w:rPr>
                <w:b/>
                <w:color w:val="000000"/>
                <w:sz w:val="24"/>
              </w:rPr>
            </w:pPr>
            <w:r w:rsidRPr="001B7979">
              <w:rPr>
                <w:b/>
                <w:color w:val="000000"/>
                <w:sz w:val="24"/>
              </w:rPr>
              <w:t>6,182,031.47</w:t>
            </w:r>
          </w:p>
        </w:tc>
        <w:tc>
          <w:tcPr>
            <w:tcW w:w="2250" w:type="dxa"/>
            <w:vAlign w:val="center"/>
          </w:tcPr>
          <w:p w:rsidR="004A1B56" w:rsidRPr="004A1B56" w:rsidRDefault="004A1B56" w:rsidP="004A1B56">
            <w:pPr>
              <w:spacing w:before="29" w:line="288" w:lineRule="auto"/>
              <w:jc w:val="right"/>
              <w:rPr>
                <w:b/>
                <w:color w:val="000000"/>
                <w:sz w:val="24"/>
              </w:rPr>
            </w:pPr>
            <w:r w:rsidRPr="004A1B56">
              <w:rPr>
                <w:rFonts w:hint="eastAsia"/>
                <w:b/>
                <w:color w:val="000000"/>
                <w:sz w:val="24"/>
              </w:rPr>
              <w:t>881,928.21</w:t>
            </w:r>
          </w:p>
        </w:tc>
      </w:tr>
      <w:tr w:rsidR="004A1B56" w:rsidRPr="001B7979" w:rsidTr="00114D73">
        <w:tc>
          <w:tcPr>
            <w:tcW w:w="3420" w:type="dxa"/>
            <w:vAlign w:val="center"/>
          </w:tcPr>
          <w:p w:rsidR="004A1B56" w:rsidRPr="001B7979" w:rsidRDefault="004A1B56" w:rsidP="004A1B56">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4A1B56" w:rsidRPr="001B7979" w:rsidRDefault="004A1B56" w:rsidP="004A1B56">
            <w:pPr>
              <w:pStyle w:val="af6"/>
              <w:jc w:val="center"/>
              <w:rPr>
                <w:rFonts w:ascii="Times New Roman" w:hAnsi="Times New Roman"/>
                <w:color w:val="000000"/>
                <w:sz w:val="21"/>
                <w:szCs w:val="21"/>
              </w:rPr>
            </w:pPr>
          </w:p>
        </w:tc>
        <w:tc>
          <w:tcPr>
            <w:tcW w:w="2250" w:type="dxa"/>
            <w:vAlign w:val="center"/>
          </w:tcPr>
          <w:p w:rsidR="004A1B56" w:rsidRPr="001B7979" w:rsidRDefault="004A1B56" w:rsidP="004A1B56">
            <w:pPr>
              <w:spacing w:before="29" w:line="288" w:lineRule="auto"/>
              <w:jc w:val="right"/>
              <w:rPr>
                <w:color w:val="000000"/>
                <w:sz w:val="24"/>
              </w:rPr>
            </w:pPr>
            <w:r w:rsidRPr="001B7979">
              <w:rPr>
                <w:color w:val="000000"/>
                <w:sz w:val="24"/>
              </w:rPr>
              <w:t>1,392,653.26</w:t>
            </w:r>
          </w:p>
        </w:tc>
        <w:tc>
          <w:tcPr>
            <w:tcW w:w="2250" w:type="dxa"/>
            <w:vAlign w:val="center"/>
          </w:tcPr>
          <w:p w:rsidR="004A1B56" w:rsidRPr="004A1B56" w:rsidRDefault="004A1B56" w:rsidP="004A1B56">
            <w:pPr>
              <w:spacing w:before="29" w:line="288" w:lineRule="auto"/>
              <w:jc w:val="right"/>
              <w:rPr>
                <w:color w:val="000000"/>
                <w:sz w:val="24"/>
              </w:rPr>
            </w:pPr>
            <w:r w:rsidRPr="004A1B56">
              <w:rPr>
                <w:rFonts w:hint="eastAsia"/>
                <w:color w:val="000000"/>
                <w:sz w:val="24"/>
              </w:rPr>
              <w:t>274,355.77</w:t>
            </w:r>
          </w:p>
        </w:tc>
      </w:tr>
      <w:tr w:rsidR="004A1B56" w:rsidRPr="001B7979" w:rsidTr="00114D73">
        <w:tc>
          <w:tcPr>
            <w:tcW w:w="3420" w:type="dxa"/>
            <w:vAlign w:val="center"/>
          </w:tcPr>
          <w:p w:rsidR="004A1B56" w:rsidRPr="001B7979" w:rsidRDefault="004A1B56" w:rsidP="004A1B56">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4A1B56" w:rsidRPr="001B7979" w:rsidRDefault="004A1B56" w:rsidP="004A1B56">
            <w:pPr>
              <w:pStyle w:val="af6"/>
              <w:jc w:val="center"/>
              <w:rPr>
                <w:rFonts w:ascii="Times New Roman" w:hAnsi="Times New Roman"/>
                <w:color w:val="000000"/>
                <w:sz w:val="21"/>
                <w:szCs w:val="21"/>
              </w:rPr>
            </w:pPr>
          </w:p>
        </w:tc>
        <w:tc>
          <w:tcPr>
            <w:tcW w:w="2250" w:type="dxa"/>
            <w:vAlign w:val="center"/>
          </w:tcPr>
          <w:p w:rsidR="004A1B56" w:rsidRPr="001B7979" w:rsidRDefault="004A1B56" w:rsidP="004A1B56">
            <w:pPr>
              <w:spacing w:before="29" w:line="288" w:lineRule="auto"/>
              <w:jc w:val="right"/>
              <w:rPr>
                <w:color w:val="000000"/>
                <w:sz w:val="24"/>
              </w:rPr>
            </w:pPr>
            <w:r w:rsidRPr="001B7979">
              <w:rPr>
                <w:color w:val="000000"/>
                <w:sz w:val="24"/>
              </w:rPr>
              <w:t>261,122.49</w:t>
            </w:r>
          </w:p>
        </w:tc>
        <w:tc>
          <w:tcPr>
            <w:tcW w:w="2250" w:type="dxa"/>
            <w:vAlign w:val="center"/>
          </w:tcPr>
          <w:p w:rsidR="004A1B56" w:rsidRPr="004A1B56" w:rsidRDefault="004A1B56" w:rsidP="004A1B56">
            <w:pPr>
              <w:spacing w:before="29" w:line="288" w:lineRule="auto"/>
              <w:jc w:val="right"/>
              <w:rPr>
                <w:color w:val="000000"/>
                <w:sz w:val="24"/>
              </w:rPr>
            </w:pPr>
            <w:r w:rsidRPr="004A1B56">
              <w:rPr>
                <w:rFonts w:hint="eastAsia"/>
                <w:color w:val="000000"/>
                <w:sz w:val="24"/>
              </w:rPr>
              <w:t>51,441.71</w:t>
            </w:r>
          </w:p>
        </w:tc>
      </w:tr>
      <w:tr w:rsidR="004A1B56" w:rsidRPr="001B7979" w:rsidTr="00114D73">
        <w:tc>
          <w:tcPr>
            <w:tcW w:w="3420" w:type="dxa"/>
            <w:vAlign w:val="center"/>
          </w:tcPr>
          <w:p w:rsidR="004A1B56" w:rsidRPr="001B7979" w:rsidRDefault="004A1B56" w:rsidP="004A1B56">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4A1B56" w:rsidRPr="001B7979" w:rsidRDefault="004A1B56" w:rsidP="004A1B56">
            <w:pPr>
              <w:pStyle w:val="af6"/>
              <w:jc w:val="center"/>
              <w:rPr>
                <w:rFonts w:ascii="Times New Roman" w:hAnsi="Times New Roman"/>
                <w:color w:val="000000"/>
                <w:sz w:val="21"/>
                <w:szCs w:val="21"/>
              </w:rPr>
            </w:pPr>
          </w:p>
        </w:tc>
        <w:tc>
          <w:tcPr>
            <w:tcW w:w="2250" w:type="dxa"/>
            <w:vAlign w:val="center"/>
          </w:tcPr>
          <w:p w:rsidR="004A1B56" w:rsidRPr="001B7979" w:rsidRDefault="004A1B56" w:rsidP="004A1B56">
            <w:pPr>
              <w:spacing w:before="29" w:line="288" w:lineRule="auto"/>
              <w:jc w:val="right"/>
              <w:rPr>
                <w:color w:val="000000"/>
                <w:sz w:val="24"/>
              </w:rPr>
            </w:pPr>
            <w:r w:rsidRPr="001B7979">
              <w:rPr>
                <w:color w:val="000000"/>
                <w:sz w:val="24"/>
              </w:rPr>
              <w:t>2,442.29</w:t>
            </w:r>
          </w:p>
        </w:tc>
        <w:tc>
          <w:tcPr>
            <w:tcW w:w="2250" w:type="dxa"/>
            <w:vAlign w:val="center"/>
          </w:tcPr>
          <w:p w:rsidR="004A1B56" w:rsidRPr="004A1B56" w:rsidRDefault="004A1B56" w:rsidP="004A1B56">
            <w:pPr>
              <w:spacing w:before="29" w:line="288" w:lineRule="auto"/>
              <w:jc w:val="right"/>
              <w:rPr>
                <w:color w:val="000000"/>
                <w:sz w:val="24"/>
              </w:rPr>
            </w:pPr>
            <w:r w:rsidRPr="004A1B56">
              <w:rPr>
                <w:rFonts w:hint="eastAsia"/>
                <w:color w:val="000000"/>
                <w:sz w:val="24"/>
              </w:rPr>
              <w:t>481.81</w:t>
            </w:r>
          </w:p>
        </w:tc>
      </w:tr>
      <w:tr w:rsidR="004A1B56" w:rsidRPr="001B7979" w:rsidTr="00114D73">
        <w:tc>
          <w:tcPr>
            <w:tcW w:w="3420" w:type="dxa"/>
            <w:vAlign w:val="center"/>
          </w:tcPr>
          <w:p w:rsidR="004A1B56" w:rsidRPr="001B7979" w:rsidRDefault="004A1B56" w:rsidP="004A1B56">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4A1B56" w:rsidRPr="001B7979" w:rsidRDefault="004A1B56" w:rsidP="004A1B56">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4A1B56" w:rsidRPr="001B7979" w:rsidRDefault="004A1B56" w:rsidP="004A1B56">
            <w:pPr>
              <w:spacing w:before="29" w:line="288" w:lineRule="auto"/>
              <w:jc w:val="right"/>
              <w:rPr>
                <w:color w:val="000000"/>
                <w:sz w:val="24"/>
              </w:rPr>
            </w:pPr>
            <w:r w:rsidRPr="001B7979">
              <w:rPr>
                <w:color w:val="000000"/>
                <w:sz w:val="24"/>
              </w:rPr>
              <w:t>178.12</w:t>
            </w:r>
          </w:p>
        </w:tc>
        <w:tc>
          <w:tcPr>
            <w:tcW w:w="2250" w:type="dxa"/>
            <w:vAlign w:val="center"/>
          </w:tcPr>
          <w:p w:rsidR="004A1B56" w:rsidRPr="004A1B56" w:rsidRDefault="004A1B56" w:rsidP="004A1B56">
            <w:pPr>
              <w:spacing w:before="29" w:line="288" w:lineRule="auto"/>
              <w:jc w:val="right"/>
              <w:rPr>
                <w:color w:val="000000"/>
                <w:sz w:val="24"/>
              </w:rPr>
            </w:pPr>
            <w:r w:rsidRPr="004A1B56">
              <w:rPr>
                <w:rFonts w:hint="eastAsia"/>
                <w:color w:val="000000"/>
                <w:sz w:val="24"/>
              </w:rPr>
              <w:t>4,429.08</w:t>
            </w:r>
          </w:p>
        </w:tc>
      </w:tr>
      <w:tr w:rsidR="004A1B56" w:rsidRPr="001B7979" w:rsidTr="00114D73">
        <w:tc>
          <w:tcPr>
            <w:tcW w:w="3420" w:type="dxa"/>
            <w:vAlign w:val="center"/>
          </w:tcPr>
          <w:p w:rsidR="004A1B56" w:rsidRPr="001B7979" w:rsidRDefault="004A1B56" w:rsidP="004A1B56">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4A1B56" w:rsidRPr="001B7979" w:rsidRDefault="004A1B56" w:rsidP="004A1B56">
            <w:pPr>
              <w:pStyle w:val="af6"/>
              <w:jc w:val="center"/>
              <w:rPr>
                <w:rFonts w:ascii="Times New Roman" w:hAnsi="Times New Roman"/>
                <w:color w:val="000000"/>
                <w:sz w:val="21"/>
                <w:szCs w:val="21"/>
              </w:rPr>
            </w:pPr>
          </w:p>
        </w:tc>
        <w:tc>
          <w:tcPr>
            <w:tcW w:w="2250" w:type="dxa"/>
            <w:vAlign w:val="center"/>
          </w:tcPr>
          <w:p w:rsidR="004A1B56" w:rsidRPr="001B7979" w:rsidRDefault="004A1B56" w:rsidP="004A1B56">
            <w:pPr>
              <w:spacing w:before="29" w:line="288" w:lineRule="auto"/>
              <w:jc w:val="right"/>
              <w:rPr>
                <w:color w:val="000000"/>
                <w:sz w:val="24"/>
              </w:rPr>
            </w:pPr>
            <w:r w:rsidRPr="001B7979">
              <w:rPr>
                <w:color w:val="000000"/>
                <w:sz w:val="24"/>
              </w:rPr>
              <w:t>4,367,380.58</w:t>
            </w:r>
          </w:p>
        </w:tc>
        <w:tc>
          <w:tcPr>
            <w:tcW w:w="2250" w:type="dxa"/>
            <w:vAlign w:val="center"/>
          </w:tcPr>
          <w:p w:rsidR="004A1B56" w:rsidRPr="004A1B56" w:rsidRDefault="004A1B56" w:rsidP="004A1B56">
            <w:pPr>
              <w:spacing w:before="29" w:line="288" w:lineRule="auto"/>
              <w:jc w:val="right"/>
              <w:rPr>
                <w:color w:val="000000"/>
                <w:sz w:val="24"/>
              </w:rPr>
            </w:pPr>
            <w:r w:rsidRPr="004A1B56">
              <w:rPr>
                <w:rFonts w:hint="eastAsia"/>
                <w:color w:val="000000"/>
                <w:sz w:val="24"/>
              </w:rPr>
              <w:t>492,414.51</w:t>
            </w:r>
          </w:p>
        </w:tc>
      </w:tr>
      <w:tr w:rsidR="004A1B56" w:rsidRPr="001B7979" w:rsidTr="00114D73">
        <w:tc>
          <w:tcPr>
            <w:tcW w:w="3420" w:type="dxa"/>
            <w:vAlign w:val="center"/>
          </w:tcPr>
          <w:p w:rsidR="004A1B56" w:rsidRPr="001B7979" w:rsidRDefault="004A1B56" w:rsidP="004A1B56">
            <w:pPr>
              <w:spacing w:before="29" w:line="288" w:lineRule="auto"/>
              <w:rPr>
                <w:color w:val="000000"/>
                <w:sz w:val="24"/>
              </w:rPr>
            </w:pPr>
            <w:r w:rsidRPr="001B7979">
              <w:rPr>
                <w:color w:val="000000"/>
                <w:sz w:val="24"/>
              </w:rPr>
              <w:t>其中：卖出回购金融资产支出</w:t>
            </w:r>
          </w:p>
        </w:tc>
        <w:tc>
          <w:tcPr>
            <w:tcW w:w="1080" w:type="dxa"/>
            <w:vAlign w:val="center"/>
          </w:tcPr>
          <w:p w:rsidR="004A1B56" w:rsidRPr="001B7979" w:rsidRDefault="004A1B56" w:rsidP="004A1B56">
            <w:pPr>
              <w:pStyle w:val="af6"/>
              <w:jc w:val="center"/>
              <w:rPr>
                <w:rFonts w:ascii="Times New Roman" w:hAnsi="Times New Roman"/>
                <w:color w:val="000000"/>
                <w:sz w:val="21"/>
                <w:szCs w:val="21"/>
              </w:rPr>
            </w:pPr>
          </w:p>
        </w:tc>
        <w:tc>
          <w:tcPr>
            <w:tcW w:w="2250" w:type="dxa"/>
            <w:vAlign w:val="center"/>
          </w:tcPr>
          <w:p w:rsidR="004A1B56" w:rsidRPr="001B7979" w:rsidRDefault="004A1B56" w:rsidP="004A1B56">
            <w:pPr>
              <w:spacing w:before="29" w:line="288" w:lineRule="auto"/>
              <w:jc w:val="right"/>
              <w:rPr>
                <w:color w:val="000000"/>
                <w:sz w:val="24"/>
              </w:rPr>
            </w:pPr>
            <w:r w:rsidRPr="001B7979">
              <w:rPr>
                <w:color w:val="000000"/>
                <w:sz w:val="24"/>
              </w:rPr>
              <w:t>4,367,380.58</w:t>
            </w:r>
          </w:p>
        </w:tc>
        <w:tc>
          <w:tcPr>
            <w:tcW w:w="2250" w:type="dxa"/>
            <w:vAlign w:val="center"/>
          </w:tcPr>
          <w:p w:rsidR="004A1B56" w:rsidRPr="004A1B56" w:rsidRDefault="004A1B56" w:rsidP="004A1B56">
            <w:pPr>
              <w:spacing w:before="29" w:line="288" w:lineRule="auto"/>
              <w:jc w:val="right"/>
              <w:rPr>
                <w:color w:val="000000"/>
                <w:sz w:val="24"/>
              </w:rPr>
            </w:pPr>
            <w:r w:rsidRPr="004A1B56">
              <w:rPr>
                <w:rFonts w:hint="eastAsia"/>
                <w:color w:val="000000"/>
                <w:sz w:val="24"/>
              </w:rPr>
              <w:t>492,414.51</w:t>
            </w:r>
          </w:p>
        </w:tc>
      </w:tr>
      <w:tr w:rsidR="004A1B56" w:rsidRPr="001B7979" w:rsidTr="00DF6751">
        <w:tc>
          <w:tcPr>
            <w:tcW w:w="3420" w:type="dxa"/>
            <w:vAlign w:val="center"/>
          </w:tcPr>
          <w:p w:rsidR="004A1B56" w:rsidRPr="001B7979" w:rsidRDefault="004A1B56" w:rsidP="004A1B56">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4A1B56" w:rsidRPr="001B7979" w:rsidRDefault="004A1B56" w:rsidP="004A1B56">
            <w:pPr>
              <w:rPr>
                <w:rFonts w:eastAsiaTheme="minorEastAsia"/>
                <w:color w:val="000000"/>
                <w:szCs w:val="21"/>
              </w:rPr>
            </w:pPr>
          </w:p>
        </w:tc>
        <w:tc>
          <w:tcPr>
            <w:tcW w:w="2250" w:type="dxa"/>
            <w:vAlign w:val="bottom"/>
          </w:tcPr>
          <w:p w:rsidR="004A1B56" w:rsidRPr="001B7979" w:rsidRDefault="004A1B56" w:rsidP="004A1B56">
            <w:pPr>
              <w:jc w:val="right"/>
              <w:rPr>
                <w:rFonts w:eastAsiaTheme="minorEastAsia"/>
                <w:color w:val="000000"/>
                <w:szCs w:val="21"/>
              </w:rPr>
            </w:pPr>
            <w:r w:rsidRPr="001B7979">
              <w:rPr>
                <w:rFonts w:eastAsiaTheme="minorEastAsia"/>
                <w:color w:val="000000"/>
                <w:szCs w:val="21"/>
              </w:rPr>
              <w:t>50,312.13</w:t>
            </w:r>
          </w:p>
        </w:tc>
        <w:tc>
          <w:tcPr>
            <w:tcW w:w="2250" w:type="dxa"/>
            <w:vAlign w:val="center"/>
          </w:tcPr>
          <w:p w:rsidR="004A1B56" w:rsidRPr="004A1B56" w:rsidRDefault="004A1B56" w:rsidP="004A1B56">
            <w:pPr>
              <w:spacing w:before="29" w:line="288" w:lineRule="auto"/>
              <w:jc w:val="right"/>
              <w:rPr>
                <w:color w:val="000000"/>
                <w:sz w:val="24"/>
              </w:rPr>
            </w:pPr>
            <w:r w:rsidRPr="004A1B56">
              <w:rPr>
                <w:color w:val="000000"/>
                <w:sz w:val="24"/>
              </w:rPr>
              <w:t>-</w:t>
            </w:r>
          </w:p>
        </w:tc>
      </w:tr>
      <w:tr w:rsidR="004A1B56" w:rsidRPr="001B7979" w:rsidTr="00DF6751">
        <w:tc>
          <w:tcPr>
            <w:tcW w:w="3420" w:type="dxa"/>
            <w:vAlign w:val="center"/>
          </w:tcPr>
          <w:p w:rsidR="004A1B56" w:rsidRPr="001B7979" w:rsidRDefault="004A1B56" w:rsidP="004A1B56">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4A1B56" w:rsidRPr="001B7979" w:rsidRDefault="004A1B56" w:rsidP="004A1B56">
            <w:pPr>
              <w:jc w:val="center"/>
              <w:rPr>
                <w:rFonts w:eastAsiaTheme="minorEastAsia"/>
                <w:color w:val="000000"/>
                <w:szCs w:val="21"/>
              </w:rPr>
            </w:pPr>
            <w:r w:rsidRPr="001B7979">
              <w:rPr>
                <w:rFonts w:eastAsiaTheme="minorEastAsia"/>
                <w:color w:val="000000"/>
                <w:szCs w:val="21"/>
              </w:rPr>
              <w:t>6.4.7.20</w:t>
            </w:r>
          </w:p>
        </w:tc>
        <w:tc>
          <w:tcPr>
            <w:tcW w:w="2250" w:type="dxa"/>
            <w:vAlign w:val="bottom"/>
          </w:tcPr>
          <w:p w:rsidR="004A1B56" w:rsidRPr="001B7979" w:rsidRDefault="004A1B56" w:rsidP="004A1B56">
            <w:pPr>
              <w:jc w:val="right"/>
              <w:rPr>
                <w:rFonts w:eastAsiaTheme="minorEastAsia"/>
                <w:color w:val="000000"/>
                <w:szCs w:val="21"/>
              </w:rPr>
            </w:pPr>
            <w:r w:rsidRPr="001B7979">
              <w:rPr>
                <w:rFonts w:eastAsiaTheme="minorEastAsia"/>
                <w:color w:val="000000"/>
                <w:szCs w:val="21"/>
              </w:rPr>
              <w:t>107,942.60</w:t>
            </w:r>
          </w:p>
        </w:tc>
        <w:tc>
          <w:tcPr>
            <w:tcW w:w="2250" w:type="dxa"/>
            <w:vAlign w:val="center"/>
          </w:tcPr>
          <w:p w:rsidR="004A1B56" w:rsidRPr="004A1B56" w:rsidRDefault="004A1B56" w:rsidP="004A1B56">
            <w:pPr>
              <w:spacing w:before="29" w:line="288" w:lineRule="auto"/>
              <w:jc w:val="right"/>
              <w:rPr>
                <w:color w:val="000000"/>
                <w:sz w:val="24"/>
              </w:rPr>
            </w:pPr>
            <w:r w:rsidRPr="004A1B56">
              <w:rPr>
                <w:rFonts w:hint="eastAsia"/>
                <w:color w:val="000000"/>
                <w:sz w:val="24"/>
              </w:rPr>
              <w:t>58,805.33</w:t>
            </w:r>
          </w:p>
        </w:tc>
      </w:tr>
      <w:tr w:rsidR="004A1B56" w:rsidRPr="001B7979" w:rsidTr="00114D73">
        <w:tc>
          <w:tcPr>
            <w:tcW w:w="3420" w:type="dxa"/>
            <w:vAlign w:val="center"/>
          </w:tcPr>
          <w:p w:rsidR="004A1B56" w:rsidRPr="001B7979" w:rsidRDefault="004A1B56" w:rsidP="004A1B56">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4A1B56" w:rsidRPr="001B7979" w:rsidRDefault="004A1B56" w:rsidP="004A1B56">
            <w:pPr>
              <w:pStyle w:val="af6"/>
              <w:jc w:val="center"/>
              <w:rPr>
                <w:rFonts w:ascii="Times New Roman" w:hAnsi="Times New Roman"/>
                <w:b/>
                <w:color w:val="000000"/>
                <w:sz w:val="21"/>
                <w:szCs w:val="21"/>
              </w:rPr>
            </w:pPr>
          </w:p>
        </w:tc>
        <w:tc>
          <w:tcPr>
            <w:tcW w:w="2250" w:type="dxa"/>
            <w:vAlign w:val="center"/>
          </w:tcPr>
          <w:p w:rsidR="004A1B56" w:rsidRPr="001B7979" w:rsidRDefault="004A1B56" w:rsidP="004A1B56">
            <w:pPr>
              <w:spacing w:before="29" w:line="288" w:lineRule="auto"/>
              <w:jc w:val="right"/>
              <w:rPr>
                <w:b/>
                <w:color w:val="000000"/>
                <w:sz w:val="24"/>
              </w:rPr>
            </w:pPr>
            <w:r w:rsidRPr="001B7979">
              <w:rPr>
                <w:b/>
                <w:color w:val="000000"/>
                <w:sz w:val="24"/>
              </w:rPr>
              <w:t>11,185,481.09</w:t>
            </w:r>
          </w:p>
        </w:tc>
        <w:tc>
          <w:tcPr>
            <w:tcW w:w="2250" w:type="dxa"/>
            <w:vAlign w:val="center"/>
          </w:tcPr>
          <w:p w:rsidR="004A1B56" w:rsidRPr="004A1B56" w:rsidRDefault="004A1B56" w:rsidP="004A1B56">
            <w:pPr>
              <w:spacing w:before="29" w:line="288" w:lineRule="auto"/>
              <w:jc w:val="right"/>
              <w:rPr>
                <w:b/>
                <w:color w:val="000000"/>
                <w:sz w:val="24"/>
              </w:rPr>
            </w:pPr>
            <w:r w:rsidRPr="004A1B56">
              <w:rPr>
                <w:rFonts w:hint="eastAsia"/>
                <w:b/>
                <w:color w:val="000000"/>
                <w:sz w:val="24"/>
              </w:rPr>
              <w:t>-998,452.11</w:t>
            </w:r>
          </w:p>
        </w:tc>
      </w:tr>
      <w:tr w:rsidR="004A1B56" w:rsidRPr="001B7979" w:rsidTr="00114D73">
        <w:tc>
          <w:tcPr>
            <w:tcW w:w="3420" w:type="dxa"/>
            <w:vAlign w:val="center"/>
          </w:tcPr>
          <w:p w:rsidR="004A1B56" w:rsidRPr="001B7979" w:rsidRDefault="004A1B56" w:rsidP="004A1B56">
            <w:pPr>
              <w:spacing w:before="29" w:line="288" w:lineRule="auto"/>
              <w:rPr>
                <w:b/>
                <w:color w:val="000000"/>
                <w:sz w:val="24"/>
              </w:rPr>
            </w:pPr>
            <w:r w:rsidRPr="001B7979">
              <w:rPr>
                <w:sz w:val="24"/>
              </w:rPr>
              <w:t>减：所得税费用</w:t>
            </w:r>
          </w:p>
        </w:tc>
        <w:tc>
          <w:tcPr>
            <w:tcW w:w="1080" w:type="dxa"/>
            <w:vAlign w:val="center"/>
          </w:tcPr>
          <w:p w:rsidR="004A1B56" w:rsidRPr="001B7979" w:rsidRDefault="004A1B56" w:rsidP="004A1B56">
            <w:pPr>
              <w:pStyle w:val="af6"/>
              <w:jc w:val="center"/>
              <w:rPr>
                <w:rFonts w:ascii="Times New Roman" w:hAnsi="Times New Roman"/>
                <w:b/>
                <w:color w:val="000000"/>
                <w:sz w:val="21"/>
                <w:szCs w:val="21"/>
              </w:rPr>
            </w:pPr>
          </w:p>
        </w:tc>
        <w:tc>
          <w:tcPr>
            <w:tcW w:w="2250" w:type="dxa"/>
            <w:vAlign w:val="center"/>
          </w:tcPr>
          <w:p w:rsidR="004A1B56" w:rsidRPr="001B7979" w:rsidRDefault="004A1B56" w:rsidP="004A1B56">
            <w:pPr>
              <w:spacing w:before="29" w:line="288" w:lineRule="auto"/>
              <w:jc w:val="right"/>
              <w:rPr>
                <w:color w:val="000000"/>
                <w:sz w:val="24"/>
              </w:rPr>
            </w:pPr>
            <w:r w:rsidRPr="001B7979">
              <w:rPr>
                <w:color w:val="000000"/>
                <w:sz w:val="24"/>
              </w:rPr>
              <w:t>-</w:t>
            </w:r>
          </w:p>
        </w:tc>
        <w:tc>
          <w:tcPr>
            <w:tcW w:w="2250" w:type="dxa"/>
            <w:vAlign w:val="center"/>
          </w:tcPr>
          <w:p w:rsidR="004A1B56" w:rsidRPr="004A1B56" w:rsidRDefault="004A1B56" w:rsidP="004A1B56">
            <w:pPr>
              <w:spacing w:before="29" w:line="288" w:lineRule="auto"/>
              <w:jc w:val="right"/>
              <w:rPr>
                <w:color w:val="000000"/>
                <w:sz w:val="24"/>
              </w:rPr>
            </w:pPr>
            <w:r w:rsidRPr="004A1B56">
              <w:rPr>
                <w:color w:val="000000"/>
                <w:sz w:val="24"/>
              </w:rPr>
              <w:t>-</w:t>
            </w:r>
          </w:p>
        </w:tc>
      </w:tr>
      <w:tr w:rsidR="004A1B56" w:rsidRPr="001B7979" w:rsidTr="00114D73">
        <w:tc>
          <w:tcPr>
            <w:tcW w:w="3420" w:type="dxa"/>
            <w:vAlign w:val="center"/>
          </w:tcPr>
          <w:p w:rsidR="004A1B56" w:rsidRPr="001B7979" w:rsidRDefault="004A1B56" w:rsidP="004A1B56">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4A1B56" w:rsidRPr="001B7979" w:rsidRDefault="004A1B56" w:rsidP="004A1B56">
            <w:pPr>
              <w:pStyle w:val="af6"/>
              <w:spacing w:before="29" w:beforeAutospacing="0" w:line="288" w:lineRule="auto"/>
              <w:jc w:val="center"/>
              <w:rPr>
                <w:rFonts w:ascii="Times New Roman" w:hAnsi="Times New Roman"/>
                <w:b/>
                <w:color w:val="000000"/>
              </w:rPr>
            </w:pPr>
          </w:p>
        </w:tc>
        <w:tc>
          <w:tcPr>
            <w:tcW w:w="2250" w:type="dxa"/>
            <w:vAlign w:val="center"/>
          </w:tcPr>
          <w:p w:rsidR="004A1B56" w:rsidRPr="001B7979" w:rsidRDefault="004A1B56" w:rsidP="004A1B56">
            <w:pPr>
              <w:spacing w:before="29" w:line="288" w:lineRule="auto"/>
              <w:jc w:val="right"/>
              <w:rPr>
                <w:b/>
                <w:color w:val="000000"/>
                <w:sz w:val="24"/>
              </w:rPr>
            </w:pPr>
            <w:r w:rsidRPr="001B7979">
              <w:rPr>
                <w:b/>
                <w:color w:val="000000"/>
                <w:sz w:val="24"/>
              </w:rPr>
              <w:t>11,185,481.09</w:t>
            </w:r>
          </w:p>
        </w:tc>
        <w:tc>
          <w:tcPr>
            <w:tcW w:w="2250" w:type="dxa"/>
            <w:vAlign w:val="center"/>
          </w:tcPr>
          <w:p w:rsidR="004A1B56" w:rsidRPr="004A1B56" w:rsidRDefault="004A1B56" w:rsidP="004A1B56">
            <w:pPr>
              <w:spacing w:before="29" w:line="288" w:lineRule="auto"/>
              <w:jc w:val="right"/>
              <w:rPr>
                <w:b/>
                <w:color w:val="000000"/>
                <w:sz w:val="24"/>
              </w:rPr>
            </w:pPr>
            <w:r w:rsidRPr="004A1B56">
              <w:rPr>
                <w:rFonts w:hint="eastAsia"/>
                <w:b/>
                <w:color w:val="000000"/>
                <w:sz w:val="24"/>
              </w:rPr>
              <w:t>-998,452.11</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17816344"/>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交银施罗德丰晟收益债券型证券投资基金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26"/>
        <w:gridCol w:w="23"/>
        <w:gridCol w:w="2103"/>
        <w:gridCol w:w="46"/>
        <w:gridCol w:w="2222"/>
      </w:tblGrid>
      <w:tr w:rsidR="001548F9" w:rsidRPr="001B7979" w:rsidTr="00341C6D">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520" w:type="dxa"/>
            <w:gridSpan w:val="5"/>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341C6D">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gridSpan w:val="2"/>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gridSpan w:val="2"/>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222"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341C6D">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gridSpan w:val="2"/>
            <w:vAlign w:val="center"/>
          </w:tcPr>
          <w:p w:rsidR="001548F9" w:rsidRPr="001B7979" w:rsidRDefault="001548F9" w:rsidP="00571B8A">
            <w:pPr>
              <w:spacing w:before="29" w:line="288" w:lineRule="auto"/>
              <w:jc w:val="right"/>
              <w:rPr>
                <w:color w:val="000000"/>
                <w:sz w:val="24"/>
              </w:rPr>
            </w:pPr>
            <w:r w:rsidRPr="001B7979">
              <w:rPr>
                <w:color w:val="000000"/>
                <w:sz w:val="24"/>
              </w:rPr>
              <w:t>331,589,908.23</w:t>
            </w:r>
          </w:p>
        </w:tc>
        <w:tc>
          <w:tcPr>
            <w:tcW w:w="2149" w:type="dxa"/>
            <w:gridSpan w:val="2"/>
            <w:vAlign w:val="center"/>
          </w:tcPr>
          <w:p w:rsidR="001548F9" w:rsidRPr="001B7979" w:rsidRDefault="001548F9" w:rsidP="00571B8A">
            <w:pPr>
              <w:spacing w:before="29" w:line="288" w:lineRule="auto"/>
              <w:jc w:val="right"/>
              <w:rPr>
                <w:color w:val="000000"/>
                <w:sz w:val="24"/>
              </w:rPr>
            </w:pPr>
            <w:r w:rsidRPr="001B7979">
              <w:rPr>
                <w:color w:val="000000"/>
                <w:sz w:val="24"/>
              </w:rPr>
              <w:t>22,516,718.73</w:t>
            </w:r>
          </w:p>
        </w:tc>
        <w:tc>
          <w:tcPr>
            <w:tcW w:w="2222" w:type="dxa"/>
            <w:vAlign w:val="center"/>
          </w:tcPr>
          <w:p w:rsidR="001548F9" w:rsidRPr="001B7979" w:rsidRDefault="001548F9" w:rsidP="00571B8A">
            <w:pPr>
              <w:spacing w:before="29" w:line="288" w:lineRule="auto"/>
              <w:jc w:val="right"/>
              <w:rPr>
                <w:color w:val="000000"/>
                <w:sz w:val="24"/>
              </w:rPr>
            </w:pPr>
            <w:r w:rsidRPr="001B7979">
              <w:rPr>
                <w:color w:val="000000"/>
                <w:sz w:val="24"/>
              </w:rPr>
              <w:t>354,106,626.96</w:t>
            </w:r>
          </w:p>
        </w:tc>
      </w:tr>
      <w:tr w:rsidR="001548F9" w:rsidRPr="001B7979" w:rsidTr="00341C6D">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gridSpan w:val="2"/>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gridSpan w:val="2"/>
            <w:vAlign w:val="center"/>
          </w:tcPr>
          <w:p w:rsidR="001548F9" w:rsidRPr="001B7979" w:rsidRDefault="001548F9" w:rsidP="00571B8A">
            <w:pPr>
              <w:spacing w:before="29" w:line="288" w:lineRule="auto"/>
              <w:jc w:val="right"/>
              <w:rPr>
                <w:color w:val="000000"/>
                <w:sz w:val="24"/>
              </w:rPr>
            </w:pPr>
            <w:r w:rsidRPr="001B7979">
              <w:rPr>
                <w:color w:val="000000"/>
                <w:sz w:val="24"/>
              </w:rPr>
              <w:t>11,185,481.09</w:t>
            </w:r>
          </w:p>
        </w:tc>
        <w:tc>
          <w:tcPr>
            <w:tcW w:w="2222" w:type="dxa"/>
            <w:vAlign w:val="center"/>
          </w:tcPr>
          <w:p w:rsidR="001548F9" w:rsidRPr="001B7979" w:rsidRDefault="001548F9" w:rsidP="00571B8A">
            <w:pPr>
              <w:spacing w:before="29" w:line="288" w:lineRule="auto"/>
              <w:jc w:val="right"/>
              <w:rPr>
                <w:color w:val="000000"/>
                <w:sz w:val="24"/>
              </w:rPr>
            </w:pPr>
            <w:r w:rsidRPr="001B7979">
              <w:rPr>
                <w:color w:val="000000"/>
                <w:sz w:val="24"/>
              </w:rPr>
              <w:t>11,185,481.09</w:t>
            </w:r>
          </w:p>
        </w:tc>
      </w:tr>
      <w:tr w:rsidR="001548F9" w:rsidRPr="001B7979" w:rsidTr="00341C6D">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gridSpan w:val="2"/>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gridSpan w:val="2"/>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222"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341C6D">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gridSpan w:val="2"/>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gridSpan w:val="2"/>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222"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341C6D">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gridSpan w:val="2"/>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gridSpan w:val="2"/>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222"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341C6D">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gridSpan w:val="2"/>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gridSpan w:val="2"/>
            <w:vAlign w:val="center"/>
          </w:tcPr>
          <w:p w:rsidR="001548F9" w:rsidRPr="001B7979" w:rsidRDefault="001548F9" w:rsidP="00571B8A">
            <w:pPr>
              <w:spacing w:before="29" w:line="288" w:lineRule="auto"/>
              <w:jc w:val="right"/>
              <w:rPr>
                <w:color w:val="000000"/>
                <w:sz w:val="24"/>
              </w:rPr>
            </w:pPr>
            <w:r w:rsidRPr="001B7979">
              <w:rPr>
                <w:color w:val="000000"/>
                <w:sz w:val="24"/>
              </w:rPr>
              <w:t>-11,270,950.86</w:t>
            </w:r>
          </w:p>
        </w:tc>
        <w:tc>
          <w:tcPr>
            <w:tcW w:w="2222" w:type="dxa"/>
            <w:vAlign w:val="center"/>
          </w:tcPr>
          <w:p w:rsidR="001548F9" w:rsidRPr="001B7979" w:rsidRDefault="001548F9" w:rsidP="00571B8A">
            <w:pPr>
              <w:spacing w:before="29" w:line="288" w:lineRule="auto"/>
              <w:jc w:val="right"/>
              <w:rPr>
                <w:color w:val="000000"/>
                <w:sz w:val="24"/>
              </w:rPr>
            </w:pPr>
            <w:r w:rsidRPr="001B7979">
              <w:rPr>
                <w:color w:val="000000"/>
                <w:sz w:val="24"/>
              </w:rPr>
              <w:t>-11,270,950.86</w:t>
            </w:r>
          </w:p>
        </w:tc>
      </w:tr>
      <w:tr w:rsidR="001548F9" w:rsidRPr="001B7979" w:rsidTr="00341C6D">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gridSpan w:val="2"/>
            <w:vAlign w:val="center"/>
          </w:tcPr>
          <w:p w:rsidR="001548F9" w:rsidRPr="001B7979" w:rsidRDefault="001548F9" w:rsidP="00571B8A">
            <w:pPr>
              <w:spacing w:before="29" w:line="288" w:lineRule="auto"/>
              <w:jc w:val="right"/>
              <w:rPr>
                <w:color w:val="000000"/>
                <w:sz w:val="24"/>
              </w:rPr>
            </w:pPr>
            <w:r w:rsidRPr="001B7979">
              <w:rPr>
                <w:color w:val="000000"/>
                <w:sz w:val="24"/>
              </w:rPr>
              <w:t>331,589,908.23</w:t>
            </w:r>
          </w:p>
        </w:tc>
        <w:tc>
          <w:tcPr>
            <w:tcW w:w="2149" w:type="dxa"/>
            <w:gridSpan w:val="2"/>
            <w:vAlign w:val="center"/>
          </w:tcPr>
          <w:p w:rsidR="001548F9" w:rsidRPr="001B7979" w:rsidRDefault="001548F9" w:rsidP="00571B8A">
            <w:pPr>
              <w:spacing w:before="29" w:line="288" w:lineRule="auto"/>
              <w:jc w:val="right"/>
              <w:rPr>
                <w:color w:val="000000"/>
                <w:sz w:val="24"/>
              </w:rPr>
            </w:pPr>
            <w:r w:rsidRPr="001B7979">
              <w:rPr>
                <w:color w:val="000000"/>
                <w:sz w:val="24"/>
              </w:rPr>
              <w:t>22,431,248.96</w:t>
            </w:r>
          </w:p>
        </w:tc>
        <w:tc>
          <w:tcPr>
            <w:tcW w:w="2222" w:type="dxa"/>
            <w:vAlign w:val="center"/>
          </w:tcPr>
          <w:p w:rsidR="001548F9" w:rsidRPr="001B7979" w:rsidRDefault="001548F9" w:rsidP="00571B8A">
            <w:pPr>
              <w:spacing w:before="29" w:line="288" w:lineRule="auto"/>
              <w:jc w:val="right"/>
              <w:rPr>
                <w:color w:val="000000"/>
                <w:sz w:val="24"/>
              </w:rPr>
            </w:pPr>
            <w:r w:rsidRPr="001B7979">
              <w:rPr>
                <w:color w:val="000000"/>
                <w:sz w:val="24"/>
              </w:rPr>
              <w:t>354,021,157.19</w:t>
            </w:r>
          </w:p>
        </w:tc>
      </w:tr>
      <w:tr w:rsidR="00341C6D" w:rsidRPr="00352396" w:rsidTr="00341C6D">
        <w:tc>
          <w:tcPr>
            <w:tcW w:w="2552" w:type="dxa"/>
            <w:vMerge w:val="restart"/>
            <w:vAlign w:val="center"/>
          </w:tcPr>
          <w:p w:rsidR="00341C6D" w:rsidRPr="00352396" w:rsidRDefault="00341C6D" w:rsidP="00305080">
            <w:pPr>
              <w:spacing w:before="29" w:line="288" w:lineRule="auto"/>
              <w:jc w:val="center"/>
              <w:rPr>
                <w:b/>
                <w:color w:val="000000"/>
                <w:sz w:val="24"/>
              </w:rPr>
            </w:pPr>
            <w:r w:rsidRPr="00352396">
              <w:rPr>
                <w:b/>
                <w:color w:val="000000"/>
                <w:sz w:val="24"/>
              </w:rPr>
              <w:t>项目</w:t>
            </w:r>
          </w:p>
        </w:tc>
        <w:tc>
          <w:tcPr>
            <w:tcW w:w="6520" w:type="dxa"/>
            <w:gridSpan w:val="5"/>
            <w:vAlign w:val="center"/>
          </w:tcPr>
          <w:p w:rsidR="00341C6D" w:rsidRPr="00341C6D" w:rsidRDefault="00341C6D" w:rsidP="00305080">
            <w:pPr>
              <w:widowControl/>
              <w:spacing w:before="29" w:line="288" w:lineRule="auto"/>
              <w:jc w:val="center"/>
              <w:rPr>
                <w:b/>
                <w:color w:val="000000"/>
                <w:kern w:val="0"/>
                <w:sz w:val="24"/>
              </w:rPr>
            </w:pPr>
            <w:r w:rsidRPr="00341C6D">
              <w:rPr>
                <w:b/>
                <w:color w:val="000000"/>
                <w:kern w:val="0"/>
                <w:sz w:val="24"/>
              </w:rPr>
              <w:t>上年度可比期间</w:t>
            </w:r>
          </w:p>
          <w:p w:rsidR="00341C6D" w:rsidRPr="00341C6D" w:rsidRDefault="00341C6D" w:rsidP="00305080">
            <w:pPr>
              <w:widowControl/>
              <w:spacing w:before="29" w:line="288" w:lineRule="auto"/>
              <w:jc w:val="center"/>
              <w:rPr>
                <w:color w:val="000000"/>
                <w:kern w:val="0"/>
                <w:sz w:val="24"/>
              </w:rPr>
            </w:pPr>
            <w:r w:rsidRPr="00341C6D">
              <w:rPr>
                <w:color w:val="000000"/>
                <w:kern w:val="0"/>
                <w:sz w:val="24"/>
              </w:rPr>
              <w:t>2018</w:t>
            </w:r>
            <w:r w:rsidRPr="00341C6D">
              <w:rPr>
                <w:color w:val="000000"/>
                <w:kern w:val="0"/>
                <w:sz w:val="24"/>
              </w:rPr>
              <w:t>年</w:t>
            </w:r>
            <w:r w:rsidRPr="00341C6D">
              <w:rPr>
                <w:color w:val="000000"/>
                <w:kern w:val="0"/>
                <w:sz w:val="24"/>
              </w:rPr>
              <w:t>5</w:t>
            </w:r>
            <w:r w:rsidRPr="00341C6D">
              <w:rPr>
                <w:color w:val="000000"/>
                <w:kern w:val="0"/>
                <w:sz w:val="24"/>
              </w:rPr>
              <w:t>月</w:t>
            </w:r>
            <w:r w:rsidRPr="00341C6D">
              <w:rPr>
                <w:color w:val="000000"/>
                <w:kern w:val="0"/>
                <w:sz w:val="24"/>
              </w:rPr>
              <w:t>23</w:t>
            </w:r>
            <w:r w:rsidRPr="00341C6D">
              <w:rPr>
                <w:color w:val="000000"/>
                <w:kern w:val="0"/>
                <w:sz w:val="24"/>
              </w:rPr>
              <w:t>日（基金合同生效日）至</w:t>
            </w:r>
            <w:r w:rsidRPr="00341C6D">
              <w:rPr>
                <w:color w:val="000000"/>
                <w:kern w:val="0"/>
                <w:sz w:val="24"/>
              </w:rPr>
              <w:t>2018</w:t>
            </w:r>
            <w:r w:rsidRPr="00341C6D">
              <w:rPr>
                <w:color w:val="000000"/>
                <w:kern w:val="0"/>
                <w:sz w:val="24"/>
              </w:rPr>
              <w:t>年</w:t>
            </w:r>
            <w:r w:rsidRPr="00341C6D">
              <w:rPr>
                <w:color w:val="000000"/>
                <w:kern w:val="0"/>
                <w:sz w:val="24"/>
              </w:rPr>
              <w:t>6</w:t>
            </w:r>
            <w:r w:rsidRPr="00341C6D">
              <w:rPr>
                <w:color w:val="000000"/>
                <w:kern w:val="0"/>
                <w:sz w:val="24"/>
              </w:rPr>
              <w:t>月</w:t>
            </w:r>
            <w:r w:rsidRPr="00341C6D">
              <w:rPr>
                <w:color w:val="000000"/>
                <w:kern w:val="0"/>
                <w:sz w:val="24"/>
              </w:rPr>
              <w:t>30</w:t>
            </w:r>
            <w:r w:rsidRPr="00341C6D">
              <w:rPr>
                <w:color w:val="000000"/>
                <w:kern w:val="0"/>
                <w:sz w:val="24"/>
              </w:rPr>
              <w:t>日</w:t>
            </w:r>
          </w:p>
        </w:tc>
      </w:tr>
      <w:tr w:rsidR="00341C6D" w:rsidRPr="00352396" w:rsidTr="00341C6D">
        <w:tc>
          <w:tcPr>
            <w:tcW w:w="2552" w:type="dxa"/>
            <w:vMerge/>
            <w:vAlign w:val="center"/>
          </w:tcPr>
          <w:p w:rsidR="00341C6D" w:rsidRPr="00352396" w:rsidRDefault="00341C6D" w:rsidP="00305080">
            <w:pPr>
              <w:widowControl/>
              <w:spacing w:before="29" w:line="288" w:lineRule="auto"/>
              <w:jc w:val="left"/>
              <w:rPr>
                <w:b/>
                <w:color w:val="000000"/>
                <w:sz w:val="24"/>
              </w:rPr>
            </w:pPr>
          </w:p>
        </w:tc>
        <w:tc>
          <w:tcPr>
            <w:tcW w:w="2126" w:type="dxa"/>
            <w:vAlign w:val="center"/>
          </w:tcPr>
          <w:p w:rsidR="00341C6D" w:rsidRPr="00341C6D" w:rsidRDefault="00341C6D" w:rsidP="00305080">
            <w:pPr>
              <w:spacing w:before="29" w:line="288" w:lineRule="auto"/>
              <w:jc w:val="center"/>
              <w:rPr>
                <w:b/>
                <w:color w:val="000000"/>
                <w:sz w:val="24"/>
              </w:rPr>
            </w:pPr>
            <w:r w:rsidRPr="00341C6D">
              <w:rPr>
                <w:b/>
                <w:color w:val="000000"/>
                <w:sz w:val="24"/>
              </w:rPr>
              <w:t>实收基金</w:t>
            </w:r>
          </w:p>
        </w:tc>
        <w:tc>
          <w:tcPr>
            <w:tcW w:w="2126" w:type="dxa"/>
            <w:gridSpan w:val="2"/>
            <w:vAlign w:val="center"/>
          </w:tcPr>
          <w:p w:rsidR="00341C6D" w:rsidRPr="00341C6D" w:rsidRDefault="00341C6D" w:rsidP="00305080">
            <w:pPr>
              <w:spacing w:before="29" w:line="288" w:lineRule="auto"/>
              <w:jc w:val="center"/>
              <w:rPr>
                <w:b/>
                <w:color w:val="000000"/>
                <w:sz w:val="24"/>
              </w:rPr>
            </w:pPr>
            <w:r w:rsidRPr="00341C6D">
              <w:rPr>
                <w:b/>
                <w:color w:val="000000"/>
                <w:sz w:val="24"/>
              </w:rPr>
              <w:t>未分配利润</w:t>
            </w:r>
          </w:p>
        </w:tc>
        <w:tc>
          <w:tcPr>
            <w:tcW w:w="2268" w:type="dxa"/>
            <w:gridSpan w:val="2"/>
            <w:vAlign w:val="center"/>
          </w:tcPr>
          <w:p w:rsidR="00341C6D" w:rsidRPr="00341C6D" w:rsidRDefault="00341C6D" w:rsidP="00305080">
            <w:pPr>
              <w:spacing w:before="29" w:line="288" w:lineRule="auto"/>
              <w:jc w:val="center"/>
              <w:rPr>
                <w:color w:val="000000"/>
                <w:sz w:val="24"/>
              </w:rPr>
            </w:pPr>
            <w:r w:rsidRPr="00341C6D">
              <w:rPr>
                <w:b/>
                <w:color w:val="000000"/>
                <w:sz w:val="24"/>
              </w:rPr>
              <w:t>所有者权益合计</w:t>
            </w:r>
          </w:p>
        </w:tc>
      </w:tr>
      <w:tr w:rsidR="00341C6D" w:rsidRPr="00352396" w:rsidTr="00341C6D">
        <w:tc>
          <w:tcPr>
            <w:tcW w:w="2552" w:type="dxa"/>
            <w:vAlign w:val="center"/>
          </w:tcPr>
          <w:p w:rsidR="00341C6D" w:rsidRPr="00352396" w:rsidRDefault="00341C6D" w:rsidP="00305080">
            <w:pPr>
              <w:spacing w:before="29" w:line="288" w:lineRule="auto"/>
              <w:rPr>
                <w:color w:val="000000"/>
                <w:sz w:val="24"/>
              </w:rPr>
            </w:pPr>
            <w:r w:rsidRPr="00352396">
              <w:rPr>
                <w:color w:val="000000"/>
                <w:sz w:val="24"/>
              </w:rPr>
              <w:t>一、期初所有者权益（基金净值）</w:t>
            </w:r>
          </w:p>
        </w:tc>
        <w:tc>
          <w:tcPr>
            <w:tcW w:w="2126" w:type="dxa"/>
            <w:vAlign w:val="center"/>
          </w:tcPr>
          <w:p w:rsidR="00341C6D" w:rsidRPr="00341C6D" w:rsidRDefault="00341C6D" w:rsidP="00305080">
            <w:pPr>
              <w:spacing w:before="29" w:line="288" w:lineRule="auto"/>
              <w:jc w:val="right"/>
              <w:rPr>
                <w:color w:val="000000"/>
                <w:sz w:val="24"/>
              </w:rPr>
            </w:pPr>
            <w:r w:rsidRPr="00341C6D">
              <w:rPr>
                <w:color w:val="000000"/>
                <w:sz w:val="24"/>
              </w:rPr>
              <w:t>331,589,908.23</w:t>
            </w:r>
          </w:p>
        </w:tc>
        <w:tc>
          <w:tcPr>
            <w:tcW w:w="2126" w:type="dxa"/>
            <w:gridSpan w:val="2"/>
            <w:vAlign w:val="center"/>
          </w:tcPr>
          <w:p w:rsidR="00341C6D" w:rsidRPr="00341C6D" w:rsidRDefault="00341C6D" w:rsidP="00305080">
            <w:pPr>
              <w:spacing w:before="29" w:line="288" w:lineRule="auto"/>
              <w:jc w:val="right"/>
              <w:rPr>
                <w:color w:val="000000"/>
                <w:sz w:val="24"/>
              </w:rPr>
            </w:pPr>
            <w:r w:rsidRPr="00341C6D">
              <w:rPr>
                <w:color w:val="000000"/>
                <w:sz w:val="24"/>
              </w:rPr>
              <w:t>-</w:t>
            </w:r>
          </w:p>
        </w:tc>
        <w:tc>
          <w:tcPr>
            <w:tcW w:w="2268" w:type="dxa"/>
            <w:gridSpan w:val="2"/>
            <w:vAlign w:val="center"/>
          </w:tcPr>
          <w:p w:rsidR="00341C6D" w:rsidRPr="00341C6D" w:rsidRDefault="00341C6D" w:rsidP="00305080">
            <w:pPr>
              <w:spacing w:before="29" w:line="288" w:lineRule="auto"/>
              <w:jc w:val="right"/>
              <w:rPr>
                <w:color w:val="000000"/>
                <w:sz w:val="24"/>
              </w:rPr>
            </w:pPr>
            <w:r w:rsidRPr="00341C6D">
              <w:rPr>
                <w:color w:val="000000"/>
                <w:sz w:val="24"/>
              </w:rPr>
              <w:t>331,589,908.23</w:t>
            </w:r>
          </w:p>
        </w:tc>
      </w:tr>
      <w:tr w:rsidR="00341C6D" w:rsidRPr="00352396" w:rsidTr="00341C6D">
        <w:tc>
          <w:tcPr>
            <w:tcW w:w="2552" w:type="dxa"/>
            <w:vAlign w:val="center"/>
          </w:tcPr>
          <w:p w:rsidR="00341C6D" w:rsidRPr="00352396" w:rsidRDefault="00341C6D" w:rsidP="00305080">
            <w:pPr>
              <w:spacing w:before="29" w:line="288" w:lineRule="auto"/>
              <w:rPr>
                <w:color w:val="000000"/>
                <w:sz w:val="24"/>
              </w:rPr>
            </w:pPr>
            <w:r w:rsidRPr="00352396">
              <w:rPr>
                <w:color w:val="000000"/>
                <w:sz w:val="24"/>
              </w:rPr>
              <w:t>二、本期经营活动产生的基金净值变动数（本期利润）</w:t>
            </w:r>
          </w:p>
        </w:tc>
        <w:tc>
          <w:tcPr>
            <w:tcW w:w="2126" w:type="dxa"/>
            <w:vAlign w:val="center"/>
          </w:tcPr>
          <w:p w:rsidR="00341C6D" w:rsidRPr="00341C6D" w:rsidRDefault="00341C6D" w:rsidP="00305080">
            <w:pPr>
              <w:spacing w:before="29" w:line="288" w:lineRule="auto"/>
              <w:jc w:val="right"/>
              <w:rPr>
                <w:color w:val="000000"/>
                <w:sz w:val="24"/>
              </w:rPr>
            </w:pPr>
            <w:r w:rsidRPr="00341C6D">
              <w:rPr>
                <w:color w:val="000000"/>
                <w:sz w:val="24"/>
              </w:rPr>
              <w:t>-</w:t>
            </w:r>
          </w:p>
        </w:tc>
        <w:tc>
          <w:tcPr>
            <w:tcW w:w="2126" w:type="dxa"/>
            <w:gridSpan w:val="2"/>
            <w:vAlign w:val="center"/>
          </w:tcPr>
          <w:p w:rsidR="00341C6D" w:rsidRPr="00341C6D" w:rsidRDefault="00341C6D" w:rsidP="00305080">
            <w:pPr>
              <w:spacing w:before="29" w:line="288" w:lineRule="auto"/>
              <w:jc w:val="right"/>
              <w:rPr>
                <w:color w:val="000000"/>
                <w:sz w:val="24"/>
              </w:rPr>
            </w:pPr>
            <w:r w:rsidRPr="00341C6D">
              <w:rPr>
                <w:rFonts w:hint="eastAsia"/>
                <w:color w:val="000000"/>
                <w:sz w:val="24"/>
              </w:rPr>
              <w:t>-998,452.11</w:t>
            </w:r>
          </w:p>
        </w:tc>
        <w:tc>
          <w:tcPr>
            <w:tcW w:w="2268" w:type="dxa"/>
            <w:gridSpan w:val="2"/>
            <w:vAlign w:val="center"/>
          </w:tcPr>
          <w:p w:rsidR="00341C6D" w:rsidRPr="00341C6D" w:rsidRDefault="00341C6D" w:rsidP="00305080">
            <w:pPr>
              <w:spacing w:before="29" w:line="288" w:lineRule="auto"/>
              <w:jc w:val="right"/>
              <w:rPr>
                <w:color w:val="000000"/>
                <w:sz w:val="24"/>
              </w:rPr>
            </w:pPr>
            <w:r w:rsidRPr="00341C6D">
              <w:rPr>
                <w:rFonts w:hint="eastAsia"/>
                <w:color w:val="000000"/>
                <w:sz w:val="24"/>
              </w:rPr>
              <w:t>-998,452.11</w:t>
            </w:r>
          </w:p>
        </w:tc>
      </w:tr>
      <w:tr w:rsidR="00341C6D" w:rsidRPr="00352396" w:rsidTr="00341C6D">
        <w:tc>
          <w:tcPr>
            <w:tcW w:w="2552" w:type="dxa"/>
            <w:vAlign w:val="center"/>
          </w:tcPr>
          <w:p w:rsidR="00341C6D" w:rsidRPr="00352396" w:rsidRDefault="00341C6D" w:rsidP="00305080">
            <w:pPr>
              <w:spacing w:before="29" w:line="288" w:lineRule="auto"/>
              <w:rPr>
                <w:color w:val="000000"/>
                <w:sz w:val="24"/>
              </w:rPr>
            </w:pPr>
            <w:r w:rsidRPr="00352396">
              <w:rPr>
                <w:color w:val="000000"/>
                <w:sz w:val="24"/>
              </w:rPr>
              <w:t>三、本期基金份额交易产生的基金净值变动数（净值减少以</w:t>
            </w:r>
            <w:r w:rsidRPr="00352396">
              <w:rPr>
                <w:color w:val="000000"/>
                <w:sz w:val="24"/>
              </w:rPr>
              <w:t>“-”</w:t>
            </w:r>
            <w:r w:rsidRPr="00352396">
              <w:rPr>
                <w:color w:val="000000"/>
                <w:sz w:val="24"/>
              </w:rPr>
              <w:t>号填列）</w:t>
            </w:r>
          </w:p>
        </w:tc>
        <w:tc>
          <w:tcPr>
            <w:tcW w:w="2126" w:type="dxa"/>
            <w:vAlign w:val="center"/>
          </w:tcPr>
          <w:p w:rsidR="00341C6D" w:rsidRPr="00341C6D" w:rsidRDefault="00341C6D" w:rsidP="00305080">
            <w:pPr>
              <w:spacing w:before="29" w:line="288" w:lineRule="auto"/>
              <w:jc w:val="right"/>
              <w:rPr>
                <w:color w:val="000000"/>
                <w:sz w:val="24"/>
              </w:rPr>
            </w:pPr>
            <w:r w:rsidRPr="00341C6D">
              <w:rPr>
                <w:color w:val="000000"/>
                <w:sz w:val="24"/>
              </w:rPr>
              <w:t>-</w:t>
            </w:r>
          </w:p>
        </w:tc>
        <w:tc>
          <w:tcPr>
            <w:tcW w:w="2126" w:type="dxa"/>
            <w:gridSpan w:val="2"/>
            <w:vAlign w:val="center"/>
          </w:tcPr>
          <w:p w:rsidR="00341C6D" w:rsidRPr="00341C6D" w:rsidRDefault="00341C6D" w:rsidP="00305080">
            <w:pPr>
              <w:spacing w:before="29" w:line="288" w:lineRule="auto"/>
              <w:jc w:val="right"/>
              <w:rPr>
                <w:color w:val="000000"/>
                <w:sz w:val="24"/>
              </w:rPr>
            </w:pPr>
            <w:r w:rsidRPr="00341C6D">
              <w:rPr>
                <w:color w:val="000000"/>
                <w:sz w:val="24"/>
              </w:rPr>
              <w:t>-</w:t>
            </w:r>
          </w:p>
        </w:tc>
        <w:tc>
          <w:tcPr>
            <w:tcW w:w="2268" w:type="dxa"/>
            <w:gridSpan w:val="2"/>
            <w:vAlign w:val="center"/>
          </w:tcPr>
          <w:p w:rsidR="00341C6D" w:rsidRPr="00341C6D" w:rsidRDefault="00341C6D" w:rsidP="00305080">
            <w:pPr>
              <w:spacing w:before="29" w:line="288" w:lineRule="auto"/>
              <w:jc w:val="right"/>
              <w:rPr>
                <w:color w:val="000000"/>
                <w:sz w:val="24"/>
              </w:rPr>
            </w:pPr>
            <w:r w:rsidRPr="00341C6D">
              <w:rPr>
                <w:color w:val="000000"/>
                <w:sz w:val="24"/>
              </w:rPr>
              <w:t>-</w:t>
            </w:r>
          </w:p>
        </w:tc>
      </w:tr>
      <w:tr w:rsidR="00341C6D" w:rsidRPr="00352396" w:rsidTr="00341C6D">
        <w:tc>
          <w:tcPr>
            <w:tcW w:w="2552" w:type="dxa"/>
            <w:vAlign w:val="center"/>
          </w:tcPr>
          <w:p w:rsidR="00341C6D" w:rsidRPr="00352396" w:rsidRDefault="00341C6D" w:rsidP="00305080">
            <w:pPr>
              <w:spacing w:before="29" w:line="288" w:lineRule="auto"/>
              <w:rPr>
                <w:color w:val="000000"/>
                <w:sz w:val="24"/>
              </w:rPr>
            </w:pPr>
            <w:r w:rsidRPr="00352396">
              <w:rPr>
                <w:color w:val="000000"/>
                <w:sz w:val="24"/>
              </w:rPr>
              <w:t>其中：</w:t>
            </w:r>
            <w:r w:rsidRPr="00352396">
              <w:rPr>
                <w:color w:val="000000"/>
                <w:sz w:val="24"/>
              </w:rPr>
              <w:t>1.</w:t>
            </w:r>
            <w:r w:rsidRPr="00352396">
              <w:rPr>
                <w:color w:val="000000"/>
                <w:sz w:val="24"/>
              </w:rPr>
              <w:t>基金申购款</w:t>
            </w:r>
          </w:p>
        </w:tc>
        <w:tc>
          <w:tcPr>
            <w:tcW w:w="2126" w:type="dxa"/>
            <w:vAlign w:val="center"/>
          </w:tcPr>
          <w:p w:rsidR="00341C6D" w:rsidRPr="00341C6D" w:rsidRDefault="00341C6D" w:rsidP="00305080">
            <w:pPr>
              <w:spacing w:before="29" w:line="288" w:lineRule="auto"/>
              <w:jc w:val="right"/>
              <w:rPr>
                <w:color w:val="000000"/>
                <w:sz w:val="24"/>
              </w:rPr>
            </w:pPr>
            <w:r w:rsidRPr="00341C6D">
              <w:rPr>
                <w:color w:val="000000"/>
                <w:sz w:val="24"/>
              </w:rPr>
              <w:t>-</w:t>
            </w:r>
          </w:p>
        </w:tc>
        <w:tc>
          <w:tcPr>
            <w:tcW w:w="2126" w:type="dxa"/>
            <w:gridSpan w:val="2"/>
            <w:vAlign w:val="center"/>
          </w:tcPr>
          <w:p w:rsidR="00341C6D" w:rsidRPr="00341C6D" w:rsidRDefault="00341C6D" w:rsidP="00305080">
            <w:pPr>
              <w:spacing w:before="29" w:line="288" w:lineRule="auto"/>
              <w:jc w:val="right"/>
              <w:rPr>
                <w:color w:val="000000"/>
                <w:sz w:val="24"/>
              </w:rPr>
            </w:pPr>
            <w:r w:rsidRPr="00341C6D">
              <w:rPr>
                <w:color w:val="000000"/>
                <w:sz w:val="24"/>
              </w:rPr>
              <w:t>-</w:t>
            </w:r>
          </w:p>
        </w:tc>
        <w:tc>
          <w:tcPr>
            <w:tcW w:w="2268" w:type="dxa"/>
            <w:gridSpan w:val="2"/>
            <w:vAlign w:val="center"/>
          </w:tcPr>
          <w:p w:rsidR="00341C6D" w:rsidRPr="00341C6D" w:rsidRDefault="00341C6D" w:rsidP="00305080">
            <w:pPr>
              <w:spacing w:before="29" w:line="288" w:lineRule="auto"/>
              <w:jc w:val="right"/>
              <w:rPr>
                <w:color w:val="000000"/>
                <w:sz w:val="24"/>
              </w:rPr>
            </w:pPr>
            <w:r w:rsidRPr="00341C6D">
              <w:rPr>
                <w:color w:val="000000"/>
                <w:sz w:val="24"/>
              </w:rPr>
              <w:t>-</w:t>
            </w:r>
          </w:p>
        </w:tc>
      </w:tr>
      <w:tr w:rsidR="00341C6D" w:rsidRPr="00352396" w:rsidTr="00341C6D">
        <w:tc>
          <w:tcPr>
            <w:tcW w:w="2552" w:type="dxa"/>
            <w:vAlign w:val="center"/>
          </w:tcPr>
          <w:p w:rsidR="00341C6D" w:rsidRPr="00352396" w:rsidRDefault="00341C6D" w:rsidP="00305080">
            <w:pPr>
              <w:spacing w:before="29" w:line="288" w:lineRule="auto"/>
              <w:ind w:firstLineChars="300" w:firstLine="720"/>
              <w:rPr>
                <w:color w:val="000000"/>
                <w:sz w:val="24"/>
              </w:rPr>
            </w:pPr>
            <w:r w:rsidRPr="00352396">
              <w:rPr>
                <w:color w:val="000000"/>
                <w:sz w:val="24"/>
              </w:rPr>
              <w:t>2.</w:t>
            </w:r>
            <w:r w:rsidRPr="00352396">
              <w:rPr>
                <w:color w:val="000000"/>
                <w:sz w:val="24"/>
              </w:rPr>
              <w:t>基金赎回款</w:t>
            </w:r>
          </w:p>
        </w:tc>
        <w:tc>
          <w:tcPr>
            <w:tcW w:w="2126" w:type="dxa"/>
            <w:vAlign w:val="center"/>
          </w:tcPr>
          <w:p w:rsidR="00341C6D" w:rsidRPr="00341C6D" w:rsidRDefault="00341C6D" w:rsidP="00305080">
            <w:pPr>
              <w:spacing w:before="29" w:line="288" w:lineRule="auto"/>
              <w:jc w:val="right"/>
              <w:rPr>
                <w:color w:val="000000"/>
                <w:sz w:val="24"/>
              </w:rPr>
            </w:pPr>
            <w:r w:rsidRPr="00341C6D">
              <w:rPr>
                <w:color w:val="000000"/>
                <w:sz w:val="24"/>
              </w:rPr>
              <w:t>-</w:t>
            </w:r>
          </w:p>
        </w:tc>
        <w:tc>
          <w:tcPr>
            <w:tcW w:w="2126" w:type="dxa"/>
            <w:gridSpan w:val="2"/>
            <w:vAlign w:val="center"/>
          </w:tcPr>
          <w:p w:rsidR="00341C6D" w:rsidRPr="00341C6D" w:rsidRDefault="00341C6D" w:rsidP="00305080">
            <w:pPr>
              <w:spacing w:before="29" w:line="288" w:lineRule="auto"/>
              <w:jc w:val="right"/>
              <w:rPr>
                <w:color w:val="000000"/>
                <w:sz w:val="24"/>
              </w:rPr>
            </w:pPr>
            <w:r w:rsidRPr="00341C6D">
              <w:rPr>
                <w:color w:val="000000"/>
                <w:sz w:val="24"/>
              </w:rPr>
              <w:t>-</w:t>
            </w:r>
          </w:p>
        </w:tc>
        <w:tc>
          <w:tcPr>
            <w:tcW w:w="2268" w:type="dxa"/>
            <w:gridSpan w:val="2"/>
            <w:vAlign w:val="center"/>
          </w:tcPr>
          <w:p w:rsidR="00341C6D" w:rsidRPr="00341C6D" w:rsidRDefault="00341C6D" w:rsidP="00305080">
            <w:pPr>
              <w:spacing w:before="29" w:line="288" w:lineRule="auto"/>
              <w:jc w:val="right"/>
              <w:rPr>
                <w:color w:val="000000"/>
                <w:sz w:val="24"/>
              </w:rPr>
            </w:pPr>
            <w:r w:rsidRPr="00341C6D">
              <w:rPr>
                <w:color w:val="000000"/>
                <w:sz w:val="24"/>
              </w:rPr>
              <w:t>-</w:t>
            </w:r>
          </w:p>
        </w:tc>
      </w:tr>
      <w:tr w:rsidR="00341C6D" w:rsidRPr="00352396" w:rsidTr="00341C6D">
        <w:tc>
          <w:tcPr>
            <w:tcW w:w="2552" w:type="dxa"/>
            <w:vAlign w:val="center"/>
          </w:tcPr>
          <w:p w:rsidR="00341C6D" w:rsidRPr="00352396" w:rsidRDefault="00341C6D" w:rsidP="00305080">
            <w:pPr>
              <w:spacing w:before="29" w:line="288" w:lineRule="auto"/>
              <w:rPr>
                <w:color w:val="000000"/>
                <w:sz w:val="24"/>
              </w:rPr>
            </w:pPr>
            <w:r w:rsidRPr="00352396">
              <w:rPr>
                <w:color w:val="000000"/>
                <w:sz w:val="24"/>
              </w:rPr>
              <w:t>四、本期向基金份额持有人分配利润产生的基金净值变动（净值减少以</w:t>
            </w:r>
            <w:r w:rsidRPr="00352396">
              <w:rPr>
                <w:color w:val="000000"/>
                <w:sz w:val="24"/>
              </w:rPr>
              <w:t>“-”</w:t>
            </w:r>
            <w:r w:rsidRPr="00352396">
              <w:rPr>
                <w:color w:val="000000"/>
                <w:sz w:val="24"/>
              </w:rPr>
              <w:t>号填列）</w:t>
            </w:r>
          </w:p>
        </w:tc>
        <w:tc>
          <w:tcPr>
            <w:tcW w:w="2126" w:type="dxa"/>
            <w:vAlign w:val="center"/>
          </w:tcPr>
          <w:p w:rsidR="00341C6D" w:rsidRPr="00341C6D" w:rsidRDefault="00341C6D" w:rsidP="00305080">
            <w:pPr>
              <w:spacing w:before="29" w:line="288" w:lineRule="auto"/>
              <w:jc w:val="right"/>
              <w:rPr>
                <w:color w:val="000000"/>
                <w:sz w:val="24"/>
              </w:rPr>
            </w:pPr>
            <w:r w:rsidRPr="00341C6D">
              <w:rPr>
                <w:color w:val="000000"/>
                <w:sz w:val="24"/>
              </w:rPr>
              <w:t>-</w:t>
            </w:r>
          </w:p>
        </w:tc>
        <w:tc>
          <w:tcPr>
            <w:tcW w:w="2126" w:type="dxa"/>
            <w:gridSpan w:val="2"/>
            <w:vAlign w:val="center"/>
          </w:tcPr>
          <w:p w:rsidR="00341C6D" w:rsidRPr="00341C6D" w:rsidRDefault="00341C6D" w:rsidP="00305080">
            <w:pPr>
              <w:spacing w:before="29" w:line="288" w:lineRule="auto"/>
              <w:jc w:val="right"/>
              <w:rPr>
                <w:color w:val="000000"/>
                <w:sz w:val="24"/>
              </w:rPr>
            </w:pPr>
            <w:r w:rsidRPr="00341C6D">
              <w:rPr>
                <w:color w:val="000000"/>
                <w:sz w:val="24"/>
              </w:rPr>
              <w:t>-</w:t>
            </w:r>
          </w:p>
        </w:tc>
        <w:tc>
          <w:tcPr>
            <w:tcW w:w="2268" w:type="dxa"/>
            <w:gridSpan w:val="2"/>
            <w:vAlign w:val="center"/>
          </w:tcPr>
          <w:p w:rsidR="00341C6D" w:rsidRPr="00341C6D" w:rsidRDefault="00341C6D" w:rsidP="00305080">
            <w:pPr>
              <w:spacing w:before="29" w:line="288" w:lineRule="auto"/>
              <w:jc w:val="right"/>
              <w:rPr>
                <w:color w:val="000000"/>
                <w:sz w:val="24"/>
              </w:rPr>
            </w:pPr>
            <w:r w:rsidRPr="00341C6D">
              <w:rPr>
                <w:color w:val="000000"/>
                <w:sz w:val="24"/>
              </w:rPr>
              <w:t>-</w:t>
            </w:r>
          </w:p>
        </w:tc>
      </w:tr>
      <w:tr w:rsidR="00341C6D" w:rsidRPr="00352396" w:rsidTr="00341C6D">
        <w:tc>
          <w:tcPr>
            <w:tcW w:w="2552" w:type="dxa"/>
            <w:vAlign w:val="center"/>
          </w:tcPr>
          <w:p w:rsidR="00341C6D" w:rsidRPr="00352396" w:rsidRDefault="00341C6D" w:rsidP="00305080">
            <w:pPr>
              <w:spacing w:before="29" w:line="288" w:lineRule="auto"/>
              <w:rPr>
                <w:color w:val="000000"/>
                <w:sz w:val="24"/>
              </w:rPr>
            </w:pPr>
            <w:r w:rsidRPr="00352396">
              <w:rPr>
                <w:color w:val="000000"/>
                <w:sz w:val="24"/>
              </w:rPr>
              <w:t>五、期末所有者权益（基金净值）</w:t>
            </w:r>
          </w:p>
        </w:tc>
        <w:tc>
          <w:tcPr>
            <w:tcW w:w="2126" w:type="dxa"/>
            <w:vAlign w:val="center"/>
          </w:tcPr>
          <w:p w:rsidR="00341C6D" w:rsidRPr="00341C6D" w:rsidRDefault="00341C6D" w:rsidP="00305080">
            <w:pPr>
              <w:spacing w:before="29" w:line="288" w:lineRule="auto"/>
              <w:jc w:val="right"/>
              <w:rPr>
                <w:color w:val="000000"/>
                <w:sz w:val="24"/>
              </w:rPr>
            </w:pPr>
            <w:r w:rsidRPr="00341C6D">
              <w:rPr>
                <w:color w:val="000000"/>
                <w:sz w:val="24"/>
              </w:rPr>
              <w:t>331,589,908.23</w:t>
            </w:r>
          </w:p>
        </w:tc>
        <w:tc>
          <w:tcPr>
            <w:tcW w:w="2126" w:type="dxa"/>
            <w:gridSpan w:val="2"/>
            <w:vAlign w:val="center"/>
          </w:tcPr>
          <w:p w:rsidR="00341C6D" w:rsidRPr="00341C6D" w:rsidRDefault="00341C6D" w:rsidP="00305080">
            <w:pPr>
              <w:spacing w:before="29" w:line="288" w:lineRule="auto"/>
              <w:jc w:val="right"/>
              <w:rPr>
                <w:color w:val="000000"/>
                <w:sz w:val="24"/>
              </w:rPr>
            </w:pPr>
            <w:r w:rsidRPr="00341C6D">
              <w:rPr>
                <w:rFonts w:hint="eastAsia"/>
                <w:color w:val="000000"/>
                <w:sz w:val="24"/>
              </w:rPr>
              <w:t>-998,452.11</w:t>
            </w:r>
          </w:p>
        </w:tc>
        <w:tc>
          <w:tcPr>
            <w:tcW w:w="2268" w:type="dxa"/>
            <w:gridSpan w:val="2"/>
            <w:vAlign w:val="center"/>
          </w:tcPr>
          <w:p w:rsidR="00341C6D" w:rsidRPr="00341C6D" w:rsidRDefault="00341C6D" w:rsidP="00305080">
            <w:pPr>
              <w:spacing w:before="29" w:line="288" w:lineRule="auto"/>
              <w:jc w:val="right"/>
              <w:rPr>
                <w:color w:val="000000"/>
                <w:sz w:val="24"/>
              </w:rPr>
            </w:pPr>
            <w:r w:rsidRPr="00341C6D">
              <w:rPr>
                <w:color w:val="000000"/>
                <w:sz w:val="24"/>
              </w:rPr>
              <w:t>330,591,456.12</w:t>
            </w:r>
          </w:p>
        </w:tc>
      </w:tr>
    </w:tbl>
    <w:p w:rsidR="001548F9" w:rsidRPr="001B7979" w:rsidRDefault="001548F9" w:rsidP="00341C6D">
      <w:pPr>
        <w:spacing w:before="29" w:line="288" w:lineRule="auto"/>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17816345"/>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637861" w:rsidRDefault="00762792">
      <w:pPr>
        <w:spacing w:before="29" w:line="288" w:lineRule="auto"/>
        <w:ind w:firstLineChars="200" w:firstLine="480"/>
        <w:rPr>
          <w:kern w:val="0"/>
          <w:sz w:val="24"/>
        </w:rPr>
      </w:pPr>
      <w:r>
        <w:rPr>
          <w:kern w:val="0"/>
          <w:sz w:val="24"/>
        </w:rPr>
        <w:t>交银施罗德丰晟收益债券型证券投资基金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[2017]2396</w:t>
      </w:r>
      <w:r>
        <w:rPr>
          <w:kern w:val="0"/>
          <w:sz w:val="24"/>
        </w:rPr>
        <w:t>号《关于准予交银施罗德丰晟收益债券型证券投资基金注册的批复》核准，由交银施罗德基金管理有限公司依照《中华人民共和国证券投资基金法》和《交银施罗德丰晟收益债券型证券投资基金基金合同》负责公开募集。本基金为契约型基金，存续期限不定。本基金在基金合同生效之日起两年</w:t>
      </w:r>
      <w:r>
        <w:rPr>
          <w:kern w:val="0"/>
          <w:sz w:val="24"/>
        </w:rPr>
        <w:t>(</w:t>
      </w:r>
      <w:r>
        <w:rPr>
          <w:kern w:val="0"/>
          <w:sz w:val="24"/>
        </w:rPr>
        <w:t>含两年</w:t>
      </w:r>
      <w:r>
        <w:rPr>
          <w:kern w:val="0"/>
          <w:sz w:val="24"/>
        </w:rPr>
        <w:t>)</w:t>
      </w:r>
      <w:r>
        <w:rPr>
          <w:kern w:val="0"/>
          <w:sz w:val="24"/>
        </w:rPr>
        <w:t>的期间内封闭式运作，封闭期结束后转为开放式运作。本基金首次设立募集不包括认购资金利息共募集人民币</w:t>
      </w:r>
      <w:r>
        <w:rPr>
          <w:kern w:val="0"/>
          <w:sz w:val="24"/>
        </w:rPr>
        <w:t>331,456,146.51</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(2018)</w:t>
      </w:r>
      <w:r>
        <w:rPr>
          <w:kern w:val="0"/>
          <w:sz w:val="24"/>
        </w:rPr>
        <w:t>第</w:t>
      </w:r>
      <w:r>
        <w:rPr>
          <w:kern w:val="0"/>
          <w:sz w:val="24"/>
        </w:rPr>
        <w:t>0349</w:t>
      </w:r>
      <w:r>
        <w:rPr>
          <w:kern w:val="0"/>
          <w:sz w:val="24"/>
        </w:rPr>
        <w:t>号验资报告予以验证。经向中国证监会备案，《交银施罗德丰晟收益债券型证券投资基金基金合同》于</w:t>
      </w:r>
      <w:r>
        <w:rPr>
          <w:kern w:val="0"/>
          <w:sz w:val="24"/>
        </w:rPr>
        <w:t>2018</w:t>
      </w:r>
      <w:r>
        <w:rPr>
          <w:kern w:val="0"/>
          <w:sz w:val="24"/>
        </w:rPr>
        <w:t>年</w:t>
      </w:r>
      <w:r>
        <w:rPr>
          <w:kern w:val="0"/>
          <w:sz w:val="24"/>
        </w:rPr>
        <w:t>5</w:t>
      </w:r>
      <w:r>
        <w:rPr>
          <w:kern w:val="0"/>
          <w:sz w:val="24"/>
        </w:rPr>
        <w:t>月</w:t>
      </w:r>
      <w:r>
        <w:rPr>
          <w:kern w:val="0"/>
          <w:sz w:val="24"/>
        </w:rPr>
        <w:t>23</w:t>
      </w:r>
      <w:r>
        <w:rPr>
          <w:kern w:val="0"/>
          <w:sz w:val="24"/>
        </w:rPr>
        <w:t>日正式生效，基金合同生效日的基金份额总额为</w:t>
      </w:r>
      <w:r>
        <w:rPr>
          <w:kern w:val="0"/>
          <w:sz w:val="24"/>
        </w:rPr>
        <w:t>331,589,908.23</w:t>
      </w:r>
      <w:r>
        <w:rPr>
          <w:kern w:val="0"/>
          <w:sz w:val="24"/>
        </w:rPr>
        <w:t>份基金份额，其中认购资金利息折合</w:t>
      </w:r>
      <w:r>
        <w:rPr>
          <w:kern w:val="0"/>
          <w:sz w:val="24"/>
        </w:rPr>
        <w:t>133,761.72</w:t>
      </w:r>
      <w:r>
        <w:rPr>
          <w:kern w:val="0"/>
          <w:sz w:val="24"/>
        </w:rPr>
        <w:t>份基金份额。本基金的基金管理人为交银施罗德基金管理有限公司，基金托管人为招商银行股份有限公司。</w:t>
      </w:r>
    </w:p>
    <w:p w:rsidR="00637861" w:rsidRDefault="00762792">
      <w:pPr>
        <w:spacing w:before="29" w:line="288" w:lineRule="auto"/>
        <w:ind w:firstLineChars="200" w:firstLine="480"/>
        <w:rPr>
          <w:kern w:val="0"/>
          <w:sz w:val="24"/>
        </w:rPr>
      </w:pPr>
      <w:r>
        <w:rPr>
          <w:kern w:val="0"/>
          <w:sz w:val="24"/>
        </w:rPr>
        <w:t>根据《交银施罗德丰晟收益债券型证券投资基金基金合同》和《交银施罗德丰晟收益债券型证券投资基金招募说明书》，本基金根据认购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申购费用，赎回时收取短期赎回费，并从本类别基金资产中计提销售服务费的，称为</w:t>
      </w:r>
      <w:r>
        <w:rPr>
          <w:kern w:val="0"/>
          <w:sz w:val="24"/>
        </w:rPr>
        <w:t>C</w:t>
      </w:r>
      <w:r>
        <w:rPr>
          <w:kern w:val="0"/>
          <w:sz w:val="24"/>
        </w:rPr>
        <w:t>类基金份额。本基金募集期内开通</w:t>
      </w:r>
      <w:r>
        <w:rPr>
          <w:kern w:val="0"/>
          <w:sz w:val="24"/>
        </w:rPr>
        <w:t>A</w:t>
      </w:r>
      <w:r>
        <w:rPr>
          <w:kern w:val="0"/>
          <w:sz w:val="24"/>
        </w:rPr>
        <w:t>类基金份额和</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丰晟收益债券型证券投资基金基金合同》的有关规定，本基金的投资范围为具有良好流动性的金融工具，包括国内依法发行交易的国债、金融债、央行票据、地方政府债、企业债、公司债、可分离交易可转债的纯债部分、公开发行的次级债、资产支持证券、短期融资券、超级短期融资券、中小企业私募债、中期票据、债券回购、银行存款、同业存单、货币市场工具等资产和法律法规允许投资的其他金融工具。本基金不投资于股票、权证等资产，也不投资于可转换债券</w:t>
      </w:r>
      <w:r w:rsidRPr="001B7979">
        <w:rPr>
          <w:kern w:val="0"/>
          <w:sz w:val="24"/>
        </w:rPr>
        <w:t>(</w:t>
      </w:r>
      <w:r w:rsidRPr="001B7979">
        <w:rPr>
          <w:kern w:val="0"/>
          <w:sz w:val="24"/>
        </w:rPr>
        <w:t>可分离交易可转债的纯债部分除外</w:t>
      </w:r>
      <w:r w:rsidRPr="001B7979">
        <w:rPr>
          <w:kern w:val="0"/>
          <w:sz w:val="24"/>
        </w:rPr>
        <w:t>)</w:t>
      </w:r>
      <w:r w:rsidRPr="001B7979">
        <w:rPr>
          <w:kern w:val="0"/>
          <w:sz w:val="24"/>
        </w:rPr>
        <w:t>、可交换债券。如法律法规或监管机构以后允许基金投资其他品种，基金管理人在履行适当程序后，可以将其纳入投资范围。本基金的投资组合比例为投资于债券资产的比例不低于基金资产的</w:t>
      </w:r>
      <w:r w:rsidRPr="001B7979">
        <w:rPr>
          <w:kern w:val="0"/>
          <w:sz w:val="24"/>
        </w:rPr>
        <w:t>80%</w:t>
      </w:r>
      <w:r w:rsidRPr="001B7979">
        <w:rPr>
          <w:kern w:val="0"/>
          <w:sz w:val="24"/>
        </w:rPr>
        <w:t>，但在封闭期结束前三个月和转开放后三个月内，基金投资不受上述债券资产投资比例限制。本基金转为开放式运作后，现金或到期日在一年以内的政府债券的比例合计不低于基金资产净值的</w:t>
      </w:r>
      <w:r w:rsidRPr="001B7979">
        <w:rPr>
          <w:kern w:val="0"/>
          <w:sz w:val="24"/>
        </w:rPr>
        <w:t>5%</w:t>
      </w:r>
      <w:r w:rsidRPr="001B7979">
        <w:rPr>
          <w:kern w:val="0"/>
          <w:sz w:val="24"/>
        </w:rPr>
        <w:t>，其中现金不包括结算备付金、存出保证金、应收申购款等。本基金的业绩比较基准为中债综合全价指数收益率。</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637861" w:rsidRDefault="00762792">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颁布的《证券投资基金会计核算业务指引》、《交银施罗德丰晟收益债券型证券投资基金基金合同》和在财务报表附注</w:t>
      </w:r>
      <w:r>
        <w:rPr>
          <w:kern w:val="0"/>
          <w:sz w:val="24"/>
        </w:rPr>
        <w:t>6.4.4</w:t>
      </w:r>
      <w:r>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0"/>
        <w:rPr>
          <w:kern w:val="0"/>
          <w:sz w:val="24"/>
        </w:rPr>
      </w:pPr>
      <w:r w:rsidRPr="001B7979">
        <w:rPr>
          <w:kern w:val="0"/>
          <w:sz w:val="24"/>
        </w:rPr>
        <w:t>本财务报表以持续经营为基础编制。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2019</w:t>
      </w:r>
      <w:r w:rsidRPr="001B7979">
        <w:rPr>
          <w:kern w:val="0"/>
          <w:sz w:val="24"/>
        </w:rPr>
        <w:t>上半年度财务报表符合企业会计准则的要求，真实、完整地反映了本基金</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2019</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D167D9" w:rsidRPr="001B7979" w:rsidRDefault="00D167D9" w:rsidP="00FF3C5B">
      <w:pPr>
        <w:autoSpaceDE w:val="0"/>
        <w:autoSpaceDN w:val="0"/>
        <w:adjustRightInd w:val="0"/>
        <w:snapToGrid w:val="0"/>
        <w:spacing w:before="29" w:line="288" w:lineRule="auto"/>
        <w:jc w:val="left"/>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637861" w:rsidRDefault="00762792">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637861" w:rsidRDefault="00762792">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637861" w:rsidRDefault="00762792">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637861" w:rsidRDefault="00762792">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548F9" w:rsidRPr="001B7979" w:rsidRDefault="001548F9" w:rsidP="00571B8A">
      <w:pPr>
        <w:spacing w:before="29" w:line="288" w:lineRule="auto"/>
        <w:ind w:firstLineChars="200" w:firstLine="480"/>
        <w:rPr>
          <w:kern w:val="0"/>
          <w:sz w:val="24"/>
        </w:rPr>
      </w:pPr>
      <w:r w:rsidRPr="001B7979">
        <w:rPr>
          <w:kern w:val="0"/>
          <w:sz w:val="24"/>
        </w:rPr>
        <w:t>(4)</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591,102.90</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591,102.90</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2019</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320,603,293.75</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325,274,100.00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4,670,806.25</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324,872,625.90</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331,669,000.00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6,796,374.10</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645,475,919.65</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656,943,100.00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11,467,180.35</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645,475,919.65</w:t>
            </w:r>
          </w:p>
        </w:tc>
        <w:tc>
          <w:tcPr>
            <w:tcW w:w="2264" w:type="dxa"/>
            <w:vAlign w:val="center"/>
          </w:tcPr>
          <w:p w:rsidR="00DE2112" w:rsidRPr="001B7979" w:rsidRDefault="00DE2112" w:rsidP="00571B8A">
            <w:pPr>
              <w:spacing w:before="29" w:line="288" w:lineRule="auto"/>
              <w:jc w:val="right"/>
              <w:rPr>
                <w:sz w:val="24"/>
              </w:rPr>
            </w:pPr>
            <w:r w:rsidRPr="001B7979">
              <w:rPr>
                <w:sz w:val="24"/>
              </w:rPr>
              <w:t>656,943,100.00</w:t>
            </w:r>
          </w:p>
        </w:tc>
        <w:tc>
          <w:tcPr>
            <w:tcW w:w="2265" w:type="dxa"/>
            <w:vAlign w:val="center"/>
          </w:tcPr>
          <w:p w:rsidR="00DE2112" w:rsidRPr="001B7979" w:rsidRDefault="00DE2112" w:rsidP="00571B8A">
            <w:pPr>
              <w:spacing w:before="29" w:line="288" w:lineRule="auto"/>
              <w:jc w:val="right"/>
              <w:rPr>
                <w:sz w:val="24"/>
              </w:rPr>
            </w:pPr>
            <w:r w:rsidRPr="001B7979">
              <w:rPr>
                <w:sz w:val="24"/>
              </w:rPr>
              <w:t>11,467,180.35</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149.98</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8,906.40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12,415,724.36</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0.30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12,424,781.04</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15,688.22</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15,688.22</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37861">
        <w:tc>
          <w:tcPr>
            <w:tcW w:w="3610" w:type="dxa"/>
            <w:vAlign w:val="center"/>
          </w:tcPr>
          <w:p w:rsidR="00637861" w:rsidRDefault="00762792">
            <w:pPr>
              <w:jc w:val="left"/>
            </w:pPr>
            <w:r>
              <w:rPr>
                <w:sz w:val="24"/>
              </w:rPr>
              <w:t>预提信息披露费</w:t>
            </w:r>
          </w:p>
        </w:tc>
        <w:tc>
          <w:tcPr>
            <w:tcW w:w="5388" w:type="dxa"/>
            <w:vAlign w:val="center"/>
          </w:tcPr>
          <w:p w:rsidR="00637861" w:rsidRDefault="00762792">
            <w:pPr>
              <w:jc w:val="right"/>
            </w:pPr>
            <w:r>
              <w:rPr>
                <w:sz w:val="24"/>
              </w:rPr>
              <w:t>57,767.18</w:t>
            </w:r>
          </w:p>
        </w:tc>
      </w:tr>
      <w:tr w:rsidR="00637861">
        <w:tc>
          <w:tcPr>
            <w:tcW w:w="3610" w:type="dxa"/>
            <w:vAlign w:val="center"/>
          </w:tcPr>
          <w:p w:rsidR="00637861" w:rsidRDefault="00762792">
            <w:pPr>
              <w:jc w:val="left"/>
            </w:pPr>
            <w:r>
              <w:rPr>
                <w:sz w:val="24"/>
              </w:rPr>
              <w:t>预提审计费</w:t>
            </w:r>
          </w:p>
        </w:tc>
        <w:tc>
          <w:tcPr>
            <w:tcW w:w="5388" w:type="dxa"/>
            <w:vAlign w:val="center"/>
          </w:tcPr>
          <w:p w:rsidR="00637861" w:rsidRDefault="00762792">
            <w:pPr>
              <w:jc w:val="right"/>
            </w:pPr>
            <w:r>
              <w:rPr>
                <w:sz w:val="24"/>
              </w:rPr>
              <w:t>29,752.78</w:t>
            </w:r>
          </w:p>
        </w:tc>
      </w:tr>
      <w:tr w:rsidR="00637861">
        <w:tc>
          <w:tcPr>
            <w:tcW w:w="3610" w:type="dxa"/>
            <w:vAlign w:val="center"/>
          </w:tcPr>
          <w:p w:rsidR="00637861" w:rsidRDefault="00762792">
            <w:pPr>
              <w:jc w:val="left"/>
            </w:pPr>
            <w:r>
              <w:rPr>
                <w:sz w:val="24"/>
              </w:rPr>
              <w:t>预提账户维护费</w:t>
            </w:r>
          </w:p>
        </w:tc>
        <w:tc>
          <w:tcPr>
            <w:tcW w:w="5388" w:type="dxa"/>
            <w:vAlign w:val="center"/>
          </w:tcPr>
          <w:p w:rsidR="00637861" w:rsidRDefault="00762792">
            <w:pPr>
              <w:jc w:val="right"/>
            </w:pPr>
            <w:r>
              <w:rPr>
                <w:sz w:val="24"/>
              </w:rPr>
              <w:t>9,300.00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96,819.96</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交银丰晟收益债券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330,813,244.80</w:t>
            </w:r>
          </w:p>
        </w:tc>
        <w:tc>
          <w:tcPr>
            <w:tcW w:w="3120" w:type="dxa"/>
            <w:vAlign w:val="center"/>
          </w:tcPr>
          <w:p w:rsidR="001548F9" w:rsidRPr="001B7979" w:rsidRDefault="001548F9" w:rsidP="00571B8A">
            <w:pPr>
              <w:spacing w:before="29" w:line="288" w:lineRule="auto"/>
              <w:jc w:val="right"/>
              <w:rPr>
                <w:sz w:val="24"/>
              </w:rPr>
            </w:pPr>
            <w:r w:rsidRPr="001B7979">
              <w:rPr>
                <w:sz w:val="24"/>
              </w:rPr>
              <w:t>330,813,244.80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330,813,244.80</w:t>
            </w:r>
          </w:p>
        </w:tc>
        <w:tc>
          <w:tcPr>
            <w:tcW w:w="3120" w:type="dxa"/>
            <w:vAlign w:val="center"/>
          </w:tcPr>
          <w:p w:rsidR="001548F9" w:rsidRPr="001B7979" w:rsidRDefault="001548F9" w:rsidP="00571B8A">
            <w:pPr>
              <w:spacing w:before="29" w:line="288" w:lineRule="auto"/>
              <w:jc w:val="right"/>
              <w:rPr>
                <w:sz w:val="24"/>
              </w:rPr>
            </w:pPr>
            <w:r w:rsidRPr="001B7979">
              <w:rPr>
                <w:sz w:val="24"/>
              </w:rPr>
              <w:t>330,813,244.80</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交银丰晟收益债券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776,663.43</w:t>
            </w:r>
          </w:p>
        </w:tc>
        <w:tc>
          <w:tcPr>
            <w:tcW w:w="3120" w:type="dxa"/>
            <w:vAlign w:val="center"/>
          </w:tcPr>
          <w:p w:rsidR="001548F9" w:rsidRPr="001B7979" w:rsidRDefault="001548F9" w:rsidP="00571B8A">
            <w:pPr>
              <w:spacing w:before="29" w:line="288" w:lineRule="auto"/>
              <w:jc w:val="right"/>
              <w:rPr>
                <w:sz w:val="24"/>
              </w:rPr>
            </w:pPr>
            <w:r w:rsidRPr="001B7979">
              <w:rPr>
                <w:sz w:val="24"/>
              </w:rPr>
              <w:t>776,663.43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776,663.43</w:t>
            </w:r>
          </w:p>
        </w:tc>
        <w:tc>
          <w:tcPr>
            <w:tcW w:w="3120" w:type="dxa"/>
            <w:vAlign w:val="center"/>
          </w:tcPr>
          <w:p w:rsidR="001548F9" w:rsidRPr="001B7979" w:rsidRDefault="001548F9" w:rsidP="00571B8A">
            <w:pPr>
              <w:spacing w:before="29" w:line="288" w:lineRule="auto"/>
              <w:jc w:val="right"/>
              <w:rPr>
                <w:sz w:val="24"/>
              </w:rPr>
            </w:pPr>
            <w:r w:rsidRPr="001B7979">
              <w:rPr>
                <w:sz w:val="24"/>
              </w:rPr>
              <w:t>776,663.43</w:t>
            </w:r>
          </w:p>
        </w:tc>
      </w:tr>
    </w:tbl>
    <w:p w:rsidR="00637861" w:rsidRDefault="00762792">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交银丰晟收益债券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12,167,959.63</w:t>
            </w:r>
          </w:p>
        </w:tc>
        <w:tc>
          <w:tcPr>
            <w:tcW w:w="2236" w:type="dxa"/>
            <w:vAlign w:val="center"/>
          </w:tcPr>
          <w:p w:rsidR="001548F9" w:rsidRPr="001B7979" w:rsidRDefault="001548F9" w:rsidP="00571B8A">
            <w:pPr>
              <w:spacing w:before="29" w:line="288" w:lineRule="auto"/>
              <w:jc w:val="right"/>
              <w:rPr>
                <w:sz w:val="24"/>
              </w:rPr>
            </w:pPr>
            <w:r w:rsidRPr="001B7979">
              <w:rPr>
                <w:sz w:val="24"/>
              </w:rPr>
              <w:t>10,299,032.83</w:t>
            </w:r>
          </w:p>
        </w:tc>
        <w:tc>
          <w:tcPr>
            <w:tcW w:w="2237" w:type="dxa"/>
            <w:vAlign w:val="center"/>
          </w:tcPr>
          <w:p w:rsidR="001548F9" w:rsidRPr="001B7979" w:rsidRDefault="001548F9" w:rsidP="00571B8A">
            <w:pPr>
              <w:spacing w:before="29" w:line="288" w:lineRule="auto"/>
              <w:jc w:val="right"/>
              <w:rPr>
                <w:sz w:val="24"/>
              </w:rPr>
            </w:pPr>
            <w:r w:rsidRPr="001B7979">
              <w:rPr>
                <w:sz w:val="24"/>
              </w:rPr>
              <w:t>22,466,992.46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10,020,433.17</w:t>
            </w:r>
          </w:p>
        </w:tc>
        <w:tc>
          <w:tcPr>
            <w:tcW w:w="2236" w:type="dxa"/>
            <w:vAlign w:val="center"/>
          </w:tcPr>
          <w:p w:rsidR="001548F9" w:rsidRPr="001B7979" w:rsidRDefault="001548F9" w:rsidP="00571B8A">
            <w:pPr>
              <w:spacing w:before="29" w:line="288" w:lineRule="auto"/>
              <w:jc w:val="right"/>
              <w:rPr>
                <w:sz w:val="24"/>
              </w:rPr>
            </w:pPr>
            <w:r w:rsidRPr="001B7979">
              <w:rPr>
                <w:sz w:val="24"/>
              </w:rPr>
              <w:t>1,141,353.45</w:t>
            </w:r>
          </w:p>
        </w:tc>
        <w:tc>
          <w:tcPr>
            <w:tcW w:w="2237" w:type="dxa"/>
            <w:vAlign w:val="center"/>
          </w:tcPr>
          <w:p w:rsidR="001548F9" w:rsidRPr="001B7979" w:rsidRDefault="001548F9" w:rsidP="00571B8A">
            <w:pPr>
              <w:spacing w:before="29" w:line="288" w:lineRule="auto"/>
              <w:jc w:val="right"/>
              <w:rPr>
                <w:sz w:val="24"/>
              </w:rPr>
            </w:pPr>
            <w:r w:rsidRPr="001B7979">
              <w:rPr>
                <w:sz w:val="24"/>
              </w:rPr>
              <w:t>11,161,786.62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-11,247,650.94</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-11,247,650.94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10,940,741.86</w:t>
            </w:r>
          </w:p>
        </w:tc>
        <w:tc>
          <w:tcPr>
            <w:tcW w:w="2236" w:type="dxa"/>
            <w:vAlign w:val="center"/>
          </w:tcPr>
          <w:p w:rsidR="001548F9" w:rsidRPr="001B7979" w:rsidRDefault="001548F9" w:rsidP="00571B8A">
            <w:pPr>
              <w:spacing w:before="29" w:line="288" w:lineRule="auto"/>
              <w:jc w:val="right"/>
              <w:rPr>
                <w:sz w:val="24"/>
              </w:rPr>
            </w:pPr>
            <w:r w:rsidRPr="001B7979">
              <w:rPr>
                <w:sz w:val="24"/>
              </w:rPr>
              <w:t>11,440,386.28</w:t>
            </w:r>
          </w:p>
        </w:tc>
        <w:tc>
          <w:tcPr>
            <w:tcW w:w="2237" w:type="dxa"/>
            <w:vAlign w:val="center"/>
          </w:tcPr>
          <w:p w:rsidR="001548F9" w:rsidRPr="001B7979" w:rsidRDefault="001548F9" w:rsidP="00571B8A">
            <w:pPr>
              <w:spacing w:before="29" w:line="288" w:lineRule="auto"/>
              <w:jc w:val="right"/>
              <w:rPr>
                <w:sz w:val="24"/>
              </w:rPr>
            </w:pPr>
            <w:r w:rsidRPr="001B7979">
              <w:rPr>
                <w:sz w:val="24"/>
              </w:rPr>
              <w:t>22,381,128.14</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交银丰晟收益债券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25,589.73</w:t>
            </w:r>
          </w:p>
        </w:tc>
        <w:tc>
          <w:tcPr>
            <w:tcW w:w="2268" w:type="dxa"/>
            <w:vAlign w:val="center"/>
          </w:tcPr>
          <w:p w:rsidR="001548F9" w:rsidRPr="001B7979" w:rsidRDefault="001548F9" w:rsidP="00571B8A">
            <w:pPr>
              <w:spacing w:before="29" w:line="288" w:lineRule="auto"/>
              <w:jc w:val="right"/>
              <w:rPr>
                <w:sz w:val="24"/>
              </w:rPr>
            </w:pPr>
            <w:r w:rsidRPr="001B7979">
              <w:rPr>
                <w:sz w:val="24"/>
              </w:rPr>
              <w:t>24,136.54</w:t>
            </w:r>
          </w:p>
        </w:tc>
        <w:tc>
          <w:tcPr>
            <w:tcW w:w="2126" w:type="dxa"/>
            <w:vAlign w:val="center"/>
          </w:tcPr>
          <w:p w:rsidR="001548F9" w:rsidRPr="001B7979" w:rsidRDefault="001548F9" w:rsidP="00571B8A">
            <w:pPr>
              <w:spacing w:before="29" w:line="288" w:lineRule="auto"/>
              <w:jc w:val="right"/>
              <w:rPr>
                <w:sz w:val="24"/>
              </w:rPr>
            </w:pPr>
            <w:r w:rsidRPr="001B7979">
              <w:rPr>
                <w:sz w:val="24"/>
              </w:rPr>
              <w:t>49,726.27</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21,036.94</w:t>
            </w:r>
          </w:p>
        </w:tc>
        <w:tc>
          <w:tcPr>
            <w:tcW w:w="2268" w:type="dxa"/>
            <w:vAlign w:val="center"/>
          </w:tcPr>
          <w:p w:rsidR="001548F9" w:rsidRPr="001B7979" w:rsidRDefault="001548F9" w:rsidP="00571B8A">
            <w:pPr>
              <w:spacing w:before="29" w:line="288" w:lineRule="auto"/>
              <w:jc w:val="right"/>
              <w:rPr>
                <w:sz w:val="24"/>
              </w:rPr>
            </w:pPr>
            <w:r w:rsidRPr="001B7979">
              <w:rPr>
                <w:sz w:val="24"/>
              </w:rPr>
              <w:t>2,657.53</w:t>
            </w:r>
          </w:p>
        </w:tc>
        <w:tc>
          <w:tcPr>
            <w:tcW w:w="2126" w:type="dxa"/>
            <w:vAlign w:val="center"/>
          </w:tcPr>
          <w:p w:rsidR="001548F9" w:rsidRPr="001B7979" w:rsidRDefault="001548F9" w:rsidP="00571B8A">
            <w:pPr>
              <w:spacing w:before="29" w:line="288" w:lineRule="auto"/>
              <w:jc w:val="right"/>
              <w:rPr>
                <w:sz w:val="24"/>
              </w:rPr>
            </w:pPr>
            <w:r w:rsidRPr="001B7979">
              <w:rPr>
                <w:sz w:val="24"/>
              </w:rPr>
              <w:t>23,694.47</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-23,299.92</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-23,299.92</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23,326.75</w:t>
            </w:r>
          </w:p>
        </w:tc>
        <w:tc>
          <w:tcPr>
            <w:tcW w:w="2268" w:type="dxa"/>
            <w:vAlign w:val="center"/>
          </w:tcPr>
          <w:p w:rsidR="001548F9" w:rsidRPr="001B7979" w:rsidRDefault="001548F9" w:rsidP="00571B8A">
            <w:pPr>
              <w:spacing w:before="29" w:line="288" w:lineRule="auto"/>
              <w:jc w:val="right"/>
              <w:rPr>
                <w:sz w:val="24"/>
              </w:rPr>
            </w:pPr>
            <w:r w:rsidRPr="001B7979">
              <w:rPr>
                <w:sz w:val="24"/>
              </w:rPr>
              <w:t>26,794.07</w:t>
            </w:r>
          </w:p>
        </w:tc>
        <w:tc>
          <w:tcPr>
            <w:tcW w:w="2126" w:type="dxa"/>
            <w:vAlign w:val="center"/>
          </w:tcPr>
          <w:p w:rsidR="001548F9" w:rsidRPr="001B7979" w:rsidRDefault="001548F9" w:rsidP="00571B8A">
            <w:pPr>
              <w:spacing w:before="29" w:line="288" w:lineRule="auto"/>
              <w:jc w:val="right"/>
              <w:rPr>
                <w:sz w:val="24"/>
              </w:rPr>
            </w:pPr>
            <w:r w:rsidRPr="001B7979">
              <w:rPr>
                <w:sz w:val="24"/>
              </w:rPr>
              <w:t>50,120.82</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2,697.58</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160,830.68</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26.90</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163,555.16</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1548F9" w:rsidRPr="001B7979" w:rsidRDefault="0031023D" w:rsidP="0089211E">
      <w:pPr>
        <w:tabs>
          <w:tab w:val="left" w:pos="426"/>
        </w:tabs>
        <w:spacing w:before="29" w:line="288" w:lineRule="auto"/>
        <w:jc w:val="left"/>
        <w:rPr>
          <w:kern w:val="0"/>
          <w:sz w:val="24"/>
        </w:rPr>
      </w:pPr>
      <w:r w:rsidRPr="001B7979">
        <w:rPr>
          <w:kern w:val="0"/>
          <w:sz w:val="24"/>
        </w:rPr>
        <w:t>本基金本报告期内无股票投资收益。</w:t>
      </w:r>
      <w:r w:rsidR="0089211E" w:rsidRPr="001B7979">
        <w:rPr>
          <w:rFonts w:hint="eastAsia"/>
          <w:kern w:val="0"/>
          <w:sz w:val="24"/>
        </w:rPr>
        <w:br/>
      </w: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13,414,901.92</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12,624,310.98</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325,137.55</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465,453.39</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1,144,010.98</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1,144,010.98</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1,144,010.98</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D25C53">
      <w:pPr>
        <w:widowControl/>
        <w:spacing w:before="29" w:line="288" w:lineRule="auto"/>
        <w:jc w:val="left"/>
        <w:rPr>
          <w:kern w:val="0"/>
          <w:sz w:val="24"/>
        </w:rPr>
      </w:pPr>
      <w:r w:rsidRPr="001B7979">
        <w:rPr>
          <w:kern w:val="0"/>
          <w:sz w:val="24"/>
        </w:rPr>
        <w:t>本基金本报告期内无其他收入。</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3.12</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175.00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178.12</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29,752.78</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57,767.18</w:t>
            </w:r>
          </w:p>
        </w:tc>
      </w:tr>
      <w:tr w:rsidR="00637861">
        <w:tc>
          <w:tcPr>
            <w:tcW w:w="3689" w:type="dxa"/>
            <w:vAlign w:val="center"/>
          </w:tcPr>
          <w:p w:rsidR="00637861" w:rsidRDefault="00762792">
            <w:pPr>
              <w:jc w:val="left"/>
            </w:pPr>
            <w:r>
              <w:rPr>
                <w:sz w:val="24"/>
              </w:rPr>
              <w:t>银行费用</w:t>
            </w:r>
          </w:p>
        </w:tc>
        <w:tc>
          <w:tcPr>
            <w:tcW w:w="5309" w:type="dxa"/>
            <w:vAlign w:val="center"/>
          </w:tcPr>
          <w:p w:rsidR="00637861" w:rsidRDefault="00762792">
            <w:pPr>
              <w:jc w:val="right"/>
            </w:pPr>
            <w:r>
              <w:rPr>
                <w:sz w:val="24"/>
              </w:rPr>
              <w:t>1,822.64</w:t>
            </w:r>
          </w:p>
        </w:tc>
      </w:tr>
      <w:tr w:rsidR="00637861">
        <w:tc>
          <w:tcPr>
            <w:tcW w:w="3689" w:type="dxa"/>
            <w:vAlign w:val="center"/>
          </w:tcPr>
          <w:p w:rsidR="00637861" w:rsidRDefault="00762792">
            <w:pPr>
              <w:jc w:val="left"/>
            </w:pPr>
            <w:r>
              <w:rPr>
                <w:sz w:val="24"/>
              </w:rPr>
              <w:t>债券账户费用</w:t>
            </w:r>
          </w:p>
        </w:tc>
        <w:tc>
          <w:tcPr>
            <w:tcW w:w="5309" w:type="dxa"/>
            <w:vAlign w:val="center"/>
          </w:tcPr>
          <w:p w:rsidR="00637861" w:rsidRDefault="00762792">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107,942.60</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637861">
        <w:tc>
          <w:tcPr>
            <w:tcW w:w="5219" w:type="dxa"/>
            <w:vAlign w:val="center"/>
          </w:tcPr>
          <w:p w:rsidR="00637861" w:rsidRDefault="0076279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637861" w:rsidRDefault="00762792">
            <w:pPr>
              <w:jc w:val="left"/>
            </w:pPr>
            <w:r>
              <w:rPr>
                <w:color w:val="000000"/>
                <w:sz w:val="24"/>
              </w:rPr>
              <w:t>基金管理人、基金销售机构</w:t>
            </w:r>
          </w:p>
        </w:tc>
      </w:tr>
      <w:tr w:rsidR="00637861">
        <w:tc>
          <w:tcPr>
            <w:tcW w:w="5219" w:type="dxa"/>
            <w:vAlign w:val="center"/>
          </w:tcPr>
          <w:p w:rsidR="00637861" w:rsidRDefault="00762792">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637861" w:rsidRDefault="00762792">
            <w:pPr>
              <w:jc w:val="left"/>
            </w:pPr>
            <w:r>
              <w:rPr>
                <w:color w:val="000000"/>
                <w:sz w:val="24"/>
              </w:rPr>
              <w:t>基金托管人、基金销售机构</w:t>
            </w:r>
          </w:p>
        </w:tc>
      </w:tr>
      <w:tr w:rsidR="00637861">
        <w:tc>
          <w:tcPr>
            <w:tcW w:w="5219" w:type="dxa"/>
            <w:vAlign w:val="center"/>
          </w:tcPr>
          <w:p w:rsidR="00637861" w:rsidRDefault="00762792">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637861" w:rsidRDefault="00762792">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5</w:t>
            </w:r>
            <w:r w:rsidRPr="001B7979">
              <w:rPr>
                <w:color w:val="000000"/>
                <w:sz w:val="24"/>
              </w:rPr>
              <w:t>月</w:t>
            </w:r>
            <w:r w:rsidRPr="001B7979">
              <w:rPr>
                <w:color w:val="000000"/>
                <w:sz w:val="24"/>
              </w:rPr>
              <w:t>23</w:t>
            </w:r>
            <w:r w:rsidRPr="001B7979">
              <w:rPr>
                <w:color w:val="000000"/>
                <w:sz w:val="24"/>
              </w:rPr>
              <w:t>日（基金合同生效日）至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B426A8" w:rsidRPr="001B7979" w:rsidTr="009747CE">
        <w:tc>
          <w:tcPr>
            <w:tcW w:w="3828" w:type="dxa"/>
            <w:vAlign w:val="center"/>
          </w:tcPr>
          <w:p w:rsidR="00B426A8" w:rsidRPr="001B7979" w:rsidRDefault="00B426A8" w:rsidP="00B426A8">
            <w:pPr>
              <w:spacing w:before="29" w:line="288" w:lineRule="auto"/>
              <w:rPr>
                <w:color w:val="000000"/>
                <w:sz w:val="24"/>
              </w:rPr>
            </w:pPr>
            <w:r w:rsidRPr="001B7979">
              <w:rPr>
                <w:sz w:val="24"/>
              </w:rPr>
              <w:t>当期发生的基金应支付的管理费</w:t>
            </w:r>
          </w:p>
        </w:tc>
        <w:tc>
          <w:tcPr>
            <w:tcW w:w="2514" w:type="dxa"/>
            <w:vAlign w:val="center"/>
          </w:tcPr>
          <w:p w:rsidR="00B426A8" w:rsidRPr="001B7979" w:rsidRDefault="00B426A8" w:rsidP="00B426A8">
            <w:pPr>
              <w:spacing w:before="29" w:line="288" w:lineRule="auto"/>
              <w:jc w:val="right"/>
              <w:rPr>
                <w:sz w:val="24"/>
              </w:rPr>
            </w:pPr>
            <w:r w:rsidRPr="001B7979">
              <w:rPr>
                <w:sz w:val="24"/>
              </w:rPr>
              <w:t>1,392,653.26</w:t>
            </w:r>
          </w:p>
        </w:tc>
        <w:tc>
          <w:tcPr>
            <w:tcW w:w="2656" w:type="dxa"/>
            <w:vAlign w:val="center"/>
          </w:tcPr>
          <w:p w:rsidR="00B426A8" w:rsidRPr="00B426A8" w:rsidRDefault="00B426A8" w:rsidP="00B426A8">
            <w:pPr>
              <w:spacing w:before="29" w:line="288" w:lineRule="auto"/>
              <w:jc w:val="right"/>
              <w:rPr>
                <w:sz w:val="24"/>
              </w:rPr>
            </w:pPr>
            <w:r w:rsidRPr="00B426A8">
              <w:rPr>
                <w:sz w:val="24"/>
              </w:rPr>
              <w:t>274,355.77</w:t>
            </w:r>
          </w:p>
        </w:tc>
      </w:tr>
      <w:tr w:rsidR="00B426A8" w:rsidRPr="001B7979" w:rsidTr="009747CE">
        <w:tc>
          <w:tcPr>
            <w:tcW w:w="3828" w:type="dxa"/>
            <w:vAlign w:val="center"/>
          </w:tcPr>
          <w:p w:rsidR="00B426A8" w:rsidRPr="001B7979" w:rsidRDefault="00B426A8" w:rsidP="00B426A8">
            <w:pPr>
              <w:spacing w:before="29" w:line="288" w:lineRule="auto"/>
              <w:rPr>
                <w:color w:val="000000"/>
                <w:sz w:val="24"/>
              </w:rPr>
            </w:pPr>
            <w:r w:rsidRPr="001B7979">
              <w:rPr>
                <w:sz w:val="24"/>
              </w:rPr>
              <w:t>其中：支付销售机构的客户维护费</w:t>
            </w:r>
          </w:p>
        </w:tc>
        <w:tc>
          <w:tcPr>
            <w:tcW w:w="2514" w:type="dxa"/>
            <w:vAlign w:val="center"/>
          </w:tcPr>
          <w:p w:rsidR="00B426A8" w:rsidRPr="001B7979" w:rsidRDefault="00B426A8" w:rsidP="00B426A8">
            <w:pPr>
              <w:spacing w:before="29" w:line="288" w:lineRule="auto"/>
              <w:jc w:val="right"/>
              <w:rPr>
                <w:sz w:val="24"/>
              </w:rPr>
            </w:pPr>
            <w:r w:rsidRPr="001B7979">
              <w:rPr>
                <w:sz w:val="24"/>
              </w:rPr>
              <w:t>556,931.74</w:t>
            </w:r>
          </w:p>
        </w:tc>
        <w:tc>
          <w:tcPr>
            <w:tcW w:w="2656" w:type="dxa"/>
            <w:vAlign w:val="center"/>
          </w:tcPr>
          <w:p w:rsidR="00B426A8" w:rsidRPr="00B426A8" w:rsidRDefault="00B426A8" w:rsidP="00B426A8">
            <w:pPr>
              <w:spacing w:before="29" w:line="288" w:lineRule="auto"/>
              <w:jc w:val="right"/>
              <w:rPr>
                <w:sz w:val="24"/>
              </w:rPr>
            </w:pPr>
            <w:r w:rsidRPr="00B426A8">
              <w:rPr>
                <w:sz w:val="24"/>
              </w:rPr>
              <w:t>109,704.11</w:t>
            </w:r>
          </w:p>
        </w:tc>
      </w:tr>
    </w:tbl>
    <w:p w:rsidR="00637861" w:rsidRDefault="00762792">
      <w:pPr>
        <w:widowControl/>
        <w:spacing w:before="29" w:line="288" w:lineRule="auto"/>
        <w:jc w:val="left"/>
        <w:rPr>
          <w:kern w:val="0"/>
          <w:sz w:val="24"/>
        </w:rPr>
      </w:pPr>
      <w:r>
        <w:rPr>
          <w:kern w:val="0"/>
          <w:sz w:val="24"/>
        </w:rPr>
        <w:t>注：支付基金管理人的管理人报酬按前一日基金资产净值</w:t>
      </w:r>
      <w:r>
        <w:rPr>
          <w:kern w:val="0"/>
          <w:sz w:val="24"/>
        </w:rPr>
        <w:t>0.80%</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×0.80%÷</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5</w:t>
            </w:r>
            <w:r w:rsidRPr="001B7979">
              <w:rPr>
                <w:color w:val="000000"/>
                <w:sz w:val="24"/>
              </w:rPr>
              <w:t>月</w:t>
            </w:r>
            <w:r w:rsidRPr="001B7979">
              <w:rPr>
                <w:color w:val="000000"/>
                <w:sz w:val="24"/>
              </w:rPr>
              <w:t>23</w:t>
            </w:r>
            <w:r w:rsidRPr="001B7979">
              <w:rPr>
                <w:color w:val="000000"/>
                <w:sz w:val="24"/>
              </w:rPr>
              <w:t>日（基金合同生效日）至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261,122.49</w:t>
            </w:r>
          </w:p>
        </w:tc>
        <w:tc>
          <w:tcPr>
            <w:tcW w:w="2657" w:type="dxa"/>
            <w:vAlign w:val="center"/>
          </w:tcPr>
          <w:p w:rsidR="001548F9" w:rsidRPr="001B7979" w:rsidRDefault="00B426A8" w:rsidP="00571B8A">
            <w:pPr>
              <w:spacing w:before="29" w:line="288" w:lineRule="auto"/>
              <w:jc w:val="right"/>
              <w:rPr>
                <w:color w:val="000000"/>
                <w:sz w:val="24"/>
              </w:rPr>
            </w:pPr>
            <w:r w:rsidRPr="00B426A8">
              <w:rPr>
                <w:sz w:val="24"/>
              </w:rPr>
              <w:t>51,441.71</w:t>
            </w:r>
          </w:p>
        </w:tc>
      </w:tr>
    </w:tbl>
    <w:p w:rsidR="00637861" w:rsidRDefault="00762792">
      <w:pPr>
        <w:widowControl/>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×0.15%÷</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B426A8">
        <w:trPr>
          <w:trHeight w:val="465"/>
        </w:trPr>
        <w:tc>
          <w:tcPr>
            <w:tcW w:w="200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B426A8">
        <w:trPr>
          <w:trHeight w:val="46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B426A8">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766"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交银丰晟收益债券</w:t>
            </w:r>
            <w:r w:rsidRPr="00F76FA7">
              <w:rPr>
                <w:sz w:val="24"/>
              </w:rPr>
              <w:t>A</w:t>
            </w:r>
          </w:p>
        </w:tc>
        <w:tc>
          <w:tcPr>
            <w:tcW w:w="21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交银丰晟收益债券</w:t>
            </w:r>
            <w:r w:rsidRPr="00F76FA7">
              <w:rPr>
                <w:sz w:val="24"/>
              </w:rPr>
              <w:t>C</w:t>
            </w:r>
          </w:p>
        </w:tc>
        <w:tc>
          <w:tcPr>
            <w:tcW w:w="307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637861">
        <w:tc>
          <w:tcPr>
            <w:tcW w:w="2000" w:type="dxa"/>
            <w:vAlign w:val="center"/>
          </w:tcPr>
          <w:p w:rsidR="00637861" w:rsidRDefault="00762792">
            <w:pPr>
              <w:jc w:val="left"/>
            </w:pPr>
            <w:r>
              <w:rPr>
                <w:sz w:val="24"/>
              </w:rPr>
              <w:t>交银施罗德基金公司</w:t>
            </w:r>
          </w:p>
        </w:tc>
        <w:tc>
          <w:tcPr>
            <w:tcW w:w="1766" w:type="dxa"/>
            <w:vAlign w:val="center"/>
          </w:tcPr>
          <w:p w:rsidR="00637861" w:rsidRDefault="00762792">
            <w:pPr>
              <w:jc w:val="right"/>
            </w:pPr>
            <w:r>
              <w:rPr>
                <w:sz w:val="24"/>
              </w:rPr>
              <w:t>-</w:t>
            </w:r>
          </w:p>
        </w:tc>
        <w:tc>
          <w:tcPr>
            <w:tcW w:w="2162" w:type="dxa"/>
            <w:vAlign w:val="center"/>
          </w:tcPr>
          <w:p w:rsidR="00637861" w:rsidRDefault="00762792">
            <w:pPr>
              <w:jc w:val="right"/>
            </w:pPr>
            <w:r>
              <w:rPr>
                <w:sz w:val="24"/>
              </w:rPr>
              <w:t>95.16</w:t>
            </w:r>
          </w:p>
        </w:tc>
        <w:tc>
          <w:tcPr>
            <w:tcW w:w="3070" w:type="dxa"/>
            <w:vAlign w:val="center"/>
          </w:tcPr>
          <w:p w:rsidR="00637861" w:rsidRDefault="00762792">
            <w:pPr>
              <w:jc w:val="right"/>
            </w:pPr>
            <w:r>
              <w:rPr>
                <w:sz w:val="24"/>
              </w:rPr>
              <w:t>95.16</w:t>
            </w:r>
          </w:p>
        </w:tc>
      </w:tr>
      <w:tr w:rsidR="00637861">
        <w:tc>
          <w:tcPr>
            <w:tcW w:w="2000" w:type="dxa"/>
            <w:vAlign w:val="center"/>
          </w:tcPr>
          <w:p w:rsidR="00637861" w:rsidRDefault="00762792">
            <w:pPr>
              <w:jc w:val="left"/>
            </w:pPr>
            <w:r>
              <w:rPr>
                <w:sz w:val="24"/>
              </w:rPr>
              <w:t>交通银行</w:t>
            </w:r>
          </w:p>
        </w:tc>
        <w:tc>
          <w:tcPr>
            <w:tcW w:w="1766" w:type="dxa"/>
            <w:vAlign w:val="center"/>
          </w:tcPr>
          <w:p w:rsidR="00637861" w:rsidRDefault="00762792">
            <w:pPr>
              <w:jc w:val="right"/>
            </w:pPr>
            <w:r>
              <w:rPr>
                <w:sz w:val="24"/>
              </w:rPr>
              <w:t>-</w:t>
            </w:r>
          </w:p>
        </w:tc>
        <w:tc>
          <w:tcPr>
            <w:tcW w:w="2162" w:type="dxa"/>
            <w:vAlign w:val="center"/>
          </w:tcPr>
          <w:p w:rsidR="00637861" w:rsidRDefault="00762792">
            <w:pPr>
              <w:jc w:val="right"/>
            </w:pPr>
            <w:r>
              <w:rPr>
                <w:sz w:val="24"/>
              </w:rPr>
              <w:t>1,925.06</w:t>
            </w:r>
          </w:p>
        </w:tc>
        <w:tc>
          <w:tcPr>
            <w:tcW w:w="3070" w:type="dxa"/>
            <w:vAlign w:val="center"/>
          </w:tcPr>
          <w:p w:rsidR="00637861" w:rsidRDefault="00762792">
            <w:pPr>
              <w:jc w:val="right"/>
            </w:pPr>
            <w:r>
              <w:rPr>
                <w:sz w:val="24"/>
              </w:rPr>
              <w:t>1,925.06</w:t>
            </w:r>
          </w:p>
        </w:tc>
      </w:tr>
      <w:tr w:rsidR="00637861">
        <w:tc>
          <w:tcPr>
            <w:tcW w:w="2000" w:type="dxa"/>
            <w:vAlign w:val="center"/>
          </w:tcPr>
          <w:p w:rsidR="00637861" w:rsidRDefault="00762792">
            <w:pPr>
              <w:jc w:val="left"/>
            </w:pPr>
            <w:r>
              <w:rPr>
                <w:sz w:val="24"/>
              </w:rPr>
              <w:t>招商银行</w:t>
            </w:r>
          </w:p>
        </w:tc>
        <w:tc>
          <w:tcPr>
            <w:tcW w:w="1766" w:type="dxa"/>
            <w:vAlign w:val="center"/>
          </w:tcPr>
          <w:p w:rsidR="00637861" w:rsidRDefault="00762792">
            <w:pPr>
              <w:jc w:val="right"/>
            </w:pPr>
            <w:r>
              <w:rPr>
                <w:sz w:val="24"/>
              </w:rPr>
              <w:t>-</w:t>
            </w:r>
          </w:p>
        </w:tc>
        <w:tc>
          <w:tcPr>
            <w:tcW w:w="2162" w:type="dxa"/>
            <w:vAlign w:val="center"/>
          </w:tcPr>
          <w:p w:rsidR="00637861" w:rsidRDefault="00762792">
            <w:pPr>
              <w:jc w:val="right"/>
            </w:pPr>
            <w:r>
              <w:rPr>
                <w:sz w:val="24"/>
              </w:rPr>
              <w:t>12.67</w:t>
            </w:r>
          </w:p>
        </w:tc>
        <w:tc>
          <w:tcPr>
            <w:tcW w:w="3070" w:type="dxa"/>
            <w:vAlign w:val="center"/>
          </w:tcPr>
          <w:p w:rsidR="00637861" w:rsidRDefault="00762792">
            <w:pPr>
              <w:jc w:val="right"/>
            </w:pPr>
            <w:r>
              <w:rPr>
                <w:sz w:val="24"/>
              </w:rPr>
              <w:t>12.67</w:t>
            </w:r>
          </w:p>
        </w:tc>
      </w:tr>
      <w:tr w:rsidR="003F43CD" w:rsidRPr="00F76FA7" w:rsidTr="00B426A8">
        <w:tc>
          <w:tcPr>
            <w:tcW w:w="200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766"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1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2,032.89</w:t>
            </w:r>
          </w:p>
        </w:tc>
        <w:tc>
          <w:tcPr>
            <w:tcW w:w="307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2,032.89</w:t>
            </w:r>
          </w:p>
        </w:tc>
      </w:tr>
      <w:tr w:rsidR="003F43CD" w:rsidRPr="00F76FA7" w:rsidTr="00B426A8">
        <w:trPr>
          <w:trHeight w:val="465"/>
        </w:trPr>
        <w:tc>
          <w:tcPr>
            <w:tcW w:w="200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2018</w:t>
            </w:r>
            <w:r w:rsidRPr="00F76FA7">
              <w:rPr>
                <w:sz w:val="24"/>
              </w:rPr>
              <w:t>年</w:t>
            </w:r>
            <w:r w:rsidRPr="00F76FA7">
              <w:rPr>
                <w:sz w:val="24"/>
              </w:rPr>
              <w:t>5</w:t>
            </w:r>
            <w:r w:rsidRPr="00F76FA7">
              <w:rPr>
                <w:sz w:val="24"/>
              </w:rPr>
              <w:t>月</w:t>
            </w:r>
            <w:r w:rsidRPr="00F76FA7">
              <w:rPr>
                <w:sz w:val="24"/>
              </w:rPr>
              <w:t>23</w:t>
            </w:r>
            <w:r w:rsidRPr="00F76FA7">
              <w:rPr>
                <w:sz w:val="24"/>
              </w:rPr>
              <w:t>日（基金合同生效日）至</w:t>
            </w:r>
            <w:r w:rsidRPr="00F76FA7">
              <w:rPr>
                <w:sz w:val="24"/>
              </w:rPr>
              <w:t>2018</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B426A8">
        <w:trPr>
          <w:trHeight w:val="46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B426A8">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766"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交银丰晟收益债券</w:t>
            </w:r>
            <w:r w:rsidRPr="00F76FA7">
              <w:rPr>
                <w:sz w:val="24"/>
              </w:rPr>
              <w:t>A</w:t>
            </w:r>
          </w:p>
        </w:tc>
        <w:tc>
          <w:tcPr>
            <w:tcW w:w="21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交银丰晟收益债券</w:t>
            </w:r>
            <w:r w:rsidRPr="00F76FA7">
              <w:rPr>
                <w:sz w:val="24"/>
              </w:rPr>
              <w:t>C</w:t>
            </w:r>
          </w:p>
        </w:tc>
        <w:tc>
          <w:tcPr>
            <w:tcW w:w="307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B426A8" w:rsidRPr="00F76FA7" w:rsidTr="00B426A8">
        <w:tc>
          <w:tcPr>
            <w:tcW w:w="2000" w:type="dxa"/>
            <w:tcBorders>
              <w:top w:val="single" w:sz="4" w:space="0" w:color="000000"/>
              <w:left w:val="single" w:sz="4" w:space="0" w:color="000000"/>
              <w:bottom w:val="single" w:sz="4" w:space="0" w:color="000000"/>
              <w:right w:val="single" w:sz="4" w:space="0" w:color="000000"/>
            </w:tcBorders>
            <w:vAlign w:val="center"/>
            <w:hideMark/>
          </w:tcPr>
          <w:p w:rsidR="00B426A8" w:rsidRPr="00352396" w:rsidRDefault="00B426A8" w:rsidP="00B426A8">
            <w:pPr>
              <w:jc w:val="left"/>
            </w:pPr>
            <w:r w:rsidRPr="00352396">
              <w:rPr>
                <w:sz w:val="24"/>
              </w:rPr>
              <w:t>交银施罗德基金公司</w:t>
            </w:r>
          </w:p>
        </w:tc>
        <w:tc>
          <w:tcPr>
            <w:tcW w:w="1766" w:type="dxa"/>
            <w:tcBorders>
              <w:top w:val="single" w:sz="4" w:space="0" w:color="000000"/>
              <w:left w:val="single" w:sz="4" w:space="0" w:color="000000"/>
              <w:bottom w:val="single" w:sz="4" w:space="0" w:color="000000"/>
              <w:right w:val="single" w:sz="4" w:space="0" w:color="000000"/>
            </w:tcBorders>
            <w:vAlign w:val="center"/>
            <w:hideMark/>
          </w:tcPr>
          <w:p w:rsidR="00B426A8" w:rsidRPr="00B426A8" w:rsidRDefault="00B426A8" w:rsidP="00B426A8">
            <w:pPr>
              <w:jc w:val="right"/>
            </w:pPr>
            <w:r w:rsidRPr="00B426A8">
              <w:rPr>
                <w:sz w:val="24"/>
              </w:rPr>
              <w:t>-</w:t>
            </w:r>
          </w:p>
        </w:tc>
        <w:tc>
          <w:tcPr>
            <w:tcW w:w="2162" w:type="dxa"/>
            <w:tcBorders>
              <w:top w:val="single" w:sz="4" w:space="0" w:color="000000"/>
              <w:left w:val="single" w:sz="4" w:space="0" w:color="000000"/>
              <w:bottom w:val="single" w:sz="4" w:space="0" w:color="000000"/>
              <w:right w:val="single" w:sz="4" w:space="0" w:color="000000"/>
            </w:tcBorders>
            <w:vAlign w:val="center"/>
            <w:hideMark/>
          </w:tcPr>
          <w:p w:rsidR="00B426A8" w:rsidRPr="00B426A8" w:rsidRDefault="00B426A8" w:rsidP="00B426A8">
            <w:pPr>
              <w:jc w:val="right"/>
              <w:rPr>
                <w:sz w:val="24"/>
              </w:rPr>
            </w:pPr>
            <w:r w:rsidRPr="00B426A8">
              <w:rPr>
                <w:sz w:val="24"/>
              </w:rPr>
              <w:t>18.72</w:t>
            </w:r>
          </w:p>
        </w:tc>
        <w:tc>
          <w:tcPr>
            <w:tcW w:w="3070" w:type="dxa"/>
            <w:tcBorders>
              <w:top w:val="single" w:sz="4" w:space="0" w:color="000000"/>
              <w:left w:val="single" w:sz="4" w:space="0" w:color="000000"/>
              <w:bottom w:val="single" w:sz="4" w:space="0" w:color="000000"/>
              <w:right w:val="single" w:sz="4" w:space="0" w:color="000000"/>
            </w:tcBorders>
            <w:vAlign w:val="center"/>
            <w:hideMark/>
          </w:tcPr>
          <w:p w:rsidR="00B426A8" w:rsidRPr="00B426A8" w:rsidRDefault="00B426A8" w:rsidP="00B426A8">
            <w:pPr>
              <w:jc w:val="right"/>
              <w:rPr>
                <w:sz w:val="24"/>
              </w:rPr>
            </w:pPr>
            <w:r w:rsidRPr="00B426A8">
              <w:rPr>
                <w:sz w:val="24"/>
              </w:rPr>
              <w:t>18.72</w:t>
            </w:r>
          </w:p>
        </w:tc>
      </w:tr>
      <w:tr w:rsidR="00B426A8" w:rsidRPr="00F76FA7" w:rsidTr="00B426A8">
        <w:tc>
          <w:tcPr>
            <w:tcW w:w="2000" w:type="dxa"/>
            <w:tcBorders>
              <w:top w:val="single" w:sz="4" w:space="0" w:color="000000"/>
              <w:left w:val="single" w:sz="4" w:space="0" w:color="000000"/>
              <w:bottom w:val="single" w:sz="4" w:space="0" w:color="000000"/>
              <w:right w:val="single" w:sz="4" w:space="0" w:color="000000"/>
            </w:tcBorders>
            <w:vAlign w:val="center"/>
          </w:tcPr>
          <w:p w:rsidR="00B426A8" w:rsidRPr="00352396" w:rsidRDefault="00B426A8" w:rsidP="00B426A8">
            <w:pPr>
              <w:jc w:val="left"/>
            </w:pPr>
            <w:r w:rsidRPr="00352396">
              <w:rPr>
                <w:sz w:val="24"/>
              </w:rPr>
              <w:t>交通银行</w:t>
            </w:r>
          </w:p>
        </w:tc>
        <w:tc>
          <w:tcPr>
            <w:tcW w:w="1766" w:type="dxa"/>
            <w:tcBorders>
              <w:top w:val="single" w:sz="4" w:space="0" w:color="000000"/>
              <w:left w:val="single" w:sz="4" w:space="0" w:color="000000"/>
              <w:bottom w:val="single" w:sz="4" w:space="0" w:color="000000"/>
              <w:right w:val="single" w:sz="4" w:space="0" w:color="000000"/>
            </w:tcBorders>
            <w:vAlign w:val="center"/>
          </w:tcPr>
          <w:p w:rsidR="00B426A8" w:rsidRPr="00B426A8" w:rsidRDefault="00B426A8" w:rsidP="00B426A8">
            <w:pPr>
              <w:jc w:val="right"/>
            </w:pPr>
            <w:r w:rsidRPr="00B426A8">
              <w:rPr>
                <w:sz w:val="24"/>
              </w:rPr>
              <w:t>-</w:t>
            </w:r>
          </w:p>
        </w:tc>
        <w:tc>
          <w:tcPr>
            <w:tcW w:w="2162" w:type="dxa"/>
            <w:tcBorders>
              <w:top w:val="single" w:sz="4" w:space="0" w:color="000000"/>
              <w:left w:val="single" w:sz="4" w:space="0" w:color="000000"/>
              <w:bottom w:val="single" w:sz="4" w:space="0" w:color="000000"/>
              <w:right w:val="single" w:sz="4" w:space="0" w:color="000000"/>
            </w:tcBorders>
            <w:vAlign w:val="center"/>
          </w:tcPr>
          <w:p w:rsidR="00B426A8" w:rsidRPr="00B426A8" w:rsidRDefault="00B426A8" w:rsidP="00B426A8">
            <w:pPr>
              <w:jc w:val="right"/>
              <w:rPr>
                <w:sz w:val="24"/>
              </w:rPr>
            </w:pPr>
            <w:r w:rsidRPr="00B426A8">
              <w:rPr>
                <w:sz w:val="24"/>
              </w:rPr>
              <w:t>379.72</w:t>
            </w:r>
          </w:p>
        </w:tc>
        <w:tc>
          <w:tcPr>
            <w:tcW w:w="3070" w:type="dxa"/>
            <w:tcBorders>
              <w:top w:val="single" w:sz="4" w:space="0" w:color="000000"/>
              <w:left w:val="single" w:sz="4" w:space="0" w:color="000000"/>
              <w:bottom w:val="single" w:sz="4" w:space="0" w:color="000000"/>
              <w:right w:val="single" w:sz="4" w:space="0" w:color="000000"/>
            </w:tcBorders>
            <w:vAlign w:val="center"/>
          </w:tcPr>
          <w:p w:rsidR="00B426A8" w:rsidRPr="00B426A8" w:rsidRDefault="00B426A8" w:rsidP="00B426A8">
            <w:pPr>
              <w:jc w:val="right"/>
              <w:rPr>
                <w:sz w:val="24"/>
              </w:rPr>
            </w:pPr>
            <w:r w:rsidRPr="00B426A8">
              <w:rPr>
                <w:sz w:val="24"/>
              </w:rPr>
              <w:t>379.72</w:t>
            </w:r>
          </w:p>
        </w:tc>
      </w:tr>
      <w:tr w:rsidR="00B426A8" w:rsidRPr="00F76FA7" w:rsidTr="00B426A8">
        <w:tc>
          <w:tcPr>
            <w:tcW w:w="2000" w:type="dxa"/>
            <w:tcBorders>
              <w:top w:val="single" w:sz="4" w:space="0" w:color="000000"/>
              <w:left w:val="single" w:sz="4" w:space="0" w:color="000000"/>
              <w:bottom w:val="single" w:sz="4" w:space="0" w:color="000000"/>
              <w:right w:val="single" w:sz="4" w:space="0" w:color="000000"/>
            </w:tcBorders>
            <w:vAlign w:val="center"/>
          </w:tcPr>
          <w:p w:rsidR="00B426A8" w:rsidRPr="00352396" w:rsidRDefault="00B426A8" w:rsidP="00B426A8">
            <w:pPr>
              <w:jc w:val="left"/>
            </w:pPr>
            <w:r w:rsidRPr="00352396">
              <w:rPr>
                <w:sz w:val="24"/>
              </w:rPr>
              <w:t>招商银行</w:t>
            </w:r>
          </w:p>
        </w:tc>
        <w:tc>
          <w:tcPr>
            <w:tcW w:w="1766" w:type="dxa"/>
            <w:tcBorders>
              <w:top w:val="single" w:sz="4" w:space="0" w:color="000000"/>
              <w:left w:val="single" w:sz="4" w:space="0" w:color="000000"/>
              <w:bottom w:val="single" w:sz="4" w:space="0" w:color="000000"/>
              <w:right w:val="single" w:sz="4" w:space="0" w:color="000000"/>
            </w:tcBorders>
            <w:vAlign w:val="center"/>
          </w:tcPr>
          <w:p w:rsidR="00B426A8" w:rsidRPr="00B426A8" w:rsidRDefault="00B426A8" w:rsidP="00B426A8">
            <w:pPr>
              <w:jc w:val="right"/>
            </w:pPr>
            <w:r w:rsidRPr="00B426A8">
              <w:rPr>
                <w:sz w:val="24"/>
              </w:rPr>
              <w:t>-</w:t>
            </w:r>
          </w:p>
        </w:tc>
        <w:tc>
          <w:tcPr>
            <w:tcW w:w="2162" w:type="dxa"/>
            <w:tcBorders>
              <w:top w:val="single" w:sz="4" w:space="0" w:color="000000"/>
              <w:left w:val="single" w:sz="4" w:space="0" w:color="000000"/>
              <w:bottom w:val="single" w:sz="4" w:space="0" w:color="000000"/>
              <w:right w:val="single" w:sz="4" w:space="0" w:color="000000"/>
            </w:tcBorders>
          </w:tcPr>
          <w:p w:rsidR="00B426A8" w:rsidRPr="00B426A8" w:rsidRDefault="00B426A8" w:rsidP="00B426A8">
            <w:pPr>
              <w:jc w:val="right"/>
              <w:rPr>
                <w:sz w:val="24"/>
              </w:rPr>
            </w:pPr>
            <w:r w:rsidRPr="00B426A8">
              <w:rPr>
                <w:sz w:val="24"/>
              </w:rPr>
              <w:t>2.66</w:t>
            </w:r>
          </w:p>
        </w:tc>
        <w:tc>
          <w:tcPr>
            <w:tcW w:w="3070" w:type="dxa"/>
            <w:tcBorders>
              <w:top w:val="single" w:sz="4" w:space="0" w:color="000000"/>
              <w:left w:val="single" w:sz="4" w:space="0" w:color="000000"/>
              <w:bottom w:val="single" w:sz="4" w:space="0" w:color="000000"/>
              <w:right w:val="single" w:sz="4" w:space="0" w:color="000000"/>
            </w:tcBorders>
          </w:tcPr>
          <w:p w:rsidR="00B426A8" w:rsidRPr="00B426A8" w:rsidRDefault="00B426A8" w:rsidP="00B426A8">
            <w:pPr>
              <w:jc w:val="right"/>
              <w:rPr>
                <w:sz w:val="24"/>
              </w:rPr>
            </w:pPr>
            <w:r w:rsidRPr="00B426A8">
              <w:rPr>
                <w:sz w:val="24"/>
              </w:rPr>
              <w:t>2.66</w:t>
            </w:r>
          </w:p>
        </w:tc>
      </w:tr>
      <w:tr w:rsidR="00B426A8" w:rsidRPr="00F76FA7" w:rsidTr="00B426A8">
        <w:tc>
          <w:tcPr>
            <w:tcW w:w="2000" w:type="dxa"/>
            <w:tcBorders>
              <w:top w:val="single" w:sz="4" w:space="0" w:color="000000"/>
              <w:left w:val="single" w:sz="4" w:space="0" w:color="000000"/>
              <w:bottom w:val="single" w:sz="4" w:space="0" w:color="000000"/>
              <w:right w:val="single" w:sz="4" w:space="0" w:color="000000"/>
            </w:tcBorders>
            <w:vAlign w:val="center"/>
          </w:tcPr>
          <w:p w:rsidR="00B426A8" w:rsidRPr="00352396" w:rsidRDefault="00B426A8" w:rsidP="00B426A8">
            <w:pPr>
              <w:widowControl/>
              <w:rPr>
                <w:sz w:val="24"/>
              </w:rPr>
            </w:pPr>
            <w:r w:rsidRPr="00352396">
              <w:rPr>
                <w:sz w:val="24"/>
              </w:rPr>
              <w:t>合计</w:t>
            </w:r>
          </w:p>
        </w:tc>
        <w:tc>
          <w:tcPr>
            <w:tcW w:w="1766" w:type="dxa"/>
            <w:tcBorders>
              <w:top w:val="single" w:sz="4" w:space="0" w:color="000000"/>
              <w:left w:val="single" w:sz="4" w:space="0" w:color="000000"/>
              <w:bottom w:val="single" w:sz="4" w:space="0" w:color="000000"/>
              <w:right w:val="single" w:sz="4" w:space="0" w:color="000000"/>
            </w:tcBorders>
            <w:vAlign w:val="center"/>
          </w:tcPr>
          <w:p w:rsidR="00B426A8" w:rsidRPr="00B426A8" w:rsidRDefault="00B426A8" w:rsidP="00B426A8">
            <w:pPr>
              <w:jc w:val="right"/>
              <w:rPr>
                <w:sz w:val="24"/>
              </w:rPr>
            </w:pPr>
            <w:r w:rsidRPr="00B426A8">
              <w:rPr>
                <w:sz w:val="24"/>
              </w:rPr>
              <w:t>-</w:t>
            </w:r>
          </w:p>
        </w:tc>
        <w:tc>
          <w:tcPr>
            <w:tcW w:w="2162" w:type="dxa"/>
            <w:tcBorders>
              <w:top w:val="single" w:sz="4" w:space="0" w:color="000000"/>
              <w:left w:val="single" w:sz="4" w:space="0" w:color="000000"/>
              <w:bottom w:val="single" w:sz="4" w:space="0" w:color="000000"/>
              <w:right w:val="single" w:sz="4" w:space="0" w:color="000000"/>
            </w:tcBorders>
            <w:vAlign w:val="center"/>
          </w:tcPr>
          <w:p w:rsidR="00B426A8" w:rsidRPr="00B426A8" w:rsidRDefault="00B426A8" w:rsidP="00B426A8">
            <w:pPr>
              <w:jc w:val="right"/>
              <w:rPr>
                <w:sz w:val="24"/>
              </w:rPr>
            </w:pPr>
            <w:r w:rsidRPr="00B426A8">
              <w:rPr>
                <w:rFonts w:hint="eastAsia"/>
                <w:sz w:val="24"/>
              </w:rPr>
              <w:t>401.10</w:t>
            </w:r>
          </w:p>
        </w:tc>
        <w:tc>
          <w:tcPr>
            <w:tcW w:w="3070" w:type="dxa"/>
            <w:tcBorders>
              <w:top w:val="single" w:sz="4" w:space="0" w:color="000000"/>
              <w:left w:val="single" w:sz="4" w:space="0" w:color="000000"/>
              <w:bottom w:val="single" w:sz="4" w:space="0" w:color="000000"/>
              <w:right w:val="single" w:sz="4" w:space="0" w:color="000000"/>
            </w:tcBorders>
            <w:vAlign w:val="center"/>
          </w:tcPr>
          <w:p w:rsidR="00B426A8" w:rsidRPr="00B426A8" w:rsidRDefault="00B426A8" w:rsidP="00B426A8">
            <w:pPr>
              <w:jc w:val="right"/>
              <w:rPr>
                <w:sz w:val="24"/>
              </w:rPr>
            </w:pPr>
            <w:r w:rsidRPr="00B426A8">
              <w:rPr>
                <w:rFonts w:hint="eastAsia"/>
                <w:sz w:val="24"/>
              </w:rPr>
              <w:t>401.10</w:t>
            </w:r>
          </w:p>
        </w:tc>
      </w:tr>
    </w:tbl>
    <w:p w:rsidR="00637861" w:rsidRDefault="00762792">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0.60%</w:t>
      </w:r>
      <w:r>
        <w:rPr>
          <w:kern w:val="0"/>
          <w:sz w:val="24"/>
        </w:rPr>
        <w:t>的年费率计提，逐日累计至每月月底，按月支付给基金管理人，再由基金管理人计算并支付给各基金销售机构。其计算公式为：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×0.60%÷</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B65AF0" w:rsidP="00571B8A">
      <w:pPr>
        <w:widowControl/>
        <w:spacing w:before="29" w:line="288" w:lineRule="auto"/>
        <w:jc w:val="left"/>
        <w:rPr>
          <w:kern w:val="0"/>
          <w:sz w:val="24"/>
        </w:rPr>
      </w:pPr>
      <w:r w:rsidRPr="00B65AF0">
        <w:rPr>
          <w:rFonts w:hint="eastAsia"/>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EA00B7" w:rsidRDefault="0085664F" w:rsidP="00571B8A">
      <w:pPr>
        <w:widowControl/>
        <w:spacing w:before="29" w:line="288" w:lineRule="auto"/>
        <w:jc w:val="left"/>
        <w:rPr>
          <w:kern w:val="0"/>
          <w:sz w:val="24"/>
        </w:rPr>
      </w:pPr>
      <w:r w:rsidRPr="0085664F">
        <w:rPr>
          <w:rFonts w:hint="eastAsia"/>
          <w:kern w:val="0"/>
          <w:sz w:val="24"/>
        </w:rPr>
        <w:t>本报告期末及上年度末除基金管理人之外的其他关联方未持有本基金。</w:t>
      </w:r>
    </w:p>
    <w:p w:rsidR="0085664F" w:rsidRPr="00EA00B7" w:rsidRDefault="0085664F" w:rsidP="00571B8A">
      <w:pPr>
        <w:widowControl/>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5</w:t>
            </w:r>
            <w:r w:rsidRPr="001B7979">
              <w:rPr>
                <w:color w:val="000000"/>
                <w:sz w:val="24"/>
              </w:rPr>
              <w:t>月</w:t>
            </w:r>
            <w:r w:rsidRPr="001B7979">
              <w:rPr>
                <w:color w:val="000000"/>
                <w:sz w:val="24"/>
              </w:rPr>
              <w:t>23</w:t>
            </w:r>
            <w:r w:rsidRPr="001B7979">
              <w:rPr>
                <w:color w:val="000000"/>
                <w:sz w:val="24"/>
              </w:rPr>
              <w:t>日（基金合同生效日）至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B426A8">
        <w:tc>
          <w:tcPr>
            <w:tcW w:w="1843" w:type="dxa"/>
            <w:vAlign w:val="center"/>
          </w:tcPr>
          <w:p w:rsidR="00B426A8" w:rsidRDefault="00B426A8" w:rsidP="00B426A8">
            <w:pPr>
              <w:jc w:val="left"/>
            </w:pPr>
            <w:r>
              <w:rPr>
                <w:sz w:val="24"/>
              </w:rPr>
              <w:t>招商银行股份有限公司</w:t>
            </w:r>
          </w:p>
        </w:tc>
        <w:tc>
          <w:tcPr>
            <w:tcW w:w="1843" w:type="dxa"/>
            <w:vAlign w:val="center"/>
          </w:tcPr>
          <w:p w:rsidR="00B426A8" w:rsidRDefault="00B426A8" w:rsidP="00B426A8">
            <w:pPr>
              <w:jc w:val="right"/>
            </w:pPr>
            <w:r>
              <w:rPr>
                <w:sz w:val="24"/>
              </w:rPr>
              <w:t>591,102.90</w:t>
            </w:r>
          </w:p>
        </w:tc>
        <w:tc>
          <w:tcPr>
            <w:tcW w:w="1701" w:type="dxa"/>
            <w:vAlign w:val="center"/>
          </w:tcPr>
          <w:p w:rsidR="00B426A8" w:rsidRDefault="00B426A8" w:rsidP="00B426A8">
            <w:pPr>
              <w:jc w:val="right"/>
            </w:pPr>
            <w:r>
              <w:rPr>
                <w:sz w:val="24"/>
              </w:rPr>
              <w:t>2,697.58</w:t>
            </w:r>
          </w:p>
        </w:tc>
        <w:tc>
          <w:tcPr>
            <w:tcW w:w="1701" w:type="dxa"/>
            <w:vAlign w:val="center"/>
          </w:tcPr>
          <w:p w:rsidR="00B426A8" w:rsidRPr="00B426A8" w:rsidRDefault="00B426A8" w:rsidP="00B426A8">
            <w:pPr>
              <w:spacing w:before="29" w:line="288" w:lineRule="auto"/>
              <w:jc w:val="right"/>
              <w:rPr>
                <w:color w:val="000000"/>
                <w:sz w:val="24"/>
              </w:rPr>
            </w:pPr>
            <w:r w:rsidRPr="00B426A8">
              <w:rPr>
                <w:color w:val="000000"/>
                <w:sz w:val="24"/>
              </w:rPr>
              <w:t>271,185.81</w:t>
            </w:r>
          </w:p>
        </w:tc>
        <w:tc>
          <w:tcPr>
            <w:tcW w:w="1910" w:type="dxa"/>
            <w:vAlign w:val="center"/>
          </w:tcPr>
          <w:p w:rsidR="00B426A8" w:rsidRPr="00B426A8" w:rsidRDefault="00B426A8" w:rsidP="00B426A8">
            <w:pPr>
              <w:spacing w:before="29" w:line="288" w:lineRule="auto"/>
              <w:jc w:val="right"/>
              <w:rPr>
                <w:color w:val="000000"/>
                <w:sz w:val="24"/>
              </w:rPr>
            </w:pPr>
            <w:r w:rsidRPr="00B426A8">
              <w:rPr>
                <w:color w:val="000000"/>
                <w:sz w:val="24"/>
              </w:rPr>
              <w:t>26,045.28</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B65AF0" w:rsidP="00571B8A">
      <w:pPr>
        <w:spacing w:before="29" w:line="288" w:lineRule="auto"/>
        <w:jc w:val="left"/>
        <w:rPr>
          <w:kern w:val="0"/>
          <w:sz w:val="24"/>
        </w:rPr>
      </w:pPr>
      <w:r w:rsidRPr="00B65AF0">
        <w:rPr>
          <w:rFonts w:hint="eastAsia"/>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Default="00B65AF0" w:rsidP="0085664F">
      <w:pPr>
        <w:widowControl/>
        <w:spacing w:line="360" w:lineRule="auto"/>
        <w:rPr>
          <w:rFonts w:eastAsiaTheme="minorEastAsia"/>
          <w:color w:val="000000" w:themeColor="text1"/>
          <w:kern w:val="0"/>
          <w:sz w:val="24"/>
        </w:rPr>
      </w:pPr>
      <w:r w:rsidRPr="00B65AF0">
        <w:rPr>
          <w:rFonts w:eastAsiaTheme="minorEastAsia" w:hint="eastAsia"/>
          <w:color w:val="000000" w:themeColor="text1"/>
          <w:kern w:val="0"/>
          <w:sz w:val="24"/>
        </w:rPr>
        <w:t>本基金本报告期内及上年度可比期间无其他关联交易事项。</w:t>
      </w:r>
    </w:p>
    <w:p w:rsidR="0085664F" w:rsidRPr="0085664F" w:rsidRDefault="0085664F" w:rsidP="0085664F">
      <w:pPr>
        <w:widowControl/>
        <w:spacing w:line="360" w:lineRule="auto"/>
        <w:rPr>
          <w:rFonts w:eastAsiaTheme="minorEastAsia"/>
          <w:color w:val="000000" w:themeColor="text1"/>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9B57C3" w:rsidRPr="001B7979" w:rsidRDefault="009B57C3" w:rsidP="005C1132">
      <w:pPr>
        <w:adjustRightInd w:val="0"/>
        <w:snapToGrid w:val="0"/>
        <w:spacing w:before="29" w:line="288" w:lineRule="auto"/>
        <w:rPr>
          <w:color w:val="000000"/>
          <w:sz w:val="24"/>
        </w:rPr>
      </w:pPr>
      <w:r w:rsidRPr="001B7979">
        <w:rPr>
          <w:color w:val="000000"/>
          <w:sz w:val="24"/>
        </w:rPr>
        <w:t>交银丰晟收益债券</w:t>
      </w:r>
      <w:r w:rsidRPr="001B7979">
        <w:rPr>
          <w:color w:val="000000"/>
          <w:sz w:val="24"/>
        </w:rPr>
        <w:t>A</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9B57C3" w:rsidRPr="001B7979" w:rsidTr="006973B3">
        <w:trPr>
          <w:trHeight w:val="1323"/>
          <w:jc w:val="center"/>
        </w:trPr>
        <w:tc>
          <w:tcPr>
            <w:tcW w:w="853"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gridSpan w:val="2"/>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9B57C3" w:rsidRPr="001B7979" w:rsidTr="006973B3">
        <w:trPr>
          <w:trHeight w:val="1323"/>
          <w:jc w:val="center"/>
        </w:trPr>
        <w:tc>
          <w:tcPr>
            <w:tcW w:w="853" w:type="dxa"/>
            <w:vMerge/>
            <w:shd w:val="clear" w:color="auto" w:fill="auto"/>
          </w:tcPr>
          <w:p w:rsidR="009B57C3" w:rsidRPr="001B7979" w:rsidRDefault="009B57C3" w:rsidP="006973B3">
            <w:pPr>
              <w:autoSpaceDE w:val="0"/>
              <w:autoSpaceDN w:val="0"/>
              <w:adjustRightInd w:val="0"/>
              <w:spacing w:before="29" w:line="360" w:lineRule="auto"/>
              <w:ind w:right="210"/>
              <w:jc w:val="left"/>
              <w:rPr>
                <w:color w:val="000000"/>
                <w:szCs w:val="21"/>
              </w:rPr>
            </w:pPr>
          </w:p>
        </w:tc>
        <w:tc>
          <w:tcPr>
            <w:tcW w:w="1216" w:type="dxa"/>
            <w:vMerge/>
            <w:shd w:val="clear" w:color="auto" w:fill="auto"/>
            <w:vAlign w:val="center"/>
          </w:tcPr>
          <w:p w:rsidR="009B57C3" w:rsidRPr="001B7979" w:rsidRDefault="009B57C3" w:rsidP="00BC75CA">
            <w:pPr>
              <w:spacing w:line="288" w:lineRule="auto"/>
              <w:ind w:leftChars="50" w:left="105"/>
              <w:jc w:val="center"/>
              <w:rPr>
                <w:color w:val="000000"/>
                <w:sz w:val="24"/>
              </w:rPr>
            </w:pPr>
          </w:p>
        </w:tc>
        <w:tc>
          <w:tcPr>
            <w:tcW w:w="739" w:type="dxa"/>
            <w:shd w:val="clear" w:color="auto" w:fill="auto"/>
            <w:vAlign w:val="center"/>
          </w:tcPr>
          <w:p w:rsidR="009B57C3" w:rsidRPr="001B7979" w:rsidRDefault="009B57C3" w:rsidP="00BC75CA">
            <w:pPr>
              <w:widowControl/>
              <w:autoSpaceDE w:val="0"/>
              <w:autoSpaceDN w:val="0"/>
              <w:spacing w:before="29" w:line="288" w:lineRule="auto"/>
              <w:ind w:right="-15"/>
              <w:jc w:val="center"/>
              <w:textAlignment w:val="bottom"/>
              <w:rPr>
                <w:color w:val="000000"/>
                <w:sz w:val="24"/>
              </w:rPr>
            </w:pPr>
            <w:r w:rsidRPr="001B7979">
              <w:rPr>
                <w:color w:val="000000"/>
                <w:sz w:val="24"/>
              </w:rPr>
              <w:t>场内</w:t>
            </w:r>
            <w:hyperlink r:id="rId16" w:anchor="_{word_merger_special}{word_delete_s" w:history="1"/>
          </w:p>
          <w:p w:rsidR="009B57C3" w:rsidRPr="001B7979" w:rsidRDefault="005F41E8" w:rsidP="00BC75CA">
            <w:pPr>
              <w:spacing w:line="288" w:lineRule="auto"/>
              <w:ind w:leftChars="50" w:left="105"/>
              <w:jc w:val="center"/>
              <w:rPr>
                <w:color w:val="000000"/>
                <w:sz w:val="24"/>
              </w:rPr>
            </w:pPr>
            <w:hyperlink r:id="rId17" w:anchor="_{word_merger_special}{word_delete_s" w:history="1"/>
          </w:p>
        </w:tc>
        <w:tc>
          <w:tcPr>
            <w:tcW w:w="739" w:type="dxa"/>
            <w:shd w:val="clear" w:color="auto" w:fill="auto"/>
            <w:vAlign w:val="center"/>
          </w:tcPr>
          <w:p w:rsidR="009B57C3" w:rsidRPr="001B7979" w:rsidRDefault="009B57C3" w:rsidP="00BC75CA">
            <w:pPr>
              <w:widowControl/>
              <w:autoSpaceDE w:val="0"/>
              <w:autoSpaceDN w:val="0"/>
              <w:spacing w:before="29" w:line="288" w:lineRule="auto"/>
              <w:ind w:right="-15"/>
              <w:jc w:val="center"/>
              <w:textAlignment w:val="bottom"/>
              <w:rPr>
                <w:color w:val="000000"/>
                <w:sz w:val="24"/>
              </w:rPr>
            </w:pPr>
            <w:r w:rsidRPr="001B7979">
              <w:rPr>
                <w:color w:val="000000"/>
                <w:sz w:val="24"/>
              </w:rPr>
              <w:t>场外</w:t>
            </w:r>
            <w:hyperlink r:id="rId18" w:anchor="_{word_merger_special}{word_delete_s" w:history="1"/>
          </w:p>
          <w:p w:rsidR="009B57C3" w:rsidRPr="001B7979" w:rsidRDefault="005F41E8" w:rsidP="00BC75CA">
            <w:pPr>
              <w:spacing w:line="288" w:lineRule="auto"/>
              <w:ind w:leftChars="50" w:left="105"/>
              <w:jc w:val="center"/>
              <w:rPr>
                <w:color w:val="000000"/>
                <w:sz w:val="24"/>
              </w:rPr>
            </w:pPr>
            <w:hyperlink r:id="rId19" w:anchor="_{word_merger_special}{word_delete_s" w:history="1"/>
          </w:p>
        </w:tc>
        <w:tc>
          <w:tcPr>
            <w:tcW w:w="1171" w:type="dxa"/>
            <w:vMerge/>
            <w:shd w:val="clear" w:color="auto" w:fill="auto"/>
            <w:vAlign w:val="center"/>
          </w:tcPr>
          <w:p w:rsidR="009B57C3" w:rsidRPr="001B7979" w:rsidRDefault="009B57C3" w:rsidP="006973B3">
            <w:pPr>
              <w:spacing w:line="360" w:lineRule="auto"/>
              <w:ind w:leftChars="50" w:left="105"/>
              <w:jc w:val="center"/>
              <w:rPr>
                <w:color w:val="000000"/>
                <w:szCs w:val="21"/>
              </w:rPr>
            </w:pPr>
          </w:p>
        </w:tc>
        <w:tc>
          <w:tcPr>
            <w:tcW w:w="1325" w:type="dxa"/>
            <w:vMerge/>
            <w:shd w:val="clear" w:color="auto" w:fill="auto"/>
            <w:vAlign w:val="center"/>
          </w:tcPr>
          <w:p w:rsidR="009B57C3" w:rsidRPr="001B7979" w:rsidRDefault="009B57C3" w:rsidP="006973B3">
            <w:pPr>
              <w:spacing w:line="360" w:lineRule="auto"/>
              <w:ind w:leftChars="50" w:left="105"/>
              <w:jc w:val="center"/>
              <w:rPr>
                <w:color w:val="000000"/>
                <w:szCs w:val="21"/>
                <w:lang w:val="en-AU"/>
              </w:rPr>
            </w:pPr>
          </w:p>
        </w:tc>
        <w:tc>
          <w:tcPr>
            <w:tcW w:w="1325" w:type="dxa"/>
            <w:vMerge/>
            <w:shd w:val="clear" w:color="auto" w:fill="auto"/>
            <w:vAlign w:val="center"/>
          </w:tcPr>
          <w:p w:rsidR="009B57C3" w:rsidRPr="001B7979" w:rsidRDefault="009B57C3" w:rsidP="006973B3">
            <w:pPr>
              <w:spacing w:line="360" w:lineRule="auto"/>
              <w:ind w:leftChars="50" w:left="105"/>
              <w:jc w:val="center"/>
              <w:rPr>
                <w:color w:val="000000"/>
                <w:szCs w:val="21"/>
                <w:lang w:val="en-AU"/>
              </w:rPr>
            </w:pPr>
          </w:p>
        </w:tc>
        <w:tc>
          <w:tcPr>
            <w:tcW w:w="1325" w:type="dxa"/>
            <w:vMerge/>
            <w:shd w:val="clear" w:color="auto" w:fill="auto"/>
            <w:vAlign w:val="center"/>
          </w:tcPr>
          <w:p w:rsidR="009B57C3" w:rsidRPr="001B7979" w:rsidRDefault="009B57C3" w:rsidP="006973B3">
            <w:pPr>
              <w:spacing w:line="360" w:lineRule="auto"/>
              <w:jc w:val="center"/>
              <w:rPr>
                <w:color w:val="000000"/>
                <w:szCs w:val="21"/>
                <w:lang w:val="en-AU"/>
              </w:rPr>
            </w:pPr>
          </w:p>
        </w:tc>
        <w:tc>
          <w:tcPr>
            <w:tcW w:w="948" w:type="dxa"/>
            <w:vMerge/>
            <w:shd w:val="clear" w:color="auto" w:fill="auto"/>
            <w:vAlign w:val="center"/>
          </w:tcPr>
          <w:p w:rsidR="009B57C3" w:rsidRPr="001B7979" w:rsidRDefault="009B57C3" w:rsidP="006973B3">
            <w:pPr>
              <w:spacing w:line="360" w:lineRule="auto"/>
              <w:jc w:val="center"/>
              <w:rPr>
                <w:color w:val="000000"/>
                <w:szCs w:val="21"/>
                <w:lang w:val="en-AU"/>
              </w:rPr>
            </w:pPr>
          </w:p>
        </w:tc>
      </w:tr>
      <w:tr w:rsidR="00637861">
        <w:trPr>
          <w:jc w:val="center"/>
        </w:trPr>
        <w:tc>
          <w:tcPr>
            <w:tcW w:w="853" w:type="dxa"/>
            <w:vAlign w:val="center"/>
          </w:tcPr>
          <w:p w:rsidR="00637861" w:rsidRDefault="00762792">
            <w:pPr>
              <w:jc w:val="center"/>
            </w:pPr>
            <w:r>
              <w:rPr>
                <w:sz w:val="24"/>
              </w:rPr>
              <w:t>1</w:t>
            </w:r>
          </w:p>
        </w:tc>
        <w:tc>
          <w:tcPr>
            <w:tcW w:w="1216" w:type="dxa"/>
            <w:vAlign w:val="center"/>
          </w:tcPr>
          <w:p w:rsidR="00637861" w:rsidRDefault="00762792">
            <w:pPr>
              <w:jc w:val="center"/>
            </w:pPr>
            <w:r>
              <w:rPr>
                <w:sz w:val="24"/>
              </w:rPr>
              <w:t>2019-01-14</w:t>
            </w:r>
          </w:p>
        </w:tc>
        <w:tc>
          <w:tcPr>
            <w:tcW w:w="739" w:type="dxa"/>
            <w:vAlign w:val="center"/>
          </w:tcPr>
          <w:p w:rsidR="00637861" w:rsidRDefault="00762792">
            <w:pPr>
              <w:jc w:val="center"/>
            </w:pPr>
            <w:r>
              <w:rPr>
                <w:sz w:val="24"/>
              </w:rPr>
              <w:t>-</w:t>
            </w:r>
          </w:p>
        </w:tc>
        <w:tc>
          <w:tcPr>
            <w:tcW w:w="739" w:type="dxa"/>
            <w:vAlign w:val="center"/>
          </w:tcPr>
          <w:p w:rsidR="00637861" w:rsidRDefault="00762792">
            <w:pPr>
              <w:jc w:val="center"/>
            </w:pPr>
            <w:r>
              <w:rPr>
                <w:sz w:val="24"/>
              </w:rPr>
              <w:t>-</w:t>
            </w:r>
          </w:p>
        </w:tc>
        <w:tc>
          <w:tcPr>
            <w:tcW w:w="1171" w:type="dxa"/>
            <w:vAlign w:val="center"/>
          </w:tcPr>
          <w:p w:rsidR="00637861" w:rsidRDefault="00762792" w:rsidP="00D167D9">
            <w:pPr>
              <w:jc w:val="center"/>
            </w:pPr>
            <w:r>
              <w:rPr>
                <w:sz w:val="24"/>
              </w:rPr>
              <w:t>0.340</w:t>
            </w:r>
          </w:p>
        </w:tc>
        <w:tc>
          <w:tcPr>
            <w:tcW w:w="1325" w:type="dxa"/>
            <w:vAlign w:val="center"/>
          </w:tcPr>
          <w:p w:rsidR="00637861" w:rsidRDefault="00762792">
            <w:pPr>
              <w:jc w:val="right"/>
            </w:pPr>
            <w:r>
              <w:rPr>
                <w:sz w:val="24"/>
              </w:rPr>
              <w:t>11,247,650.94</w:t>
            </w:r>
          </w:p>
        </w:tc>
        <w:tc>
          <w:tcPr>
            <w:tcW w:w="1325" w:type="dxa"/>
            <w:vAlign w:val="center"/>
          </w:tcPr>
          <w:p w:rsidR="00637861" w:rsidRDefault="00762792" w:rsidP="00D167D9">
            <w:pPr>
              <w:jc w:val="center"/>
            </w:pPr>
            <w:r>
              <w:rPr>
                <w:sz w:val="24"/>
              </w:rPr>
              <w:t>-</w:t>
            </w:r>
          </w:p>
        </w:tc>
        <w:tc>
          <w:tcPr>
            <w:tcW w:w="1325" w:type="dxa"/>
            <w:vAlign w:val="center"/>
          </w:tcPr>
          <w:p w:rsidR="00637861" w:rsidRDefault="00762792">
            <w:pPr>
              <w:jc w:val="right"/>
            </w:pPr>
            <w:r>
              <w:rPr>
                <w:sz w:val="24"/>
              </w:rPr>
              <w:t>11,247,650.94</w:t>
            </w:r>
          </w:p>
        </w:tc>
        <w:tc>
          <w:tcPr>
            <w:tcW w:w="948" w:type="dxa"/>
            <w:vAlign w:val="center"/>
          </w:tcPr>
          <w:p w:rsidR="00637861" w:rsidRDefault="00762792" w:rsidP="00D167D9">
            <w:pPr>
              <w:jc w:val="center"/>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gridSpan w:val="2"/>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0.340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11,247,650.94</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11,247,650.94</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1806E1" w:rsidRPr="001B7979" w:rsidRDefault="001806E1" w:rsidP="005D6EB2">
      <w:pPr>
        <w:spacing w:before="29" w:line="288" w:lineRule="auto"/>
        <w:jc w:val="left"/>
        <w:rPr>
          <w:kern w:val="0"/>
          <w:sz w:val="24"/>
        </w:rPr>
      </w:pPr>
    </w:p>
    <w:p w:rsidR="009B57C3" w:rsidRPr="001B7979" w:rsidRDefault="009B57C3" w:rsidP="005C1132">
      <w:pPr>
        <w:adjustRightInd w:val="0"/>
        <w:snapToGrid w:val="0"/>
        <w:spacing w:before="29" w:line="288" w:lineRule="auto"/>
        <w:rPr>
          <w:color w:val="000000"/>
          <w:sz w:val="24"/>
        </w:rPr>
      </w:pPr>
      <w:r w:rsidRPr="001B7979">
        <w:rPr>
          <w:color w:val="000000"/>
          <w:sz w:val="24"/>
        </w:rPr>
        <w:t>交银丰晟收益债券</w:t>
      </w:r>
      <w:r w:rsidRPr="001B7979">
        <w:rPr>
          <w:color w:val="000000"/>
          <w:sz w:val="24"/>
        </w:rPr>
        <w:t>C</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9B57C3" w:rsidRPr="001B7979" w:rsidTr="006973B3">
        <w:trPr>
          <w:trHeight w:val="1323"/>
          <w:jc w:val="center"/>
        </w:trPr>
        <w:tc>
          <w:tcPr>
            <w:tcW w:w="853"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gridSpan w:val="2"/>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9B57C3" w:rsidRPr="001B7979" w:rsidTr="006973B3">
        <w:trPr>
          <w:trHeight w:val="1323"/>
          <w:jc w:val="center"/>
        </w:trPr>
        <w:tc>
          <w:tcPr>
            <w:tcW w:w="853" w:type="dxa"/>
            <w:vMerge/>
            <w:shd w:val="clear" w:color="auto" w:fill="auto"/>
          </w:tcPr>
          <w:p w:rsidR="009B57C3" w:rsidRPr="001B7979" w:rsidRDefault="009B57C3" w:rsidP="006973B3">
            <w:pPr>
              <w:autoSpaceDE w:val="0"/>
              <w:autoSpaceDN w:val="0"/>
              <w:adjustRightInd w:val="0"/>
              <w:spacing w:before="29" w:line="360" w:lineRule="auto"/>
              <w:ind w:right="210"/>
              <w:jc w:val="left"/>
              <w:rPr>
                <w:color w:val="000000"/>
                <w:szCs w:val="21"/>
              </w:rPr>
            </w:pPr>
          </w:p>
        </w:tc>
        <w:tc>
          <w:tcPr>
            <w:tcW w:w="1216" w:type="dxa"/>
            <w:vMerge/>
            <w:shd w:val="clear" w:color="auto" w:fill="auto"/>
            <w:vAlign w:val="center"/>
          </w:tcPr>
          <w:p w:rsidR="009B57C3" w:rsidRPr="001B7979" w:rsidRDefault="009B57C3" w:rsidP="006973B3">
            <w:pPr>
              <w:spacing w:line="360" w:lineRule="auto"/>
              <w:ind w:leftChars="50" w:left="105"/>
              <w:jc w:val="center"/>
              <w:rPr>
                <w:color w:val="000000"/>
                <w:szCs w:val="21"/>
              </w:rPr>
            </w:pPr>
          </w:p>
        </w:tc>
        <w:tc>
          <w:tcPr>
            <w:tcW w:w="739" w:type="dxa"/>
            <w:shd w:val="clear" w:color="auto" w:fill="auto"/>
            <w:vAlign w:val="center"/>
          </w:tcPr>
          <w:p w:rsidR="009B57C3" w:rsidRPr="001B7979" w:rsidRDefault="009B57C3" w:rsidP="00D167D9">
            <w:pPr>
              <w:spacing w:line="288" w:lineRule="auto"/>
              <w:ind w:leftChars="50" w:left="105"/>
              <w:jc w:val="center"/>
              <w:rPr>
                <w:color w:val="000000"/>
                <w:sz w:val="24"/>
              </w:rPr>
            </w:pPr>
            <w:r w:rsidRPr="001B7979">
              <w:rPr>
                <w:color w:val="000000"/>
                <w:sz w:val="24"/>
              </w:rPr>
              <w:t>场内</w:t>
            </w:r>
            <w:hyperlink r:id="rId20" w:anchor="_{word_merger_special}{word_delete_s" w:history="1"/>
            <w:hyperlink r:id="rId21" w:anchor="_{word_merger_special}{word_delete_s" w:history="1"/>
          </w:p>
        </w:tc>
        <w:tc>
          <w:tcPr>
            <w:tcW w:w="739" w:type="dxa"/>
            <w:shd w:val="clear" w:color="auto" w:fill="auto"/>
            <w:vAlign w:val="center"/>
          </w:tcPr>
          <w:p w:rsidR="009B57C3" w:rsidRPr="001B7979" w:rsidRDefault="009B57C3" w:rsidP="00D167D9">
            <w:pPr>
              <w:spacing w:line="288" w:lineRule="auto"/>
              <w:ind w:leftChars="50" w:left="105"/>
              <w:jc w:val="center"/>
              <w:rPr>
                <w:color w:val="000000"/>
                <w:sz w:val="24"/>
              </w:rPr>
            </w:pPr>
            <w:r w:rsidRPr="001B7979">
              <w:rPr>
                <w:color w:val="000000"/>
                <w:sz w:val="24"/>
              </w:rPr>
              <w:t>场外</w:t>
            </w:r>
            <w:hyperlink r:id="rId22" w:anchor="_{word_merger_special}{word_delete_s" w:history="1"/>
            <w:hyperlink r:id="rId23" w:anchor="_{word_merger_special}{word_delete_s" w:history="1"/>
          </w:p>
        </w:tc>
        <w:tc>
          <w:tcPr>
            <w:tcW w:w="1171" w:type="dxa"/>
            <w:vMerge/>
            <w:shd w:val="clear" w:color="auto" w:fill="auto"/>
            <w:vAlign w:val="center"/>
          </w:tcPr>
          <w:p w:rsidR="009B57C3" w:rsidRPr="001B7979" w:rsidRDefault="009B57C3" w:rsidP="006973B3">
            <w:pPr>
              <w:spacing w:line="360" w:lineRule="auto"/>
              <w:ind w:leftChars="50" w:left="105"/>
              <w:jc w:val="center"/>
              <w:rPr>
                <w:color w:val="000000"/>
                <w:szCs w:val="21"/>
              </w:rPr>
            </w:pPr>
          </w:p>
        </w:tc>
        <w:tc>
          <w:tcPr>
            <w:tcW w:w="1325" w:type="dxa"/>
            <w:vMerge/>
            <w:shd w:val="clear" w:color="auto" w:fill="auto"/>
            <w:vAlign w:val="center"/>
          </w:tcPr>
          <w:p w:rsidR="009B57C3" w:rsidRPr="001B7979" w:rsidRDefault="009B57C3" w:rsidP="006973B3">
            <w:pPr>
              <w:spacing w:line="360" w:lineRule="auto"/>
              <w:ind w:leftChars="50" w:left="105"/>
              <w:jc w:val="center"/>
              <w:rPr>
                <w:color w:val="000000"/>
                <w:szCs w:val="21"/>
                <w:lang w:val="en-AU"/>
              </w:rPr>
            </w:pPr>
          </w:p>
        </w:tc>
        <w:tc>
          <w:tcPr>
            <w:tcW w:w="1325" w:type="dxa"/>
            <w:vMerge/>
            <w:shd w:val="clear" w:color="auto" w:fill="auto"/>
            <w:vAlign w:val="center"/>
          </w:tcPr>
          <w:p w:rsidR="009B57C3" w:rsidRPr="001B7979" w:rsidRDefault="009B57C3" w:rsidP="006973B3">
            <w:pPr>
              <w:spacing w:line="360" w:lineRule="auto"/>
              <w:ind w:leftChars="50" w:left="105"/>
              <w:jc w:val="center"/>
              <w:rPr>
                <w:color w:val="000000"/>
                <w:szCs w:val="21"/>
                <w:lang w:val="en-AU"/>
              </w:rPr>
            </w:pPr>
          </w:p>
        </w:tc>
        <w:tc>
          <w:tcPr>
            <w:tcW w:w="1325" w:type="dxa"/>
            <w:vMerge/>
            <w:shd w:val="clear" w:color="auto" w:fill="auto"/>
            <w:vAlign w:val="center"/>
          </w:tcPr>
          <w:p w:rsidR="009B57C3" w:rsidRPr="001B7979" w:rsidRDefault="009B57C3" w:rsidP="006973B3">
            <w:pPr>
              <w:spacing w:line="360" w:lineRule="auto"/>
              <w:jc w:val="center"/>
              <w:rPr>
                <w:color w:val="000000"/>
                <w:szCs w:val="21"/>
                <w:lang w:val="en-AU"/>
              </w:rPr>
            </w:pPr>
          </w:p>
        </w:tc>
        <w:tc>
          <w:tcPr>
            <w:tcW w:w="948" w:type="dxa"/>
            <w:vMerge/>
            <w:shd w:val="clear" w:color="auto" w:fill="auto"/>
            <w:vAlign w:val="center"/>
          </w:tcPr>
          <w:p w:rsidR="009B57C3" w:rsidRPr="001B7979" w:rsidRDefault="009B57C3" w:rsidP="006973B3">
            <w:pPr>
              <w:spacing w:line="360" w:lineRule="auto"/>
              <w:jc w:val="center"/>
              <w:rPr>
                <w:color w:val="000000"/>
                <w:szCs w:val="21"/>
                <w:lang w:val="en-AU"/>
              </w:rPr>
            </w:pPr>
          </w:p>
        </w:tc>
      </w:tr>
      <w:tr w:rsidR="00637861">
        <w:trPr>
          <w:jc w:val="center"/>
        </w:trPr>
        <w:tc>
          <w:tcPr>
            <w:tcW w:w="853" w:type="dxa"/>
            <w:vAlign w:val="center"/>
          </w:tcPr>
          <w:p w:rsidR="00637861" w:rsidRDefault="00762792">
            <w:pPr>
              <w:jc w:val="center"/>
            </w:pPr>
            <w:r>
              <w:rPr>
                <w:sz w:val="24"/>
              </w:rPr>
              <w:t>1</w:t>
            </w:r>
          </w:p>
        </w:tc>
        <w:tc>
          <w:tcPr>
            <w:tcW w:w="1216" w:type="dxa"/>
            <w:vAlign w:val="center"/>
          </w:tcPr>
          <w:p w:rsidR="00637861" w:rsidRDefault="00762792">
            <w:pPr>
              <w:jc w:val="center"/>
            </w:pPr>
            <w:r>
              <w:rPr>
                <w:sz w:val="24"/>
              </w:rPr>
              <w:t>2019-01-14</w:t>
            </w:r>
          </w:p>
        </w:tc>
        <w:tc>
          <w:tcPr>
            <w:tcW w:w="739" w:type="dxa"/>
            <w:vAlign w:val="center"/>
          </w:tcPr>
          <w:p w:rsidR="00637861" w:rsidRDefault="00762792">
            <w:pPr>
              <w:jc w:val="center"/>
            </w:pPr>
            <w:r>
              <w:rPr>
                <w:sz w:val="24"/>
              </w:rPr>
              <w:t>-</w:t>
            </w:r>
          </w:p>
        </w:tc>
        <w:tc>
          <w:tcPr>
            <w:tcW w:w="739" w:type="dxa"/>
            <w:vAlign w:val="center"/>
          </w:tcPr>
          <w:p w:rsidR="00637861" w:rsidRDefault="00762792">
            <w:pPr>
              <w:jc w:val="center"/>
            </w:pPr>
            <w:r>
              <w:rPr>
                <w:sz w:val="24"/>
              </w:rPr>
              <w:t>-</w:t>
            </w:r>
          </w:p>
        </w:tc>
        <w:tc>
          <w:tcPr>
            <w:tcW w:w="1171" w:type="dxa"/>
            <w:vAlign w:val="center"/>
          </w:tcPr>
          <w:p w:rsidR="00637861" w:rsidRDefault="00762792" w:rsidP="00D167D9">
            <w:pPr>
              <w:jc w:val="center"/>
            </w:pPr>
            <w:r>
              <w:rPr>
                <w:sz w:val="24"/>
              </w:rPr>
              <w:t>0.300</w:t>
            </w:r>
          </w:p>
        </w:tc>
        <w:tc>
          <w:tcPr>
            <w:tcW w:w="1325" w:type="dxa"/>
            <w:vAlign w:val="center"/>
          </w:tcPr>
          <w:p w:rsidR="00637861" w:rsidRDefault="00762792" w:rsidP="00D167D9">
            <w:pPr>
              <w:jc w:val="center"/>
            </w:pPr>
            <w:r>
              <w:rPr>
                <w:sz w:val="24"/>
              </w:rPr>
              <w:t>23,299.92</w:t>
            </w:r>
          </w:p>
        </w:tc>
        <w:tc>
          <w:tcPr>
            <w:tcW w:w="1325" w:type="dxa"/>
            <w:vAlign w:val="center"/>
          </w:tcPr>
          <w:p w:rsidR="00637861" w:rsidRDefault="00762792" w:rsidP="00D167D9">
            <w:pPr>
              <w:jc w:val="center"/>
            </w:pPr>
            <w:r>
              <w:rPr>
                <w:sz w:val="24"/>
              </w:rPr>
              <w:t>-</w:t>
            </w:r>
          </w:p>
        </w:tc>
        <w:tc>
          <w:tcPr>
            <w:tcW w:w="1325" w:type="dxa"/>
            <w:vAlign w:val="center"/>
          </w:tcPr>
          <w:p w:rsidR="00637861" w:rsidRDefault="00762792" w:rsidP="00D167D9">
            <w:pPr>
              <w:jc w:val="center"/>
            </w:pPr>
            <w:r>
              <w:rPr>
                <w:sz w:val="24"/>
              </w:rPr>
              <w:t>23,299.92</w:t>
            </w:r>
          </w:p>
        </w:tc>
        <w:tc>
          <w:tcPr>
            <w:tcW w:w="948" w:type="dxa"/>
            <w:vAlign w:val="center"/>
          </w:tcPr>
          <w:p w:rsidR="00637861" w:rsidRDefault="00762792" w:rsidP="00D167D9">
            <w:pPr>
              <w:jc w:val="center"/>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gridSpan w:val="2"/>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0.300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23,299.92</w:t>
            </w:r>
          </w:p>
        </w:tc>
        <w:tc>
          <w:tcPr>
            <w:tcW w:w="1325" w:type="dxa"/>
            <w:shd w:val="clear" w:color="auto" w:fill="auto"/>
            <w:vAlign w:val="center"/>
          </w:tcPr>
          <w:p w:rsidR="009B57C3" w:rsidRPr="001B7979" w:rsidRDefault="009B57C3" w:rsidP="00D167D9">
            <w:pPr>
              <w:spacing w:before="29" w:line="288" w:lineRule="auto"/>
              <w:jc w:val="center"/>
              <w:rPr>
                <w:sz w:val="24"/>
              </w:rPr>
            </w:pPr>
            <w:r w:rsidRPr="001B7979">
              <w:rPr>
                <w:sz w:val="24"/>
              </w:rPr>
              <w:t>-</w:t>
            </w:r>
          </w:p>
        </w:tc>
        <w:tc>
          <w:tcPr>
            <w:tcW w:w="1325" w:type="dxa"/>
            <w:shd w:val="clear" w:color="auto" w:fill="auto"/>
            <w:vAlign w:val="center"/>
          </w:tcPr>
          <w:p w:rsidR="009B57C3" w:rsidRPr="001B7979" w:rsidRDefault="009B57C3" w:rsidP="00D167D9">
            <w:pPr>
              <w:spacing w:before="29" w:line="288" w:lineRule="auto"/>
              <w:jc w:val="center"/>
              <w:rPr>
                <w:sz w:val="24"/>
              </w:rPr>
            </w:pPr>
            <w:r w:rsidRPr="001B7979">
              <w:rPr>
                <w:sz w:val="24"/>
              </w:rPr>
              <w:t>23,299.92</w:t>
            </w:r>
          </w:p>
        </w:tc>
        <w:tc>
          <w:tcPr>
            <w:tcW w:w="948" w:type="dxa"/>
            <w:shd w:val="clear" w:color="auto" w:fill="auto"/>
            <w:vAlign w:val="center"/>
          </w:tcPr>
          <w:p w:rsidR="009B57C3" w:rsidRPr="001B7979" w:rsidRDefault="009B57C3" w:rsidP="00D167D9">
            <w:pPr>
              <w:spacing w:before="29" w:line="288" w:lineRule="auto"/>
              <w:jc w:val="center"/>
              <w:rPr>
                <w:sz w:val="24"/>
              </w:rPr>
            </w:pPr>
            <w:r w:rsidRPr="001B7979">
              <w:rPr>
                <w:sz w:val="24"/>
              </w:rPr>
              <w:t>-</w:t>
            </w:r>
          </w:p>
        </w:tc>
      </w:tr>
    </w:tbl>
    <w:p w:rsidR="008D0BA1" w:rsidRPr="001B7979" w:rsidRDefault="008D0BA1" w:rsidP="008D0BA1">
      <w:pPr>
        <w:spacing w:before="29" w:line="288" w:lineRule="auto"/>
        <w:jc w:val="left"/>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2019</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6.4.12.3.1 </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截至本报告期末</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日止，本基金从事银行间市场债券正回购交易形成的卖出回购证券款余额</w:t>
      </w:r>
      <w:r w:rsidRPr="001B7979">
        <w:rPr>
          <w:kern w:val="0"/>
          <w:sz w:val="24"/>
        </w:rPr>
        <w:t>126,059,410.91</w:t>
      </w:r>
      <w:r w:rsidRPr="001B7979">
        <w:rPr>
          <w:kern w:val="0"/>
          <w:sz w:val="24"/>
        </w:rPr>
        <w:t>元，是以如下债券作为抵押：</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1B7979" w:rsidTr="00A02F4E">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债券代码</w:t>
            </w:r>
          </w:p>
        </w:tc>
        <w:tc>
          <w:tcPr>
            <w:tcW w:w="1711"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债券名称</w:t>
            </w:r>
          </w:p>
        </w:tc>
        <w:tc>
          <w:tcPr>
            <w:tcW w:w="1494" w:type="dxa"/>
            <w:vAlign w:val="center"/>
          </w:tcPr>
          <w:p w:rsidR="001548F9" w:rsidRPr="001B7979" w:rsidRDefault="001548F9" w:rsidP="00571B8A">
            <w:pPr>
              <w:spacing w:before="29" w:line="288" w:lineRule="auto"/>
              <w:jc w:val="center"/>
              <w:rPr>
                <w:color w:val="000000"/>
                <w:sz w:val="24"/>
              </w:rPr>
            </w:pPr>
            <w:r w:rsidRPr="001B7979">
              <w:rPr>
                <w:color w:val="000000"/>
                <w:sz w:val="24"/>
              </w:rPr>
              <w:t>回购到期日</w:t>
            </w:r>
          </w:p>
        </w:tc>
        <w:tc>
          <w:tcPr>
            <w:tcW w:w="1255"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期末估值单价</w:t>
            </w:r>
          </w:p>
        </w:tc>
        <w:tc>
          <w:tcPr>
            <w:tcW w:w="1434" w:type="dxa"/>
            <w:vAlign w:val="center"/>
          </w:tcPr>
          <w:p w:rsidR="001548F9" w:rsidRPr="001B7979" w:rsidRDefault="001548F9" w:rsidP="00571B8A">
            <w:pPr>
              <w:spacing w:before="29" w:line="288" w:lineRule="auto"/>
              <w:jc w:val="center"/>
              <w:rPr>
                <w:color w:val="000000"/>
                <w:sz w:val="24"/>
              </w:rPr>
            </w:pPr>
            <w:r w:rsidRPr="001B7979">
              <w:rPr>
                <w:color w:val="000000"/>
                <w:sz w:val="24"/>
              </w:rPr>
              <w:t>数量（张）</w:t>
            </w:r>
          </w:p>
        </w:tc>
        <w:tc>
          <w:tcPr>
            <w:tcW w:w="1828"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期末估值总额</w:t>
            </w:r>
          </w:p>
        </w:tc>
      </w:tr>
      <w:tr w:rsidR="00637861">
        <w:tc>
          <w:tcPr>
            <w:tcW w:w="1276" w:type="dxa"/>
            <w:vAlign w:val="center"/>
          </w:tcPr>
          <w:p w:rsidR="00637861" w:rsidRDefault="00762792">
            <w:pPr>
              <w:jc w:val="center"/>
            </w:pPr>
            <w:r>
              <w:rPr>
                <w:color w:val="000000"/>
                <w:kern w:val="0"/>
                <w:sz w:val="24"/>
              </w:rPr>
              <w:t>101772011</w:t>
            </w:r>
          </w:p>
        </w:tc>
        <w:tc>
          <w:tcPr>
            <w:tcW w:w="1711" w:type="dxa"/>
            <w:vAlign w:val="center"/>
          </w:tcPr>
          <w:p w:rsidR="00637861" w:rsidRDefault="00762792">
            <w:pPr>
              <w:jc w:val="center"/>
            </w:pPr>
            <w:r>
              <w:rPr>
                <w:color w:val="000000"/>
                <w:kern w:val="0"/>
                <w:sz w:val="24"/>
              </w:rPr>
              <w:t>17</w:t>
            </w:r>
            <w:r>
              <w:rPr>
                <w:color w:val="000000"/>
                <w:kern w:val="0"/>
                <w:sz w:val="24"/>
              </w:rPr>
              <w:t>江阴公</w:t>
            </w:r>
            <w:r>
              <w:rPr>
                <w:color w:val="000000"/>
                <w:kern w:val="0"/>
                <w:sz w:val="24"/>
              </w:rPr>
              <w:t>MTN001</w:t>
            </w:r>
          </w:p>
        </w:tc>
        <w:tc>
          <w:tcPr>
            <w:tcW w:w="1494" w:type="dxa"/>
            <w:vAlign w:val="center"/>
          </w:tcPr>
          <w:p w:rsidR="00637861" w:rsidRDefault="00762792">
            <w:pPr>
              <w:jc w:val="center"/>
            </w:pPr>
            <w:r>
              <w:rPr>
                <w:color w:val="000000"/>
                <w:kern w:val="0"/>
                <w:sz w:val="24"/>
              </w:rPr>
              <w:t>2019-07-01</w:t>
            </w:r>
          </w:p>
        </w:tc>
        <w:tc>
          <w:tcPr>
            <w:tcW w:w="1255" w:type="dxa"/>
            <w:vAlign w:val="center"/>
          </w:tcPr>
          <w:p w:rsidR="00637861" w:rsidRDefault="00762792">
            <w:pPr>
              <w:jc w:val="right"/>
            </w:pPr>
            <w:r>
              <w:rPr>
                <w:color w:val="000000"/>
                <w:kern w:val="0"/>
                <w:sz w:val="24"/>
              </w:rPr>
              <w:t>102.18</w:t>
            </w:r>
          </w:p>
        </w:tc>
        <w:tc>
          <w:tcPr>
            <w:tcW w:w="1434" w:type="dxa"/>
            <w:vAlign w:val="center"/>
          </w:tcPr>
          <w:p w:rsidR="00637861" w:rsidRDefault="00762792">
            <w:pPr>
              <w:jc w:val="right"/>
            </w:pPr>
            <w:r>
              <w:rPr>
                <w:color w:val="000000"/>
                <w:kern w:val="0"/>
                <w:sz w:val="24"/>
              </w:rPr>
              <w:t>200,000</w:t>
            </w:r>
          </w:p>
        </w:tc>
        <w:tc>
          <w:tcPr>
            <w:tcW w:w="1828" w:type="dxa"/>
            <w:vAlign w:val="center"/>
          </w:tcPr>
          <w:p w:rsidR="00637861" w:rsidRDefault="00762792">
            <w:pPr>
              <w:jc w:val="right"/>
            </w:pPr>
            <w:r>
              <w:rPr>
                <w:color w:val="000000"/>
                <w:kern w:val="0"/>
                <w:sz w:val="24"/>
              </w:rPr>
              <w:t>20,436,000.00</w:t>
            </w:r>
          </w:p>
        </w:tc>
      </w:tr>
      <w:tr w:rsidR="00637861">
        <w:tc>
          <w:tcPr>
            <w:tcW w:w="1276" w:type="dxa"/>
            <w:vAlign w:val="center"/>
          </w:tcPr>
          <w:p w:rsidR="00637861" w:rsidRDefault="00762792">
            <w:pPr>
              <w:jc w:val="center"/>
            </w:pPr>
            <w:r>
              <w:rPr>
                <w:color w:val="000000"/>
                <w:kern w:val="0"/>
                <w:sz w:val="24"/>
              </w:rPr>
              <w:t>101800692</w:t>
            </w:r>
          </w:p>
        </w:tc>
        <w:tc>
          <w:tcPr>
            <w:tcW w:w="1711" w:type="dxa"/>
            <w:vAlign w:val="center"/>
          </w:tcPr>
          <w:p w:rsidR="00637861" w:rsidRDefault="00762792">
            <w:pPr>
              <w:jc w:val="center"/>
            </w:pPr>
            <w:r>
              <w:rPr>
                <w:color w:val="000000"/>
                <w:kern w:val="0"/>
                <w:sz w:val="24"/>
              </w:rPr>
              <w:t>18</w:t>
            </w:r>
            <w:r>
              <w:rPr>
                <w:color w:val="000000"/>
                <w:kern w:val="0"/>
                <w:sz w:val="24"/>
              </w:rPr>
              <w:t>拉萨城投</w:t>
            </w:r>
            <w:r>
              <w:rPr>
                <w:color w:val="000000"/>
                <w:kern w:val="0"/>
                <w:sz w:val="24"/>
              </w:rPr>
              <w:t>MTN001</w:t>
            </w:r>
          </w:p>
        </w:tc>
        <w:tc>
          <w:tcPr>
            <w:tcW w:w="1494" w:type="dxa"/>
            <w:vAlign w:val="center"/>
          </w:tcPr>
          <w:p w:rsidR="00637861" w:rsidRDefault="00762792">
            <w:pPr>
              <w:jc w:val="center"/>
            </w:pPr>
            <w:r>
              <w:rPr>
                <w:color w:val="000000"/>
                <w:kern w:val="0"/>
                <w:sz w:val="24"/>
              </w:rPr>
              <w:t>2019-07-01</w:t>
            </w:r>
          </w:p>
        </w:tc>
        <w:tc>
          <w:tcPr>
            <w:tcW w:w="1255" w:type="dxa"/>
            <w:vAlign w:val="center"/>
          </w:tcPr>
          <w:p w:rsidR="00637861" w:rsidRDefault="00762792">
            <w:pPr>
              <w:jc w:val="right"/>
            </w:pPr>
            <w:r>
              <w:rPr>
                <w:color w:val="000000"/>
                <w:kern w:val="0"/>
                <w:sz w:val="24"/>
              </w:rPr>
              <w:t>103.21</w:t>
            </w:r>
          </w:p>
        </w:tc>
        <w:tc>
          <w:tcPr>
            <w:tcW w:w="1434" w:type="dxa"/>
            <w:vAlign w:val="center"/>
          </w:tcPr>
          <w:p w:rsidR="00637861" w:rsidRDefault="00762792">
            <w:pPr>
              <w:jc w:val="right"/>
            </w:pPr>
            <w:r>
              <w:rPr>
                <w:color w:val="000000"/>
                <w:kern w:val="0"/>
                <w:sz w:val="24"/>
              </w:rPr>
              <w:t>220,000</w:t>
            </w:r>
          </w:p>
        </w:tc>
        <w:tc>
          <w:tcPr>
            <w:tcW w:w="1828" w:type="dxa"/>
            <w:vAlign w:val="center"/>
          </w:tcPr>
          <w:p w:rsidR="00637861" w:rsidRDefault="00762792">
            <w:pPr>
              <w:jc w:val="right"/>
            </w:pPr>
            <w:r>
              <w:rPr>
                <w:color w:val="000000"/>
                <w:kern w:val="0"/>
                <w:sz w:val="24"/>
              </w:rPr>
              <w:t>22,706,200.00</w:t>
            </w:r>
          </w:p>
        </w:tc>
      </w:tr>
      <w:tr w:rsidR="00637861">
        <w:tc>
          <w:tcPr>
            <w:tcW w:w="1276" w:type="dxa"/>
            <w:vAlign w:val="center"/>
          </w:tcPr>
          <w:p w:rsidR="00637861" w:rsidRDefault="00762792">
            <w:pPr>
              <w:jc w:val="center"/>
            </w:pPr>
            <w:r>
              <w:rPr>
                <w:color w:val="000000"/>
                <w:kern w:val="0"/>
                <w:sz w:val="24"/>
              </w:rPr>
              <w:t>101800295</w:t>
            </w:r>
          </w:p>
        </w:tc>
        <w:tc>
          <w:tcPr>
            <w:tcW w:w="1711" w:type="dxa"/>
            <w:vAlign w:val="center"/>
          </w:tcPr>
          <w:p w:rsidR="00637861" w:rsidRDefault="00762792">
            <w:pPr>
              <w:jc w:val="center"/>
            </w:pPr>
            <w:r>
              <w:rPr>
                <w:color w:val="000000"/>
                <w:kern w:val="0"/>
                <w:sz w:val="24"/>
              </w:rPr>
              <w:t>18</w:t>
            </w:r>
            <w:r>
              <w:rPr>
                <w:color w:val="000000"/>
                <w:kern w:val="0"/>
                <w:sz w:val="24"/>
              </w:rPr>
              <w:t>萧山钱江</w:t>
            </w:r>
            <w:r>
              <w:rPr>
                <w:color w:val="000000"/>
                <w:kern w:val="0"/>
                <w:sz w:val="24"/>
              </w:rPr>
              <w:t>MTN002</w:t>
            </w:r>
          </w:p>
        </w:tc>
        <w:tc>
          <w:tcPr>
            <w:tcW w:w="1494" w:type="dxa"/>
            <w:vAlign w:val="center"/>
          </w:tcPr>
          <w:p w:rsidR="00637861" w:rsidRDefault="00762792">
            <w:pPr>
              <w:jc w:val="center"/>
            </w:pPr>
            <w:r>
              <w:rPr>
                <w:color w:val="000000"/>
                <w:kern w:val="0"/>
                <w:sz w:val="24"/>
              </w:rPr>
              <w:t>2019-07-01</w:t>
            </w:r>
          </w:p>
        </w:tc>
        <w:tc>
          <w:tcPr>
            <w:tcW w:w="1255" w:type="dxa"/>
            <w:vAlign w:val="center"/>
          </w:tcPr>
          <w:p w:rsidR="00637861" w:rsidRDefault="00762792">
            <w:pPr>
              <w:jc w:val="right"/>
            </w:pPr>
            <w:r>
              <w:rPr>
                <w:color w:val="000000"/>
                <w:kern w:val="0"/>
                <w:sz w:val="24"/>
              </w:rPr>
              <w:t>103.28</w:t>
            </w:r>
          </w:p>
        </w:tc>
        <w:tc>
          <w:tcPr>
            <w:tcW w:w="1434" w:type="dxa"/>
            <w:vAlign w:val="center"/>
          </w:tcPr>
          <w:p w:rsidR="00637861" w:rsidRDefault="00762792">
            <w:pPr>
              <w:jc w:val="right"/>
            </w:pPr>
            <w:r>
              <w:rPr>
                <w:color w:val="000000"/>
                <w:kern w:val="0"/>
                <w:sz w:val="24"/>
              </w:rPr>
              <w:t>200,000</w:t>
            </w:r>
          </w:p>
        </w:tc>
        <w:tc>
          <w:tcPr>
            <w:tcW w:w="1828" w:type="dxa"/>
            <w:vAlign w:val="center"/>
          </w:tcPr>
          <w:p w:rsidR="00637861" w:rsidRDefault="00762792">
            <w:pPr>
              <w:jc w:val="right"/>
            </w:pPr>
            <w:r>
              <w:rPr>
                <w:color w:val="000000"/>
                <w:kern w:val="0"/>
                <w:sz w:val="24"/>
              </w:rPr>
              <w:t>20,656,000.00</w:t>
            </w:r>
          </w:p>
        </w:tc>
      </w:tr>
      <w:tr w:rsidR="00637861">
        <w:tc>
          <w:tcPr>
            <w:tcW w:w="1276" w:type="dxa"/>
            <w:vAlign w:val="center"/>
          </w:tcPr>
          <w:p w:rsidR="00637861" w:rsidRDefault="00762792">
            <w:pPr>
              <w:jc w:val="center"/>
            </w:pPr>
            <w:r>
              <w:rPr>
                <w:color w:val="000000"/>
                <w:kern w:val="0"/>
                <w:sz w:val="24"/>
              </w:rPr>
              <w:t>101560059</w:t>
            </w:r>
          </w:p>
        </w:tc>
        <w:tc>
          <w:tcPr>
            <w:tcW w:w="1711" w:type="dxa"/>
            <w:vAlign w:val="center"/>
          </w:tcPr>
          <w:p w:rsidR="00637861" w:rsidRDefault="00762792">
            <w:pPr>
              <w:jc w:val="center"/>
            </w:pPr>
            <w:r>
              <w:rPr>
                <w:color w:val="000000"/>
                <w:kern w:val="0"/>
                <w:sz w:val="24"/>
              </w:rPr>
              <w:t>15</w:t>
            </w:r>
            <w:r>
              <w:rPr>
                <w:color w:val="000000"/>
                <w:kern w:val="0"/>
                <w:sz w:val="24"/>
              </w:rPr>
              <w:t>盐城城南</w:t>
            </w:r>
            <w:r>
              <w:rPr>
                <w:color w:val="000000"/>
                <w:kern w:val="0"/>
                <w:sz w:val="24"/>
              </w:rPr>
              <w:t>MTN001</w:t>
            </w:r>
          </w:p>
        </w:tc>
        <w:tc>
          <w:tcPr>
            <w:tcW w:w="1494" w:type="dxa"/>
            <w:vAlign w:val="center"/>
          </w:tcPr>
          <w:p w:rsidR="00637861" w:rsidRDefault="00762792">
            <w:pPr>
              <w:jc w:val="center"/>
            </w:pPr>
            <w:r>
              <w:rPr>
                <w:color w:val="000000"/>
                <w:kern w:val="0"/>
                <w:sz w:val="24"/>
              </w:rPr>
              <w:t>2019-07-05</w:t>
            </w:r>
          </w:p>
        </w:tc>
        <w:tc>
          <w:tcPr>
            <w:tcW w:w="1255" w:type="dxa"/>
            <w:vAlign w:val="center"/>
          </w:tcPr>
          <w:p w:rsidR="00637861" w:rsidRDefault="00762792">
            <w:pPr>
              <w:jc w:val="right"/>
            </w:pPr>
            <w:r>
              <w:rPr>
                <w:color w:val="000000"/>
                <w:kern w:val="0"/>
                <w:sz w:val="24"/>
              </w:rPr>
              <w:t>101.59</w:t>
            </w:r>
          </w:p>
        </w:tc>
        <w:tc>
          <w:tcPr>
            <w:tcW w:w="1434" w:type="dxa"/>
            <w:vAlign w:val="center"/>
          </w:tcPr>
          <w:p w:rsidR="00637861" w:rsidRDefault="00762792">
            <w:pPr>
              <w:jc w:val="right"/>
            </w:pPr>
            <w:r>
              <w:rPr>
                <w:color w:val="000000"/>
                <w:kern w:val="0"/>
                <w:sz w:val="24"/>
              </w:rPr>
              <w:t>300,000</w:t>
            </w:r>
          </w:p>
        </w:tc>
        <w:tc>
          <w:tcPr>
            <w:tcW w:w="1828" w:type="dxa"/>
            <w:vAlign w:val="center"/>
          </w:tcPr>
          <w:p w:rsidR="00637861" w:rsidRDefault="00762792">
            <w:pPr>
              <w:jc w:val="right"/>
            </w:pPr>
            <w:r>
              <w:rPr>
                <w:color w:val="000000"/>
                <w:kern w:val="0"/>
                <w:sz w:val="24"/>
              </w:rPr>
              <w:t>30,477,000.00</w:t>
            </w:r>
          </w:p>
        </w:tc>
      </w:tr>
      <w:tr w:rsidR="00637861">
        <w:tc>
          <w:tcPr>
            <w:tcW w:w="1276" w:type="dxa"/>
            <w:vAlign w:val="center"/>
          </w:tcPr>
          <w:p w:rsidR="00637861" w:rsidRDefault="00762792">
            <w:pPr>
              <w:jc w:val="center"/>
            </w:pPr>
            <w:r>
              <w:rPr>
                <w:color w:val="000000"/>
                <w:kern w:val="0"/>
                <w:sz w:val="24"/>
              </w:rPr>
              <w:t>101562012</w:t>
            </w:r>
          </w:p>
        </w:tc>
        <w:tc>
          <w:tcPr>
            <w:tcW w:w="1711" w:type="dxa"/>
            <w:vAlign w:val="center"/>
          </w:tcPr>
          <w:p w:rsidR="00637861" w:rsidRDefault="00762792">
            <w:pPr>
              <w:jc w:val="center"/>
            </w:pPr>
            <w:r>
              <w:rPr>
                <w:color w:val="000000"/>
                <w:kern w:val="0"/>
                <w:sz w:val="24"/>
              </w:rPr>
              <w:t>15</w:t>
            </w:r>
            <w:r>
              <w:rPr>
                <w:color w:val="000000"/>
                <w:kern w:val="0"/>
                <w:sz w:val="24"/>
              </w:rPr>
              <w:t>泰州城建</w:t>
            </w:r>
            <w:r>
              <w:rPr>
                <w:color w:val="000000"/>
                <w:kern w:val="0"/>
                <w:sz w:val="24"/>
              </w:rPr>
              <w:t>MTN001</w:t>
            </w:r>
          </w:p>
        </w:tc>
        <w:tc>
          <w:tcPr>
            <w:tcW w:w="1494" w:type="dxa"/>
            <w:vAlign w:val="center"/>
          </w:tcPr>
          <w:p w:rsidR="00637861" w:rsidRDefault="00762792">
            <w:pPr>
              <w:jc w:val="center"/>
            </w:pPr>
            <w:r>
              <w:rPr>
                <w:color w:val="000000"/>
                <w:kern w:val="0"/>
                <w:sz w:val="24"/>
              </w:rPr>
              <w:t>2019-07-05</w:t>
            </w:r>
          </w:p>
        </w:tc>
        <w:tc>
          <w:tcPr>
            <w:tcW w:w="1255" w:type="dxa"/>
            <w:vAlign w:val="center"/>
          </w:tcPr>
          <w:p w:rsidR="00637861" w:rsidRDefault="00762792">
            <w:pPr>
              <w:jc w:val="right"/>
            </w:pPr>
            <w:r>
              <w:rPr>
                <w:color w:val="000000"/>
                <w:kern w:val="0"/>
                <w:sz w:val="24"/>
              </w:rPr>
              <w:t>101.86</w:t>
            </w:r>
          </w:p>
        </w:tc>
        <w:tc>
          <w:tcPr>
            <w:tcW w:w="1434" w:type="dxa"/>
            <w:vAlign w:val="center"/>
          </w:tcPr>
          <w:p w:rsidR="00637861" w:rsidRDefault="00762792">
            <w:pPr>
              <w:jc w:val="right"/>
            </w:pPr>
            <w:r>
              <w:rPr>
                <w:color w:val="000000"/>
                <w:kern w:val="0"/>
                <w:sz w:val="24"/>
              </w:rPr>
              <w:t>200,000</w:t>
            </w:r>
          </w:p>
        </w:tc>
        <w:tc>
          <w:tcPr>
            <w:tcW w:w="1828" w:type="dxa"/>
            <w:vAlign w:val="center"/>
          </w:tcPr>
          <w:p w:rsidR="00637861" w:rsidRDefault="00762792">
            <w:pPr>
              <w:jc w:val="right"/>
            </w:pPr>
            <w:r>
              <w:rPr>
                <w:color w:val="000000"/>
                <w:kern w:val="0"/>
                <w:sz w:val="24"/>
              </w:rPr>
              <w:t>20,372,000.00</w:t>
            </w:r>
          </w:p>
        </w:tc>
      </w:tr>
      <w:tr w:rsidR="00637861">
        <w:tc>
          <w:tcPr>
            <w:tcW w:w="1276" w:type="dxa"/>
            <w:vAlign w:val="center"/>
          </w:tcPr>
          <w:p w:rsidR="00637861" w:rsidRDefault="00762792">
            <w:pPr>
              <w:jc w:val="center"/>
            </w:pPr>
            <w:r>
              <w:rPr>
                <w:color w:val="000000"/>
                <w:kern w:val="0"/>
                <w:sz w:val="24"/>
              </w:rPr>
              <w:t>101771013</w:t>
            </w:r>
          </w:p>
        </w:tc>
        <w:tc>
          <w:tcPr>
            <w:tcW w:w="1711" w:type="dxa"/>
            <w:vAlign w:val="center"/>
          </w:tcPr>
          <w:p w:rsidR="00637861" w:rsidRDefault="00762792">
            <w:pPr>
              <w:jc w:val="center"/>
            </w:pPr>
            <w:r>
              <w:rPr>
                <w:color w:val="000000"/>
                <w:kern w:val="0"/>
                <w:sz w:val="24"/>
              </w:rPr>
              <w:t>17</w:t>
            </w:r>
            <w:r>
              <w:rPr>
                <w:color w:val="000000"/>
                <w:kern w:val="0"/>
                <w:sz w:val="24"/>
              </w:rPr>
              <w:t>惠山经发</w:t>
            </w:r>
            <w:r>
              <w:rPr>
                <w:color w:val="000000"/>
                <w:kern w:val="0"/>
                <w:sz w:val="24"/>
              </w:rPr>
              <w:t>MTN001</w:t>
            </w:r>
          </w:p>
        </w:tc>
        <w:tc>
          <w:tcPr>
            <w:tcW w:w="1494" w:type="dxa"/>
            <w:vAlign w:val="center"/>
          </w:tcPr>
          <w:p w:rsidR="00637861" w:rsidRDefault="00762792">
            <w:pPr>
              <w:jc w:val="center"/>
            </w:pPr>
            <w:r>
              <w:rPr>
                <w:color w:val="000000"/>
                <w:kern w:val="0"/>
                <w:sz w:val="24"/>
              </w:rPr>
              <w:t>2019-07-05</w:t>
            </w:r>
          </w:p>
        </w:tc>
        <w:tc>
          <w:tcPr>
            <w:tcW w:w="1255" w:type="dxa"/>
            <w:vAlign w:val="center"/>
          </w:tcPr>
          <w:p w:rsidR="00637861" w:rsidRDefault="00762792">
            <w:pPr>
              <w:jc w:val="right"/>
            </w:pPr>
            <w:r>
              <w:rPr>
                <w:color w:val="000000"/>
                <w:kern w:val="0"/>
                <w:sz w:val="24"/>
              </w:rPr>
              <w:t>102.13</w:t>
            </w:r>
          </w:p>
        </w:tc>
        <w:tc>
          <w:tcPr>
            <w:tcW w:w="1434" w:type="dxa"/>
            <w:vAlign w:val="center"/>
          </w:tcPr>
          <w:p w:rsidR="00637861" w:rsidRDefault="00762792">
            <w:pPr>
              <w:jc w:val="right"/>
            </w:pPr>
            <w:r>
              <w:rPr>
                <w:color w:val="000000"/>
                <w:kern w:val="0"/>
                <w:sz w:val="24"/>
              </w:rPr>
              <w:t>34,000</w:t>
            </w:r>
          </w:p>
        </w:tc>
        <w:tc>
          <w:tcPr>
            <w:tcW w:w="1828" w:type="dxa"/>
            <w:vAlign w:val="center"/>
          </w:tcPr>
          <w:p w:rsidR="00637861" w:rsidRDefault="00762792">
            <w:pPr>
              <w:jc w:val="right"/>
            </w:pPr>
            <w:r>
              <w:rPr>
                <w:color w:val="000000"/>
                <w:kern w:val="0"/>
                <w:sz w:val="24"/>
              </w:rPr>
              <w:t>3,472,420.00</w:t>
            </w:r>
          </w:p>
        </w:tc>
      </w:tr>
      <w:tr w:rsidR="00637861">
        <w:tc>
          <w:tcPr>
            <w:tcW w:w="1276" w:type="dxa"/>
            <w:vAlign w:val="center"/>
          </w:tcPr>
          <w:p w:rsidR="00637861" w:rsidRDefault="00762792">
            <w:pPr>
              <w:jc w:val="center"/>
            </w:pPr>
            <w:r>
              <w:rPr>
                <w:color w:val="000000"/>
                <w:kern w:val="0"/>
                <w:sz w:val="24"/>
              </w:rPr>
              <w:t>101800533</w:t>
            </w:r>
          </w:p>
        </w:tc>
        <w:tc>
          <w:tcPr>
            <w:tcW w:w="1711" w:type="dxa"/>
            <w:vAlign w:val="center"/>
          </w:tcPr>
          <w:p w:rsidR="00637861" w:rsidRDefault="00762792">
            <w:pPr>
              <w:jc w:val="center"/>
            </w:pPr>
            <w:r>
              <w:rPr>
                <w:color w:val="000000"/>
                <w:kern w:val="0"/>
                <w:sz w:val="24"/>
              </w:rPr>
              <w:t>18</w:t>
            </w:r>
            <w:r>
              <w:rPr>
                <w:color w:val="000000"/>
                <w:kern w:val="0"/>
                <w:sz w:val="24"/>
              </w:rPr>
              <w:t>洛阳城投</w:t>
            </w:r>
            <w:r>
              <w:rPr>
                <w:color w:val="000000"/>
                <w:kern w:val="0"/>
                <w:sz w:val="24"/>
              </w:rPr>
              <w:t>MTN001</w:t>
            </w:r>
          </w:p>
        </w:tc>
        <w:tc>
          <w:tcPr>
            <w:tcW w:w="1494" w:type="dxa"/>
            <w:vAlign w:val="center"/>
          </w:tcPr>
          <w:p w:rsidR="00637861" w:rsidRDefault="00762792">
            <w:pPr>
              <w:jc w:val="center"/>
            </w:pPr>
            <w:r>
              <w:rPr>
                <w:color w:val="000000"/>
                <w:kern w:val="0"/>
                <w:sz w:val="24"/>
              </w:rPr>
              <w:t>2019-07-05</w:t>
            </w:r>
          </w:p>
        </w:tc>
        <w:tc>
          <w:tcPr>
            <w:tcW w:w="1255" w:type="dxa"/>
            <w:vAlign w:val="center"/>
          </w:tcPr>
          <w:p w:rsidR="00637861" w:rsidRDefault="00762792">
            <w:pPr>
              <w:jc w:val="right"/>
            </w:pPr>
            <w:r>
              <w:rPr>
                <w:color w:val="000000"/>
                <w:kern w:val="0"/>
                <w:sz w:val="24"/>
              </w:rPr>
              <w:t>102.72</w:t>
            </w:r>
          </w:p>
        </w:tc>
        <w:tc>
          <w:tcPr>
            <w:tcW w:w="1434" w:type="dxa"/>
            <w:vAlign w:val="center"/>
          </w:tcPr>
          <w:p w:rsidR="00637861" w:rsidRDefault="00762792">
            <w:pPr>
              <w:jc w:val="right"/>
            </w:pPr>
            <w:r>
              <w:rPr>
                <w:color w:val="000000"/>
                <w:kern w:val="0"/>
                <w:sz w:val="24"/>
              </w:rPr>
              <w:t>200,000</w:t>
            </w:r>
          </w:p>
        </w:tc>
        <w:tc>
          <w:tcPr>
            <w:tcW w:w="1828" w:type="dxa"/>
            <w:vAlign w:val="center"/>
          </w:tcPr>
          <w:p w:rsidR="00637861" w:rsidRDefault="00762792">
            <w:pPr>
              <w:jc w:val="right"/>
            </w:pPr>
            <w:r>
              <w:rPr>
                <w:color w:val="000000"/>
                <w:kern w:val="0"/>
                <w:sz w:val="24"/>
              </w:rPr>
              <w:t>20,544,000.00</w:t>
            </w:r>
          </w:p>
        </w:tc>
      </w:tr>
      <w:tr w:rsidR="001548F9" w:rsidRPr="001B7979" w:rsidTr="00A02F4E">
        <w:tc>
          <w:tcPr>
            <w:tcW w:w="1276" w:type="dxa"/>
            <w:vAlign w:val="center"/>
          </w:tcPr>
          <w:p w:rsidR="001548F9" w:rsidRPr="001B7979" w:rsidRDefault="001548F9" w:rsidP="00571B8A">
            <w:pPr>
              <w:spacing w:before="29" w:line="288" w:lineRule="auto"/>
              <w:jc w:val="center"/>
              <w:rPr>
                <w:color w:val="000000"/>
                <w:kern w:val="0"/>
                <w:sz w:val="24"/>
              </w:rPr>
            </w:pPr>
            <w:r w:rsidRPr="001B7979">
              <w:rPr>
                <w:sz w:val="24"/>
              </w:rPr>
              <w:t>合计</w:t>
            </w:r>
          </w:p>
        </w:tc>
        <w:tc>
          <w:tcPr>
            <w:tcW w:w="171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1B7979" w:rsidRDefault="001548F9" w:rsidP="00571B8A">
            <w:pPr>
              <w:spacing w:before="29" w:line="288" w:lineRule="auto"/>
              <w:jc w:val="right"/>
              <w:rPr>
                <w:sz w:val="24"/>
              </w:rPr>
            </w:pPr>
            <w:r w:rsidRPr="001B7979">
              <w:rPr>
                <w:sz w:val="24"/>
              </w:rPr>
              <w:t>1,354,000</w:t>
            </w:r>
          </w:p>
        </w:tc>
        <w:tc>
          <w:tcPr>
            <w:tcW w:w="1828" w:type="dxa"/>
            <w:vAlign w:val="center"/>
          </w:tcPr>
          <w:p w:rsidR="001548F9" w:rsidRPr="001B7979" w:rsidRDefault="001548F9" w:rsidP="00571B8A">
            <w:pPr>
              <w:spacing w:before="29" w:line="288" w:lineRule="auto"/>
              <w:jc w:val="right"/>
              <w:rPr>
                <w:sz w:val="24"/>
              </w:rPr>
            </w:pPr>
            <w:r w:rsidRPr="001B7979">
              <w:rPr>
                <w:sz w:val="24"/>
              </w:rPr>
              <w:t>138,663,620.00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6.4.12.3.2 </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截至本报告期末</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日止，基金从事证券交易所债券正回购交易形成的卖出回购证券款余额</w:t>
      </w:r>
      <w:r w:rsidRPr="001B7979">
        <w:rPr>
          <w:kern w:val="0"/>
          <w:sz w:val="24"/>
        </w:rPr>
        <w:t>209,000,000.00</w:t>
      </w:r>
      <w:r w:rsidRPr="001B7979">
        <w:rPr>
          <w:kern w:val="0"/>
          <w:sz w:val="24"/>
        </w:rPr>
        <w:t>元，于</w:t>
      </w:r>
      <w:r w:rsidRPr="001B7979">
        <w:rPr>
          <w:kern w:val="0"/>
          <w:sz w:val="24"/>
        </w:rPr>
        <w:t>2019</w:t>
      </w:r>
      <w:r w:rsidRPr="001B7979">
        <w:rPr>
          <w:kern w:val="0"/>
          <w:sz w:val="24"/>
        </w:rPr>
        <w:t>年</w:t>
      </w:r>
      <w:r w:rsidRPr="001B7979">
        <w:rPr>
          <w:kern w:val="0"/>
          <w:sz w:val="24"/>
        </w:rPr>
        <w:t>7</w:t>
      </w:r>
      <w:r w:rsidRPr="001B7979">
        <w:rPr>
          <w:kern w:val="0"/>
          <w:sz w:val="24"/>
        </w:rPr>
        <w:t>月</w:t>
      </w:r>
      <w:r w:rsidRPr="001B7979">
        <w:rPr>
          <w:kern w:val="0"/>
          <w:sz w:val="24"/>
        </w:rPr>
        <w:t>1</w:t>
      </w:r>
      <w:r w:rsidRPr="001B7979">
        <w:rPr>
          <w:kern w:val="0"/>
          <w:sz w:val="24"/>
        </w:rPr>
        <w:t>日（先后）到期。该类交易要求本基金在回购期内持有的证券交易所交易的债券和</w:t>
      </w:r>
      <w:r w:rsidRPr="001B7979">
        <w:rPr>
          <w:kern w:val="0"/>
          <w:sz w:val="24"/>
        </w:rPr>
        <w:t>/</w:t>
      </w:r>
      <w:r w:rsidRPr="001B7979">
        <w:rPr>
          <w:kern w:val="0"/>
          <w:sz w:val="24"/>
        </w:rPr>
        <w:t>或在新质押式回购下转入质押库的债券，按证券交易所规定的比例折算为标准券后，不低于债券回购交易的余额。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637861" w:rsidRDefault="00762792">
      <w:pPr>
        <w:spacing w:before="29" w:line="288" w:lineRule="auto"/>
        <w:ind w:firstLineChars="200" w:firstLine="480"/>
        <w:rPr>
          <w:kern w:val="0"/>
          <w:sz w:val="24"/>
        </w:rPr>
      </w:pPr>
      <w:r>
        <w:rPr>
          <w:kern w:val="0"/>
          <w:sz w:val="24"/>
        </w:rPr>
        <w:t>本基金是一只债券型基金，其预期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可分离交易可转债的纯债部分、公开发行的次级债、资产支持证券、短期融资券、超级短期融资券、中小企业私募债、中期票据、债券回购、银行存款、同业存单、货币市场工具等资产和法律法规允许投资的其他金融工具。本基金不投资于股票、权证等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力求获得高于业绩基准的投资收益。</w:t>
      </w:r>
    </w:p>
    <w:p w:rsidR="00637861" w:rsidRDefault="00762792">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637861" w:rsidRDefault="00762792">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637861" w:rsidRDefault="00762792">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637861" w:rsidRDefault="00762792">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C4629A">
      <w:pPr>
        <w:spacing w:before="29" w:line="288" w:lineRule="auto"/>
        <w:ind w:firstLineChars="200" w:firstLine="480"/>
        <w:jc w:val="left"/>
        <w:rPr>
          <w:kern w:val="0"/>
          <w:sz w:val="24"/>
        </w:rPr>
      </w:pPr>
      <w:r w:rsidRPr="001B7979">
        <w:rPr>
          <w:kern w:val="0"/>
          <w:sz w:val="24"/>
        </w:rPr>
        <w:t>本基金本报告期末未持有短期信用评级债券（</w:t>
      </w:r>
      <w:r w:rsidRPr="001B7979">
        <w:rPr>
          <w:kern w:val="0"/>
          <w:sz w:val="24"/>
        </w:rPr>
        <w:t>2018</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日：同）。</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6.4.13.2.2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259,256,600.00</w:t>
            </w:r>
          </w:p>
        </w:tc>
        <w:tc>
          <w:tcPr>
            <w:tcW w:w="3247" w:type="dxa"/>
            <w:vAlign w:val="center"/>
          </w:tcPr>
          <w:p w:rsidR="001548F9" w:rsidRPr="001B7979" w:rsidRDefault="001548F9" w:rsidP="00571B8A">
            <w:pPr>
              <w:spacing w:before="29" w:line="288" w:lineRule="auto"/>
              <w:jc w:val="right"/>
              <w:rPr>
                <w:sz w:val="24"/>
              </w:rPr>
            </w:pPr>
            <w:r w:rsidRPr="001B7979">
              <w:rPr>
                <w:sz w:val="24"/>
              </w:rPr>
              <w:t>259,592,300.00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397,686,500.00</w:t>
            </w:r>
          </w:p>
        </w:tc>
        <w:tc>
          <w:tcPr>
            <w:tcW w:w="3247" w:type="dxa"/>
            <w:vAlign w:val="center"/>
          </w:tcPr>
          <w:p w:rsidR="001548F9" w:rsidRPr="001B7979" w:rsidRDefault="001548F9" w:rsidP="00571B8A">
            <w:pPr>
              <w:spacing w:before="29" w:line="288" w:lineRule="auto"/>
              <w:jc w:val="right"/>
              <w:rPr>
                <w:sz w:val="24"/>
              </w:rPr>
            </w:pPr>
            <w:r w:rsidRPr="001B7979">
              <w:rPr>
                <w:sz w:val="24"/>
              </w:rPr>
              <w:t>408,831,100.00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656,943,100.00</w:t>
            </w:r>
          </w:p>
        </w:tc>
        <w:tc>
          <w:tcPr>
            <w:tcW w:w="3247" w:type="dxa"/>
            <w:vAlign w:val="center"/>
          </w:tcPr>
          <w:p w:rsidR="001548F9" w:rsidRPr="001B7979" w:rsidRDefault="001548F9" w:rsidP="00571B8A">
            <w:pPr>
              <w:spacing w:before="29" w:line="288" w:lineRule="auto"/>
              <w:jc w:val="right"/>
              <w:rPr>
                <w:sz w:val="24"/>
              </w:rPr>
            </w:pPr>
            <w:r w:rsidRPr="001B7979">
              <w:rPr>
                <w:sz w:val="24"/>
              </w:rPr>
              <w:t>668,423,400.00</w:t>
            </w:r>
          </w:p>
        </w:tc>
      </w:tr>
    </w:tbl>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637861" w:rsidRDefault="00762792">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来自于投资品种所处的交易市场不活跃而带来的变现困难或因投资集中而无法在市场出现剧烈波动的情况下以合理的价格变现。</w:t>
      </w:r>
    </w:p>
    <w:p w:rsidR="00637861" w:rsidRDefault="00762792">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335,059,410.91</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637861" w:rsidRDefault="0076279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本基金的基金管理人在基金运作过程中严格按照《公开募集证券投资基金运作管理办法》且于封闭期结束后按照《公开募集开放式证券投资基金流动性风险管理规定》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637861" w:rsidRDefault="0076279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。于封闭期结束后，本基金与由本基金的基金管理人管理的其他开放式基金共同持有一家上市公司发行的可流通股票不得超过该上市公司可流通股票的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w:t>
      </w:r>
    </w:p>
    <w:p w:rsidR="00637861" w:rsidRDefault="0076279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于封闭期结束后，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637861" w:rsidRDefault="0076279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于封闭期结束后，本基金的基金管理人每日对基金组合资产中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637861" w:rsidRDefault="0076279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637861" w:rsidRDefault="00762792">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37861" w:rsidRDefault="00762792">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2019</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637861">
        <w:tc>
          <w:tcPr>
            <w:tcW w:w="1518" w:type="dxa"/>
            <w:vAlign w:val="center"/>
          </w:tcPr>
          <w:p w:rsidR="00637861" w:rsidRDefault="00762792">
            <w:pPr>
              <w:jc w:val="left"/>
            </w:pPr>
            <w:r>
              <w:rPr>
                <w:color w:val="000000"/>
                <w:sz w:val="18"/>
                <w:szCs w:val="18"/>
              </w:rPr>
              <w:t>银行存款</w:t>
            </w:r>
          </w:p>
        </w:tc>
        <w:tc>
          <w:tcPr>
            <w:tcW w:w="1627" w:type="dxa"/>
            <w:vAlign w:val="center"/>
          </w:tcPr>
          <w:p w:rsidR="00637861" w:rsidRDefault="00762792">
            <w:pPr>
              <w:jc w:val="left"/>
            </w:pPr>
            <w:r>
              <w:rPr>
                <w:color w:val="000000"/>
                <w:sz w:val="18"/>
                <w:szCs w:val="18"/>
              </w:rPr>
              <w:t>591,102.90</w:t>
            </w:r>
          </w:p>
        </w:tc>
        <w:tc>
          <w:tcPr>
            <w:tcW w:w="1627" w:type="dxa"/>
            <w:vAlign w:val="center"/>
          </w:tcPr>
          <w:p w:rsidR="00637861" w:rsidRDefault="00762792">
            <w:pPr>
              <w:jc w:val="left"/>
            </w:pPr>
            <w:r>
              <w:rPr>
                <w:color w:val="000000"/>
                <w:sz w:val="18"/>
                <w:szCs w:val="18"/>
              </w:rPr>
              <w:t>-</w:t>
            </w:r>
          </w:p>
        </w:tc>
        <w:tc>
          <w:tcPr>
            <w:tcW w:w="1491" w:type="dxa"/>
            <w:vAlign w:val="center"/>
          </w:tcPr>
          <w:p w:rsidR="00637861" w:rsidRDefault="00762792">
            <w:pPr>
              <w:jc w:val="left"/>
            </w:pPr>
            <w:r>
              <w:rPr>
                <w:color w:val="000000"/>
                <w:sz w:val="18"/>
                <w:szCs w:val="18"/>
              </w:rPr>
              <w:t>-</w:t>
            </w:r>
          </w:p>
        </w:tc>
        <w:tc>
          <w:tcPr>
            <w:tcW w:w="1289" w:type="dxa"/>
            <w:vAlign w:val="center"/>
          </w:tcPr>
          <w:p w:rsidR="00637861" w:rsidRDefault="00762792">
            <w:pPr>
              <w:jc w:val="left"/>
            </w:pPr>
            <w:r>
              <w:rPr>
                <w:color w:val="000000"/>
                <w:sz w:val="18"/>
                <w:szCs w:val="18"/>
              </w:rPr>
              <w:t>-</w:t>
            </w:r>
          </w:p>
        </w:tc>
        <w:tc>
          <w:tcPr>
            <w:tcW w:w="1446" w:type="dxa"/>
            <w:vAlign w:val="center"/>
          </w:tcPr>
          <w:p w:rsidR="00637861" w:rsidRDefault="00762792">
            <w:pPr>
              <w:jc w:val="left"/>
            </w:pPr>
            <w:r>
              <w:rPr>
                <w:color w:val="000000"/>
                <w:sz w:val="18"/>
                <w:szCs w:val="18"/>
              </w:rPr>
              <w:t>591,102.90</w:t>
            </w:r>
          </w:p>
        </w:tc>
      </w:tr>
      <w:tr w:rsidR="00637861">
        <w:tc>
          <w:tcPr>
            <w:tcW w:w="1518" w:type="dxa"/>
            <w:vAlign w:val="center"/>
          </w:tcPr>
          <w:p w:rsidR="00637861" w:rsidRDefault="00762792">
            <w:pPr>
              <w:jc w:val="left"/>
            </w:pPr>
            <w:r>
              <w:rPr>
                <w:color w:val="000000"/>
                <w:sz w:val="18"/>
                <w:szCs w:val="18"/>
              </w:rPr>
              <w:t>结算备付金</w:t>
            </w:r>
          </w:p>
        </w:tc>
        <w:tc>
          <w:tcPr>
            <w:tcW w:w="1627" w:type="dxa"/>
            <w:vAlign w:val="center"/>
          </w:tcPr>
          <w:p w:rsidR="00637861" w:rsidRDefault="00762792">
            <w:pPr>
              <w:jc w:val="left"/>
            </w:pPr>
            <w:r>
              <w:rPr>
                <w:color w:val="000000"/>
                <w:sz w:val="18"/>
                <w:szCs w:val="18"/>
              </w:rPr>
              <w:t>19,791,975.40</w:t>
            </w:r>
          </w:p>
        </w:tc>
        <w:tc>
          <w:tcPr>
            <w:tcW w:w="1627" w:type="dxa"/>
            <w:vAlign w:val="center"/>
          </w:tcPr>
          <w:p w:rsidR="00637861" w:rsidRDefault="00762792">
            <w:pPr>
              <w:jc w:val="left"/>
            </w:pPr>
            <w:r>
              <w:rPr>
                <w:color w:val="000000"/>
                <w:sz w:val="18"/>
                <w:szCs w:val="18"/>
              </w:rPr>
              <w:t>-</w:t>
            </w:r>
          </w:p>
        </w:tc>
        <w:tc>
          <w:tcPr>
            <w:tcW w:w="1491" w:type="dxa"/>
            <w:vAlign w:val="center"/>
          </w:tcPr>
          <w:p w:rsidR="00637861" w:rsidRDefault="00762792">
            <w:pPr>
              <w:jc w:val="left"/>
            </w:pPr>
            <w:r>
              <w:rPr>
                <w:color w:val="000000"/>
                <w:sz w:val="18"/>
                <w:szCs w:val="18"/>
              </w:rPr>
              <w:t>-</w:t>
            </w:r>
          </w:p>
        </w:tc>
        <w:tc>
          <w:tcPr>
            <w:tcW w:w="1289" w:type="dxa"/>
            <w:vAlign w:val="center"/>
          </w:tcPr>
          <w:p w:rsidR="00637861" w:rsidRDefault="00762792">
            <w:pPr>
              <w:jc w:val="left"/>
            </w:pPr>
            <w:r>
              <w:rPr>
                <w:color w:val="000000"/>
                <w:sz w:val="18"/>
                <w:szCs w:val="18"/>
              </w:rPr>
              <w:t>-</w:t>
            </w:r>
          </w:p>
        </w:tc>
        <w:tc>
          <w:tcPr>
            <w:tcW w:w="1446" w:type="dxa"/>
            <w:vAlign w:val="center"/>
          </w:tcPr>
          <w:p w:rsidR="00637861" w:rsidRDefault="00762792">
            <w:pPr>
              <w:jc w:val="left"/>
            </w:pPr>
            <w:r>
              <w:rPr>
                <w:color w:val="000000"/>
                <w:sz w:val="18"/>
                <w:szCs w:val="18"/>
              </w:rPr>
              <w:t>19,791,975.40</w:t>
            </w:r>
          </w:p>
        </w:tc>
      </w:tr>
      <w:tr w:rsidR="00637861">
        <w:tc>
          <w:tcPr>
            <w:tcW w:w="1518" w:type="dxa"/>
            <w:vAlign w:val="center"/>
          </w:tcPr>
          <w:p w:rsidR="00637861" w:rsidRDefault="00762792">
            <w:pPr>
              <w:jc w:val="left"/>
            </w:pPr>
            <w:r>
              <w:rPr>
                <w:color w:val="000000"/>
                <w:sz w:val="18"/>
                <w:szCs w:val="18"/>
              </w:rPr>
              <w:t>存出保证金</w:t>
            </w:r>
          </w:p>
        </w:tc>
        <w:tc>
          <w:tcPr>
            <w:tcW w:w="1627" w:type="dxa"/>
            <w:vAlign w:val="center"/>
          </w:tcPr>
          <w:p w:rsidR="00637861" w:rsidRDefault="00762792">
            <w:pPr>
              <w:jc w:val="left"/>
            </w:pPr>
            <w:r>
              <w:rPr>
                <w:color w:val="000000"/>
                <w:sz w:val="18"/>
                <w:szCs w:val="18"/>
              </w:rPr>
              <w:t>556.17</w:t>
            </w:r>
          </w:p>
        </w:tc>
        <w:tc>
          <w:tcPr>
            <w:tcW w:w="1627" w:type="dxa"/>
            <w:vAlign w:val="center"/>
          </w:tcPr>
          <w:p w:rsidR="00637861" w:rsidRDefault="00762792">
            <w:pPr>
              <w:jc w:val="left"/>
            </w:pPr>
            <w:r>
              <w:rPr>
                <w:color w:val="000000"/>
                <w:sz w:val="18"/>
                <w:szCs w:val="18"/>
              </w:rPr>
              <w:t>-</w:t>
            </w:r>
          </w:p>
        </w:tc>
        <w:tc>
          <w:tcPr>
            <w:tcW w:w="1491" w:type="dxa"/>
            <w:vAlign w:val="center"/>
          </w:tcPr>
          <w:p w:rsidR="00637861" w:rsidRDefault="00762792">
            <w:pPr>
              <w:jc w:val="left"/>
            </w:pPr>
            <w:r>
              <w:rPr>
                <w:color w:val="000000"/>
                <w:sz w:val="18"/>
                <w:szCs w:val="18"/>
              </w:rPr>
              <w:t>-</w:t>
            </w:r>
          </w:p>
        </w:tc>
        <w:tc>
          <w:tcPr>
            <w:tcW w:w="1289" w:type="dxa"/>
            <w:vAlign w:val="center"/>
          </w:tcPr>
          <w:p w:rsidR="00637861" w:rsidRDefault="00762792">
            <w:pPr>
              <w:jc w:val="left"/>
            </w:pPr>
            <w:r>
              <w:rPr>
                <w:color w:val="000000"/>
                <w:sz w:val="18"/>
                <w:szCs w:val="18"/>
              </w:rPr>
              <w:t>-</w:t>
            </w:r>
          </w:p>
        </w:tc>
        <w:tc>
          <w:tcPr>
            <w:tcW w:w="1446" w:type="dxa"/>
            <w:vAlign w:val="center"/>
          </w:tcPr>
          <w:p w:rsidR="00637861" w:rsidRDefault="00762792">
            <w:pPr>
              <w:jc w:val="left"/>
            </w:pPr>
            <w:r>
              <w:rPr>
                <w:color w:val="000000"/>
                <w:sz w:val="18"/>
                <w:szCs w:val="18"/>
              </w:rPr>
              <w:t>556.17</w:t>
            </w:r>
          </w:p>
        </w:tc>
      </w:tr>
      <w:tr w:rsidR="00637861">
        <w:tc>
          <w:tcPr>
            <w:tcW w:w="1518" w:type="dxa"/>
            <w:vAlign w:val="center"/>
          </w:tcPr>
          <w:p w:rsidR="00637861" w:rsidRDefault="00762792">
            <w:pPr>
              <w:jc w:val="left"/>
            </w:pPr>
            <w:r>
              <w:rPr>
                <w:color w:val="000000"/>
                <w:sz w:val="18"/>
                <w:szCs w:val="18"/>
              </w:rPr>
              <w:t>交易性金融资产</w:t>
            </w:r>
          </w:p>
        </w:tc>
        <w:tc>
          <w:tcPr>
            <w:tcW w:w="1627" w:type="dxa"/>
            <w:vAlign w:val="center"/>
          </w:tcPr>
          <w:p w:rsidR="00637861" w:rsidRDefault="00762792">
            <w:pPr>
              <w:jc w:val="left"/>
            </w:pPr>
            <w:r>
              <w:rPr>
                <w:color w:val="000000"/>
                <w:sz w:val="18"/>
                <w:szCs w:val="18"/>
              </w:rPr>
              <w:t>127,039,000.00</w:t>
            </w:r>
          </w:p>
        </w:tc>
        <w:tc>
          <w:tcPr>
            <w:tcW w:w="1627" w:type="dxa"/>
            <w:vAlign w:val="center"/>
          </w:tcPr>
          <w:p w:rsidR="00637861" w:rsidRDefault="00762792">
            <w:pPr>
              <w:jc w:val="left"/>
            </w:pPr>
            <w:r>
              <w:rPr>
                <w:color w:val="000000"/>
                <w:sz w:val="18"/>
                <w:szCs w:val="18"/>
              </w:rPr>
              <w:t>504,574,100.00</w:t>
            </w:r>
          </w:p>
        </w:tc>
        <w:tc>
          <w:tcPr>
            <w:tcW w:w="1491" w:type="dxa"/>
            <w:vAlign w:val="center"/>
          </w:tcPr>
          <w:p w:rsidR="00637861" w:rsidRDefault="00762792">
            <w:pPr>
              <w:jc w:val="left"/>
            </w:pPr>
            <w:r>
              <w:rPr>
                <w:color w:val="000000"/>
                <w:sz w:val="18"/>
                <w:szCs w:val="18"/>
              </w:rPr>
              <w:t>25,330,000.00</w:t>
            </w:r>
          </w:p>
        </w:tc>
        <w:tc>
          <w:tcPr>
            <w:tcW w:w="1289" w:type="dxa"/>
            <w:vAlign w:val="center"/>
          </w:tcPr>
          <w:p w:rsidR="00637861" w:rsidRDefault="00762792">
            <w:pPr>
              <w:jc w:val="left"/>
            </w:pPr>
            <w:r>
              <w:rPr>
                <w:color w:val="000000"/>
                <w:sz w:val="18"/>
                <w:szCs w:val="18"/>
              </w:rPr>
              <w:t>-</w:t>
            </w:r>
          </w:p>
        </w:tc>
        <w:tc>
          <w:tcPr>
            <w:tcW w:w="1446" w:type="dxa"/>
            <w:vAlign w:val="center"/>
          </w:tcPr>
          <w:p w:rsidR="00637861" w:rsidRDefault="00762792">
            <w:pPr>
              <w:jc w:val="left"/>
            </w:pPr>
            <w:r>
              <w:rPr>
                <w:color w:val="000000"/>
                <w:sz w:val="18"/>
                <w:szCs w:val="18"/>
              </w:rPr>
              <w:t>656,943,100.00</w:t>
            </w:r>
          </w:p>
        </w:tc>
      </w:tr>
      <w:tr w:rsidR="00637861">
        <w:tc>
          <w:tcPr>
            <w:tcW w:w="1518" w:type="dxa"/>
            <w:vAlign w:val="center"/>
          </w:tcPr>
          <w:p w:rsidR="00637861" w:rsidRDefault="00762792">
            <w:pPr>
              <w:jc w:val="left"/>
            </w:pPr>
            <w:r>
              <w:rPr>
                <w:color w:val="000000"/>
                <w:sz w:val="18"/>
                <w:szCs w:val="18"/>
              </w:rPr>
              <w:t>应收利息</w:t>
            </w:r>
          </w:p>
        </w:tc>
        <w:tc>
          <w:tcPr>
            <w:tcW w:w="1627" w:type="dxa"/>
            <w:vAlign w:val="center"/>
          </w:tcPr>
          <w:p w:rsidR="00637861" w:rsidRDefault="00762792">
            <w:pPr>
              <w:jc w:val="left"/>
            </w:pPr>
            <w:r>
              <w:rPr>
                <w:color w:val="000000"/>
                <w:sz w:val="18"/>
                <w:szCs w:val="18"/>
              </w:rPr>
              <w:t>-</w:t>
            </w:r>
          </w:p>
        </w:tc>
        <w:tc>
          <w:tcPr>
            <w:tcW w:w="1627" w:type="dxa"/>
            <w:vAlign w:val="center"/>
          </w:tcPr>
          <w:p w:rsidR="00637861" w:rsidRDefault="00762792">
            <w:pPr>
              <w:jc w:val="left"/>
            </w:pPr>
            <w:r>
              <w:rPr>
                <w:color w:val="000000"/>
                <w:sz w:val="18"/>
                <w:szCs w:val="18"/>
              </w:rPr>
              <w:t>-</w:t>
            </w:r>
          </w:p>
        </w:tc>
        <w:tc>
          <w:tcPr>
            <w:tcW w:w="1491" w:type="dxa"/>
            <w:vAlign w:val="center"/>
          </w:tcPr>
          <w:p w:rsidR="00637861" w:rsidRDefault="00762792">
            <w:pPr>
              <w:jc w:val="left"/>
            </w:pPr>
            <w:r>
              <w:rPr>
                <w:color w:val="000000"/>
                <w:sz w:val="18"/>
                <w:szCs w:val="18"/>
              </w:rPr>
              <w:t>-</w:t>
            </w:r>
          </w:p>
        </w:tc>
        <w:tc>
          <w:tcPr>
            <w:tcW w:w="1289" w:type="dxa"/>
            <w:vAlign w:val="center"/>
          </w:tcPr>
          <w:p w:rsidR="00637861" w:rsidRDefault="00762792">
            <w:pPr>
              <w:jc w:val="left"/>
            </w:pPr>
            <w:r>
              <w:rPr>
                <w:color w:val="000000"/>
                <w:sz w:val="18"/>
                <w:szCs w:val="18"/>
              </w:rPr>
              <w:t>12,424,781.04</w:t>
            </w:r>
          </w:p>
        </w:tc>
        <w:tc>
          <w:tcPr>
            <w:tcW w:w="1446" w:type="dxa"/>
            <w:vAlign w:val="center"/>
          </w:tcPr>
          <w:p w:rsidR="00637861" w:rsidRDefault="00762792">
            <w:pPr>
              <w:jc w:val="left"/>
            </w:pPr>
            <w:r>
              <w:rPr>
                <w:color w:val="000000"/>
                <w:sz w:val="18"/>
                <w:szCs w:val="18"/>
              </w:rPr>
              <w:t>12,424,781.04</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147,422,634.47</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504,574,100.00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25,330,000.00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12,424,781.04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689,751,515.51</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637861">
        <w:tc>
          <w:tcPr>
            <w:tcW w:w="1518" w:type="dxa"/>
            <w:vAlign w:val="center"/>
          </w:tcPr>
          <w:p w:rsidR="00637861" w:rsidRDefault="00762792">
            <w:pPr>
              <w:jc w:val="left"/>
            </w:pPr>
            <w:r>
              <w:rPr>
                <w:color w:val="000000"/>
                <w:sz w:val="18"/>
                <w:szCs w:val="18"/>
              </w:rPr>
              <w:t>卖出回购金融资产款</w:t>
            </w:r>
          </w:p>
        </w:tc>
        <w:tc>
          <w:tcPr>
            <w:tcW w:w="1627" w:type="dxa"/>
            <w:vAlign w:val="center"/>
          </w:tcPr>
          <w:p w:rsidR="00637861" w:rsidRDefault="00762792">
            <w:pPr>
              <w:jc w:val="left"/>
            </w:pPr>
            <w:r>
              <w:rPr>
                <w:color w:val="000000"/>
                <w:sz w:val="18"/>
                <w:szCs w:val="18"/>
              </w:rPr>
              <w:t>335,059,410.91</w:t>
            </w:r>
          </w:p>
        </w:tc>
        <w:tc>
          <w:tcPr>
            <w:tcW w:w="1627" w:type="dxa"/>
            <w:vAlign w:val="center"/>
          </w:tcPr>
          <w:p w:rsidR="00637861" w:rsidRDefault="00762792">
            <w:pPr>
              <w:jc w:val="left"/>
            </w:pPr>
            <w:r>
              <w:rPr>
                <w:color w:val="000000"/>
                <w:sz w:val="18"/>
                <w:szCs w:val="18"/>
              </w:rPr>
              <w:t>-</w:t>
            </w:r>
          </w:p>
        </w:tc>
        <w:tc>
          <w:tcPr>
            <w:tcW w:w="1491" w:type="dxa"/>
            <w:vAlign w:val="center"/>
          </w:tcPr>
          <w:p w:rsidR="00637861" w:rsidRDefault="00762792">
            <w:pPr>
              <w:jc w:val="left"/>
            </w:pPr>
            <w:r>
              <w:rPr>
                <w:color w:val="000000"/>
                <w:sz w:val="18"/>
                <w:szCs w:val="18"/>
              </w:rPr>
              <w:t>-</w:t>
            </w:r>
          </w:p>
        </w:tc>
        <w:tc>
          <w:tcPr>
            <w:tcW w:w="1289" w:type="dxa"/>
            <w:vAlign w:val="center"/>
          </w:tcPr>
          <w:p w:rsidR="00637861" w:rsidRDefault="00762792">
            <w:pPr>
              <w:jc w:val="left"/>
            </w:pPr>
            <w:r>
              <w:rPr>
                <w:color w:val="000000"/>
                <w:sz w:val="18"/>
                <w:szCs w:val="18"/>
              </w:rPr>
              <w:t>-</w:t>
            </w:r>
          </w:p>
        </w:tc>
        <w:tc>
          <w:tcPr>
            <w:tcW w:w="1446" w:type="dxa"/>
            <w:vAlign w:val="center"/>
          </w:tcPr>
          <w:p w:rsidR="00637861" w:rsidRDefault="00762792">
            <w:pPr>
              <w:jc w:val="left"/>
            </w:pPr>
            <w:r>
              <w:rPr>
                <w:color w:val="000000"/>
                <w:sz w:val="18"/>
                <w:szCs w:val="18"/>
              </w:rPr>
              <w:t>335,059,410.91</w:t>
            </w:r>
          </w:p>
        </w:tc>
      </w:tr>
      <w:tr w:rsidR="00637861">
        <w:tc>
          <w:tcPr>
            <w:tcW w:w="1518" w:type="dxa"/>
            <w:vAlign w:val="center"/>
          </w:tcPr>
          <w:p w:rsidR="00637861" w:rsidRDefault="00762792">
            <w:pPr>
              <w:jc w:val="left"/>
            </w:pPr>
            <w:r>
              <w:rPr>
                <w:color w:val="000000"/>
                <w:sz w:val="18"/>
                <w:szCs w:val="18"/>
              </w:rPr>
              <w:t>应付证券清算款</w:t>
            </w:r>
          </w:p>
        </w:tc>
        <w:tc>
          <w:tcPr>
            <w:tcW w:w="1627" w:type="dxa"/>
            <w:vAlign w:val="center"/>
          </w:tcPr>
          <w:p w:rsidR="00637861" w:rsidRDefault="00762792">
            <w:pPr>
              <w:jc w:val="left"/>
            </w:pPr>
            <w:r>
              <w:rPr>
                <w:color w:val="000000"/>
                <w:sz w:val="18"/>
                <w:szCs w:val="18"/>
              </w:rPr>
              <w:t>-</w:t>
            </w:r>
          </w:p>
        </w:tc>
        <w:tc>
          <w:tcPr>
            <w:tcW w:w="1627" w:type="dxa"/>
            <w:vAlign w:val="center"/>
          </w:tcPr>
          <w:p w:rsidR="00637861" w:rsidRDefault="00762792">
            <w:pPr>
              <w:jc w:val="left"/>
            </w:pPr>
            <w:r>
              <w:rPr>
                <w:color w:val="000000"/>
                <w:sz w:val="18"/>
                <w:szCs w:val="18"/>
              </w:rPr>
              <w:t>-</w:t>
            </w:r>
          </w:p>
        </w:tc>
        <w:tc>
          <w:tcPr>
            <w:tcW w:w="1491" w:type="dxa"/>
            <w:vAlign w:val="center"/>
          </w:tcPr>
          <w:p w:rsidR="00637861" w:rsidRDefault="00762792">
            <w:pPr>
              <w:jc w:val="left"/>
            </w:pPr>
            <w:r>
              <w:rPr>
                <w:color w:val="000000"/>
                <w:sz w:val="18"/>
                <w:szCs w:val="18"/>
              </w:rPr>
              <w:t>-</w:t>
            </w:r>
          </w:p>
        </w:tc>
        <w:tc>
          <w:tcPr>
            <w:tcW w:w="1289" w:type="dxa"/>
            <w:vAlign w:val="center"/>
          </w:tcPr>
          <w:p w:rsidR="00637861" w:rsidRDefault="00762792">
            <w:pPr>
              <w:jc w:val="left"/>
            </w:pPr>
            <w:r>
              <w:rPr>
                <w:color w:val="000000"/>
                <w:sz w:val="18"/>
                <w:szCs w:val="18"/>
              </w:rPr>
              <w:t>28,668.63</w:t>
            </w:r>
          </w:p>
        </w:tc>
        <w:tc>
          <w:tcPr>
            <w:tcW w:w="1446" w:type="dxa"/>
            <w:vAlign w:val="center"/>
          </w:tcPr>
          <w:p w:rsidR="00637861" w:rsidRDefault="00762792">
            <w:pPr>
              <w:jc w:val="left"/>
            </w:pPr>
            <w:r>
              <w:rPr>
                <w:color w:val="000000"/>
                <w:sz w:val="18"/>
                <w:szCs w:val="18"/>
              </w:rPr>
              <w:t>28,668.63</w:t>
            </w:r>
          </w:p>
        </w:tc>
      </w:tr>
      <w:tr w:rsidR="00637861">
        <w:tc>
          <w:tcPr>
            <w:tcW w:w="1518" w:type="dxa"/>
            <w:vAlign w:val="center"/>
          </w:tcPr>
          <w:p w:rsidR="00637861" w:rsidRDefault="00762792">
            <w:pPr>
              <w:jc w:val="left"/>
            </w:pPr>
            <w:r>
              <w:rPr>
                <w:color w:val="000000"/>
                <w:sz w:val="18"/>
                <w:szCs w:val="18"/>
              </w:rPr>
              <w:t>应付管理人报酬</w:t>
            </w:r>
          </w:p>
        </w:tc>
        <w:tc>
          <w:tcPr>
            <w:tcW w:w="1627" w:type="dxa"/>
            <w:vAlign w:val="center"/>
          </w:tcPr>
          <w:p w:rsidR="00637861" w:rsidRDefault="00762792">
            <w:pPr>
              <w:jc w:val="left"/>
            </w:pPr>
            <w:r>
              <w:rPr>
                <w:color w:val="000000"/>
                <w:sz w:val="18"/>
                <w:szCs w:val="18"/>
              </w:rPr>
              <w:t>-</w:t>
            </w:r>
          </w:p>
        </w:tc>
        <w:tc>
          <w:tcPr>
            <w:tcW w:w="1627" w:type="dxa"/>
            <w:vAlign w:val="center"/>
          </w:tcPr>
          <w:p w:rsidR="00637861" w:rsidRDefault="00762792">
            <w:pPr>
              <w:jc w:val="left"/>
            </w:pPr>
            <w:r>
              <w:rPr>
                <w:color w:val="000000"/>
                <w:sz w:val="18"/>
                <w:szCs w:val="18"/>
              </w:rPr>
              <w:t>-</w:t>
            </w:r>
          </w:p>
        </w:tc>
        <w:tc>
          <w:tcPr>
            <w:tcW w:w="1491" w:type="dxa"/>
            <w:vAlign w:val="center"/>
          </w:tcPr>
          <w:p w:rsidR="00637861" w:rsidRDefault="00762792">
            <w:pPr>
              <w:jc w:val="left"/>
            </w:pPr>
            <w:r>
              <w:rPr>
                <w:color w:val="000000"/>
                <w:sz w:val="18"/>
                <w:szCs w:val="18"/>
              </w:rPr>
              <w:t>-</w:t>
            </w:r>
          </w:p>
        </w:tc>
        <w:tc>
          <w:tcPr>
            <w:tcW w:w="1289" w:type="dxa"/>
            <w:vAlign w:val="center"/>
          </w:tcPr>
          <w:p w:rsidR="00637861" w:rsidRDefault="00762792">
            <w:pPr>
              <w:jc w:val="left"/>
            </w:pPr>
            <w:r>
              <w:rPr>
                <w:color w:val="000000"/>
                <w:sz w:val="18"/>
                <w:szCs w:val="18"/>
              </w:rPr>
              <w:t>232,420.87</w:t>
            </w:r>
          </w:p>
        </w:tc>
        <w:tc>
          <w:tcPr>
            <w:tcW w:w="1446" w:type="dxa"/>
            <w:vAlign w:val="center"/>
          </w:tcPr>
          <w:p w:rsidR="00637861" w:rsidRDefault="00762792">
            <w:pPr>
              <w:jc w:val="left"/>
            </w:pPr>
            <w:r>
              <w:rPr>
                <w:color w:val="000000"/>
                <w:sz w:val="18"/>
                <w:szCs w:val="18"/>
              </w:rPr>
              <w:t>232,420.87</w:t>
            </w:r>
          </w:p>
        </w:tc>
      </w:tr>
      <w:tr w:rsidR="00637861">
        <w:tc>
          <w:tcPr>
            <w:tcW w:w="1518" w:type="dxa"/>
            <w:vAlign w:val="center"/>
          </w:tcPr>
          <w:p w:rsidR="00637861" w:rsidRDefault="00762792">
            <w:pPr>
              <w:jc w:val="left"/>
            </w:pPr>
            <w:r>
              <w:rPr>
                <w:color w:val="000000"/>
                <w:sz w:val="18"/>
                <w:szCs w:val="18"/>
              </w:rPr>
              <w:t>应付托管费</w:t>
            </w:r>
          </w:p>
        </w:tc>
        <w:tc>
          <w:tcPr>
            <w:tcW w:w="1627" w:type="dxa"/>
            <w:vAlign w:val="center"/>
          </w:tcPr>
          <w:p w:rsidR="00637861" w:rsidRDefault="00762792">
            <w:pPr>
              <w:jc w:val="left"/>
            </w:pPr>
            <w:r>
              <w:rPr>
                <w:color w:val="000000"/>
                <w:sz w:val="18"/>
                <w:szCs w:val="18"/>
              </w:rPr>
              <w:t>-</w:t>
            </w:r>
          </w:p>
        </w:tc>
        <w:tc>
          <w:tcPr>
            <w:tcW w:w="1627" w:type="dxa"/>
            <w:vAlign w:val="center"/>
          </w:tcPr>
          <w:p w:rsidR="00637861" w:rsidRDefault="00762792">
            <w:pPr>
              <w:jc w:val="left"/>
            </w:pPr>
            <w:r>
              <w:rPr>
                <w:color w:val="000000"/>
                <w:sz w:val="18"/>
                <w:szCs w:val="18"/>
              </w:rPr>
              <w:t>-</w:t>
            </w:r>
          </w:p>
        </w:tc>
        <w:tc>
          <w:tcPr>
            <w:tcW w:w="1491" w:type="dxa"/>
            <w:vAlign w:val="center"/>
          </w:tcPr>
          <w:p w:rsidR="00637861" w:rsidRDefault="00762792">
            <w:pPr>
              <w:jc w:val="left"/>
            </w:pPr>
            <w:r>
              <w:rPr>
                <w:color w:val="000000"/>
                <w:sz w:val="18"/>
                <w:szCs w:val="18"/>
              </w:rPr>
              <w:t>-</w:t>
            </w:r>
          </w:p>
        </w:tc>
        <w:tc>
          <w:tcPr>
            <w:tcW w:w="1289" w:type="dxa"/>
            <w:vAlign w:val="center"/>
          </w:tcPr>
          <w:p w:rsidR="00637861" w:rsidRDefault="00762792">
            <w:pPr>
              <w:jc w:val="left"/>
            </w:pPr>
            <w:r>
              <w:rPr>
                <w:color w:val="000000"/>
                <w:sz w:val="18"/>
                <w:szCs w:val="18"/>
              </w:rPr>
              <w:t>43,578.92</w:t>
            </w:r>
          </w:p>
        </w:tc>
        <w:tc>
          <w:tcPr>
            <w:tcW w:w="1446" w:type="dxa"/>
            <w:vAlign w:val="center"/>
          </w:tcPr>
          <w:p w:rsidR="00637861" w:rsidRDefault="00762792">
            <w:pPr>
              <w:jc w:val="left"/>
            </w:pPr>
            <w:r>
              <w:rPr>
                <w:color w:val="000000"/>
                <w:sz w:val="18"/>
                <w:szCs w:val="18"/>
              </w:rPr>
              <w:t>43,578.92</w:t>
            </w:r>
          </w:p>
        </w:tc>
      </w:tr>
      <w:tr w:rsidR="00637861">
        <w:tc>
          <w:tcPr>
            <w:tcW w:w="1518" w:type="dxa"/>
            <w:vAlign w:val="center"/>
          </w:tcPr>
          <w:p w:rsidR="00637861" w:rsidRDefault="00762792">
            <w:pPr>
              <w:jc w:val="left"/>
            </w:pPr>
            <w:r>
              <w:rPr>
                <w:color w:val="000000"/>
                <w:sz w:val="18"/>
                <w:szCs w:val="18"/>
              </w:rPr>
              <w:t>应付销售服务费</w:t>
            </w:r>
          </w:p>
        </w:tc>
        <w:tc>
          <w:tcPr>
            <w:tcW w:w="1627" w:type="dxa"/>
            <w:vAlign w:val="center"/>
          </w:tcPr>
          <w:p w:rsidR="00637861" w:rsidRDefault="00762792">
            <w:pPr>
              <w:jc w:val="left"/>
            </w:pPr>
            <w:r>
              <w:rPr>
                <w:color w:val="000000"/>
                <w:sz w:val="18"/>
                <w:szCs w:val="18"/>
              </w:rPr>
              <w:t>-</w:t>
            </w:r>
          </w:p>
        </w:tc>
        <w:tc>
          <w:tcPr>
            <w:tcW w:w="1627" w:type="dxa"/>
            <w:vAlign w:val="center"/>
          </w:tcPr>
          <w:p w:rsidR="00637861" w:rsidRDefault="00762792">
            <w:pPr>
              <w:jc w:val="left"/>
            </w:pPr>
            <w:r>
              <w:rPr>
                <w:color w:val="000000"/>
                <w:sz w:val="18"/>
                <w:szCs w:val="18"/>
              </w:rPr>
              <w:t>-</w:t>
            </w:r>
          </w:p>
        </w:tc>
        <w:tc>
          <w:tcPr>
            <w:tcW w:w="1491" w:type="dxa"/>
            <w:vAlign w:val="center"/>
          </w:tcPr>
          <w:p w:rsidR="00637861" w:rsidRDefault="00762792">
            <w:pPr>
              <w:jc w:val="left"/>
            </w:pPr>
            <w:r>
              <w:rPr>
                <w:color w:val="000000"/>
                <w:sz w:val="18"/>
                <w:szCs w:val="18"/>
              </w:rPr>
              <w:t>-</w:t>
            </w:r>
          </w:p>
        </w:tc>
        <w:tc>
          <w:tcPr>
            <w:tcW w:w="1289" w:type="dxa"/>
            <w:vAlign w:val="center"/>
          </w:tcPr>
          <w:p w:rsidR="00637861" w:rsidRDefault="00762792">
            <w:pPr>
              <w:jc w:val="left"/>
            </w:pPr>
            <w:r>
              <w:rPr>
                <w:color w:val="000000"/>
                <w:sz w:val="18"/>
                <w:szCs w:val="18"/>
              </w:rPr>
              <w:t>407.19</w:t>
            </w:r>
          </w:p>
        </w:tc>
        <w:tc>
          <w:tcPr>
            <w:tcW w:w="1446" w:type="dxa"/>
            <w:vAlign w:val="center"/>
          </w:tcPr>
          <w:p w:rsidR="00637861" w:rsidRDefault="00762792">
            <w:pPr>
              <w:jc w:val="left"/>
            </w:pPr>
            <w:r>
              <w:rPr>
                <w:color w:val="000000"/>
                <w:sz w:val="18"/>
                <w:szCs w:val="18"/>
              </w:rPr>
              <w:t>407.19</w:t>
            </w:r>
          </w:p>
        </w:tc>
      </w:tr>
      <w:tr w:rsidR="00637861">
        <w:tc>
          <w:tcPr>
            <w:tcW w:w="1518" w:type="dxa"/>
            <w:vAlign w:val="center"/>
          </w:tcPr>
          <w:p w:rsidR="00637861" w:rsidRDefault="00762792">
            <w:pPr>
              <w:jc w:val="left"/>
            </w:pPr>
            <w:r>
              <w:rPr>
                <w:color w:val="000000"/>
                <w:sz w:val="18"/>
                <w:szCs w:val="18"/>
              </w:rPr>
              <w:t>应付交易费用</w:t>
            </w:r>
          </w:p>
        </w:tc>
        <w:tc>
          <w:tcPr>
            <w:tcW w:w="1627" w:type="dxa"/>
            <w:vAlign w:val="center"/>
          </w:tcPr>
          <w:p w:rsidR="00637861" w:rsidRDefault="00762792">
            <w:pPr>
              <w:jc w:val="left"/>
            </w:pPr>
            <w:r>
              <w:rPr>
                <w:color w:val="000000"/>
                <w:sz w:val="18"/>
                <w:szCs w:val="18"/>
              </w:rPr>
              <w:t>-</w:t>
            </w:r>
          </w:p>
        </w:tc>
        <w:tc>
          <w:tcPr>
            <w:tcW w:w="1627" w:type="dxa"/>
            <w:vAlign w:val="center"/>
          </w:tcPr>
          <w:p w:rsidR="00637861" w:rsidRDefault="00762792">
            <w:pPr>
              <w:jc w:val="left"/>
            </w:pPr>
            <w:r>
              <w:rPr>
                <w:color w:val="000000"/>
                <w:sz w:val="18"/>
                <w:szCs w:val="18"/>
              </w:rPr>
              <w:t>-</w:t>
            </w:r>
          </w:p>
        </w:tc>
        <w:tc>
          <w:tcPr>
            <w:tcW w:w="1491" w:type="dxa"/>
            <w:vAlign w:val="center"/>
          </w:tcPr>
          <w:p w:rsidR="00637861" w:rsidRDefault="00762792">
            <w:pPr>
              <w:jc w:val="left"/>
            </w:pPr>
            <w:r>
              <w:rPr>
                <w:color w:val="000000"/>
                <w:sz w:val="18"/>
                <w:szCs w:val="18"/>
              </w:rPr>
              <w:t>-</w:t>
            </w:r>
          </w:p>
        </w:tc>
        <w:tc>
          <w:tcPr>
            <w:tcW w:w="1289" w:type="dxa"/>
            <w:vAlign w:val="center"/>
          </w:tcPr>
          <w:p w:rsidR="00637861" w:rsidRDefault="00762792">
            <w:pPr>
              <w:jc w:val="left"/>
            </w:pPr>
            <w:r>
              <w:rPr>
                <w:color w:val="000000"/>
                <w:sz w:val="18"/>
                <w:szCs w:val="18"/>
              </w:rPr>
              <w:t>15,688.22</w:t>
            </w:r>
          </w:p>
        </w:tc>
        <w:tc>
          <w:tcPr>
            <w:tcW w:w="1446" w:type="dxa"/>
            <w:vAlign w:val="center"/>
          </w:tcPr>
          <w:p w:rsidR="00637861" w:rsidRDefault="00762792">
            <w:pPr>
              <w:jc w:val="left"/>
            </w:pPr>
            <w:r>
              <w:rPr>
                <w:color w:val="000000"/>
                <w:sz w:val="18"/>
                <w:szCs w:val="18"/>
              </w:rPr>
              <w:t>15,688.22</w:t>
            </w:r>
          </w:p>
        </w:tc>
      </w:tr>
      <w:tr w:rsidR="00637861">
        <w:tc>
          <w:tcPr>
            <w:tcW w:w="1518" w:type="dxa"/>
            <w:vAlign w:val="center"/>
          </w:tcPr>
          <w:p w:rsidR="00637861" w:rsidRDefault="00762792">
            <w:pPr>
              <w:jc w:val="left"/>
            </w:pPr>
            <w:r>
              <w:rPr>
                <w:color w:val="000000"/>
                <w:sz w:val="18"/>
                <w:szCs w:val="18"/>
              </w:rPr>
              <w:t>应交税费</w:t>
            </w:r>
          </w:p>
        </w:tc>
        <w:tc>
          <w:tcPr>
            <w:tcW w:w="1627" w:type="dxa"/>
            <w:vAlign w:val="center"/>
          </w:tcPr>
          <w:p w:rsidR="00637861" w:rsidRDefault="00762792">
            <w:pPr>
              <w:jc w:val="left"/>
            </w:pPr>
            <w:r>
              <w:rPr>
                <w:color w:val="000000"/>
                <w:sz w:val="18"/>
                <w:szCs w:val="18"/>
              </w:rPr>
              <w:t>-</w:t>
            </w:r>
          </w:p>
        </w:tc>
        <w:tc>
          <w:tcPr>
            <w:tcW w:w="1627" w:type="dxa"/>
            <w:vAlign w:val="center"/>
          </w:tcPr>
          <w:p w:rsidR="00637861" w:rsidRDefault="00762792">
            <w:pPr>
              <w:jc w:val="left"/>
            </w:pPr>
            <w:r>
              <w:rPr>
                <w:color w:val="000000"/>
                <w:sz w:val="18"/>
                <w:szCs w:val="18"/>
              </w:rPr>
              <w:t>-</w:t>
            </w:r>
          </w:p>
        </w:tc>
        <w:tc>
          <w:tcPr>
            <w:tcW w:w="1491" w:type="dxa"/>
            <w:vAlign w:val="center"/>
          </w:tcPr>
          <w:p w:rsidR="00637861" w:rsidRDefault="00762792">
            <w:pPr>
              <w:jc w:val="left"/>
            </w:pPr>
            <w:r>
              <w:rPr>
                <w:color w:val="000000"/>
                <w:sz w:val="18"/>
                <w:szCs w:val="18"/>
              </w:rPr>
              <w:t>-</w:t>
            </w:r>
          </w:p>
        </w:tc>
        <w:tc>
          <w:tcPr>
            <w:tcW w:w="1289" w:type="dxa"/>
            <w:vAlign w:val="center"/>
          </w:tcPr>
          <w:p w:rsidR="00637861" w:rsidRDefault="00762792">
            <w:pPr>
              <w:jc w:val="left"/>
            </w:pPr>
            <w:r>
              <w:rPr>
                <w:color w:val="000000"/>
                <w:sz w:val="18"/>
                <w:szCs w:val="18"/>
              </w:rPr>
              <w:t>102,674.04</w:t>
            </w:r>
          </w:p>
        </w:tc>
        <w:tc>
          <w:tcPr>
            <w:tcW w:w="1446" w:type="dxa"/>
            <w:vAlign w:val="center"/>
          </w:tcPr>
          <w:p w:rsidR="00637861" w:rsidRDefault="00762792">
            <w:pPr>
              <w:jc w:val="left"/>
            </w:pPr>
            <w:r>
              <w:rPr>
                <w:color w:val="000000"/>
                <w:sz w:val="18"/>
                <w:szCs w:val="18"/>
              </w:rPr>
              <w:t>102,674.04</w:t>
            </w:r>
          </w:p>
        </w:tc>
      </w:tr>
      <w:tr w:rsidR="00637861">
        <w:tc>
          <w:tcPr>
            <w:tcW w:w="1518" w:type="dxa"/>
            <w:vAlign w:val="center"/>
          </w:tcPr>
          <w:p w:rsidR="00637861" w:rsidRDefault="00762792">
            <w:pPr>
              <w:jc w:val="left"/>
            </w:pPr>
            <w:r>
              <w:rPr>
                <w:color w:val="000000"/>
                <w:sz w:val="18"/>
                <w:szCs w:val="18"/>
              </w:rPr>
              <w:t>应付利息</w:t>
            </w:r>
          </w:p>
        </w:tc>
        <w:tc>
          <w:tcPr>
            <w:tcW w:w="1627" w:type="dxa"/>
            <w:vAlign w:val="center"/>
          </w:tcPr>
          <w:p w:rsidR="00637861" w:rsidRDefault="00762792">
            <w:pPr>
              <w:jc w:val="left"/>
            </w:pPr>
            <w:r>
              <w:rPr>
                <w:color w:val="000000"/>
                <w:sz w:val="18"/>
                <w:szCs w:val="18"/>
              </w:rPr>
              <w:t>-</w:t>
            </w:r>
          </w:p>
        </w:tc>
        <w:tc>
          <w:tcPr>
            <w:tcW w:w="1627" w:type="dxa"/>
            <w:vAlign w:val="center"/>
          </w:tcPr>
          <w:p w:rsidR="00637861" w:rsidRDefault="00762792">
            <w:pPr>
              <w:jc w:val="left"/>
            </w:pPr>
            <w:r>
              <w:rPr>
                <w:color w:val="000000"/>
                <w:sz w:val="18"/>
                <w:szCs w:val="18"/>
              </w:rPr>
              <w:t>-</w:t>
            </w:r>
          </w:p>
        </w:tc>
        <w:tc>
          <w:tcPr>
            <w:tcW w:w="1491" w:type="dxa"/>
            <w:vAlign w:val="center"/>
          </w:tcPr>
          <w:p w:rsidR="00637861" w:rsidRDefault="00762792">
            <w:pPr>
              <w:jc w:val="left"/>
            </w:pPr>
            <w:r>
              <w:rPr>
                <w:color w:val="000000"/>
                <w:sz w:val="18"/>
                <w:szCs w:val="18"/>
              </w:rPr>
              <w:t>-</w:t>
            </w:r>
          </w:p>
        </w:tc>
        <w:tc>
          <w:tcPr>
            <w:tcW w:w="1289" w:type="dxa"/>
            <w:vAlign w:val="center"/>
          </w:tcPr>
          <w:p w:rsidR="00637861" w:rsidRDefault="00762792">
            <w:pPr>
              <w:jc w:val="left"/>
            </w:pPr>
            <w:r>
              <w:rPr>
                <w:color w:val="000000"/>
                <w:sz w:val="18"/>
                <w:szCs w:val="18"/>
              </w:rPr>
              <w:t>150,689.58</w:t>
            </w:r>
          </w:p>
        </w:tc>
        <w:tc>
          <w:tcPr>
            <w:tcW w:w="1446" w:type="dxa"/>
            <w:vAlign w:val="center"/>
          </w:tcPr>
          <w:p w:rsidR="00637861" w:rsidRDefault="00762792">
            <w:pPr>
              <w:jc w:val="left"/>
            </w:pPr>
            <w:r>
              <w:rPr>
                <w:color w:val="000000"/>
                <w:sz w:val="18"/>
                <w:szCs w:val="18"/>
              </w:rPr>
              <w:t>150,689.58</w:t>
            </w:r>
          </w:p>
        </w:tc>
      </w:tr>
      <w:tr w:rsidR="00637861">
        <w:tc>
          <w:tcPr>
            <w:tcW w:w="1518" w:type="dxa"/>
            <w:vAlign w:val="center"/>
          </w:tcPr>
          <w:p w:rsidR="00637861" w:rsidRDefault="00762792">
            <w:pPr>
              <w:jc w:val="left"/>
            </w:pPr>
            <w:r>
              <w:rPr>
                <w:color w:val="000000"/>
                <w:sz w:val="18"/>
                <w:szCs w:val="18"/>
              </w:rPr>
              <w:t>其他负债</w:t>
            </w:r>
          </w:p>
        </w:tc>
        <w:tc>
          <w:tcPr>
            <w:tcW w:w="1627" w:type="dxa"/>
            <w:vAlign w:val="center"/>
          </w:tcPr>
          <w:p w:rsidR="00637861" w:rsidRDefault="00762792">
            <w:pPr>
              <w:jc w:val="left"/>
            </w:pPr>
            <w:r>
              <w:rPr>
                <w:color w:val="000000"/>
                <w:sz w:val="18"/>
                <w:szCs w:val="18"/>
              </w:rPr>
              <w:t>-</w:t>
            </w:r>
          </w:p>
        </w:tc>
        <w:tc>
          <w:tcPr>
            <w:tcW w:w="1627" w:type="dxa"/>
            <w:vAlign w:val="center"/>
          </w:tcPr>
          <w:p w:rsidR="00637861" w:rsidRDefault="00762792">
            <w:pPr>
              <w:jc w:val="left"/>
            </w:pPr>
            <w:r>
              <w:rPr>
                <w:color w:val="000000"/>
                <w:sz w:val="18"/>
                <w:szCs w:val="18"/>
              </w:rPr>
              <w:t>-</w:t>
            </w:r>
          </w:p>
        </w:tc>
        <w:tc>
          <w:tcPr>
            <w:tcW w:w="1491" w:type="dxa"/>
            <w:vAlign w:val="center"/>
          </w:tcPr>
          <w:p w:rsidR="00637861" w:rsidRDefault="00762792">
            <w:pPr>
              <w:jc w:val="left"/>
            </w:pPr>
            <w:r>
              <w:rPr>
                <w:color w:val="000000"/>
                <w:sz w:val="18"/>
                <w:szCs w:val="18"/>
              </w:rPr>
              <w:t>-</w:t>
            </w:r>
          </w:p>
        </w:tc>
        <w:tc>
          <w:tcPr>
            <w:tcW w:w="1289" w:type="dxa"/>
            <w:vAlign w:val="center"/>
          </w:tcPr>
          <w:p w:rsidR="00637861" w:rsidRDefault="00762792">
            <w:pPr>
              <w:jc w:val="left"/>
            </w:pPr>
            <w:r>
              <w:rPr>
                <w:color w:val="000000"/>
                <w:sz w:val="18"/>
                <w:szCs w:val="18"/>
              </w:rPr>
              <w:t>96,819.96</w:t>
            </w:r>
          </w:p>
        </w:tc>
        <w:tc>
          <w:tcPr>
            <w:tcW w:w="1446" w:type="dxa"/>
            <w:vAlign w:val="center"/>
          </w:tcPr>
          <w:p w:rsidR="00637861" w:rsidRDefault="00762792">
            <w:pPr>
              <w:jc w:val="left"/>
            </w:pPr>
            <w:r>
              <w:rPr>
                <w:color w:val="000000"/>
                <w:sz w:val="18"/>
                <w:szCs w:val="18"/>
              </w:rPr>
              <w:t>96,819.96</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335,059,410.91</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670,947.41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335,730,358.32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-187,636,776.44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504,574,100.00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25,330,000.00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11,753,833.63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354,021,157.19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2018</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637861">
        <w:tc>
          <w:tcPr>
            <w:tcW w:w="1518" w:type="dxa"/>
            <w:vAlign w:val="center"/>
          </w:tcPr>
          <w:p w:rsidR="00637861" w:rsidRDefault="00762792">
            <w:pPr>
              <w:jc w:val="left"/>
            </w:pPr>
            <w:r>
              <w:rPr>
                <w:color w:val="000000"/>
                <w:sz w:val="18"/>
                <w:szCs w:val="18"/>
              </w:rPr>
              <w:t>银行存款</w:t>
            </w:r>
          </w:p>
        </w:tc>
        <w:tc>
          <w:tcPr>
            <w:tcW w:w="1627" w:type="dxa"/>
            <w:vAlign w:val="center"/>
          </w:tcPr>
          <w:p w:rsidR="00637861" w:rsidRDefault="00762792">
            <w:pPr>
              <w:jc w:val="left"/>
            </w:pPr>
            <w:r>
              <w:rPr>
                <w:color w:val="000000"/>
                <w:sz w:val="18"/>
                <w:szCs w:val="18"/>
              </w:rPr>
              <w:t>517,687.20</w:t>
            </w:r>
          </w:p>
        </w:tc>
        <w:tc>
          <w:tcPr>
            <w:tcW w:w="1627" w:type="dxa"/>
            <w:vAlign w:val="center"/>
          </w:tcPr>
          <w:p w:rsidR="00637861" w:rsidRDefault="00762792">
            <w:pPr>
              <w:jc w:val="left"/>
            </w:pPr>
            <w:r>
              <w:rPr>
                <w:color w:val="000000"/>
                <w:sz w:val="18"/>
                <w:szCs w:val="18"/>
              </w:rPr>
              <w:t>-</w:t>
            </w:r>
          </w:p>
        </w:tc>
        <w:tc>
          <w:tcPr>
            <w:tcW w:w="1491" w:type="dxa"/>
            <w:vAlign w:val="center"/>
          </w:tcPr>
          <w:p w:rsidR="00637861" w:rsidRDefault="00762792">
            <w:pPr>
              <w:jc w:val="left"/>
            </w:pPr>
            <w:r>
              <w:rPr>
                <w:color w:val="000000"/>
                <w:sz w:val="18"/>
                <w:szCs w:val="18"/>
              </w:rPr>
              <w:t>-</w:t>
            </w:r>
          </w:p>
        </w:tc>
        <w:tc>
          <w:tcPr>
            <w:tcW w:w="1289" w:type="dxa"/>
            <w:vAlign w:val="center"/>
          </w:tcPr>
          <w:p w:rsidR="00637861" w:rsidRDefault="00762792">
            <w:pPr>
              <w:jc w:val="left"/>
            </w:pPr>
            <w:r>
              <w:rPr>
                <w:color w:val="000000"/>
                <w:sz w:val="18"/>
                <w:szCs w:val="18"/>
              </w:rPr>
              <w:t>-</w:t>
            </w:r>
          </w:p>
        </w:tc>
        <w:tc>
          <w:tcPr>
            <w:tcW w:w="1446" w:type="dxa"/>
            <w:vAlign w:val="center"/>
          </w:tcPr>
          <w:p w:rsidR="00637861" w:rsidRDefault="00762792">
            <w:pPr>
              <w:jc w:val="left"/>
            </w:pPr>
            <w:r>
              <w:rPr>
                <w:color w:val="000000"/>
                <w:sz w:val="18"/>
                <w:szCs w:val="18"/>
              </w:rPr>
              <w:t>517,687.20</w:t>
            </w:r>
          </w:p>
        </w:tc>
      </w:tr>
      <w:tr w:rsidR="00637861">
        <w:tc>
          <w:tcPr>
            <w:tcW w:w="1518" w:type="dxa"/>
            <w:vAlign w:val="center"/>
          </w:tcPr>
          <w:p w:rsidR="00637861" w:rsidRDefault="00762792">
            <w:pPr>
              <w:jc w:val="left"/>
            </w:pPr>
            <w:r>
              <w:rPr>
                <w:color w:val="000000"/>
                <w:sz w:val="18"/>
                <w:szCs w:val="18"/>
              </w:rPr>
              <w:t>结算备付金</w:t>
            </w:r>
          </w:p>
        </w:tc>
        <w:tc>
          <w:tcPr>
            <w:tcW w:w="1627" w:type="dxa"/>
            <w:vAlign w:val="center"/>
          </w:tcPr>
          <w:p w:rsidR="00637861" w:rsidRDefault="00762792">
            <w:pPr>
              <w:jc w:val="left"/>
            </w:pPr>
            <w:r>
              <w:rPr>
                <w:color w:val="000000"/>
                <w:sz w:val="18"/>
                <w:szCs w:val="18"/>
              </w:rPr>
              <w:t>21,090,963.23</w:t>
            </w:r>
          </w:p>
        </w:tc>
        <w:tc>
          <w:tcPr>
            <w:tcW w:w="1627" w:type="dxa"/>
            <w:vAlign w:val="center"/>
          </w:tcPr>
          <w:p w:rsidR="00637861" w:rsidRDefault="00762792">
            <w:pPr>
              <w:jc w:val="left"/>
            </w:pPr>
            <w:r>
              <w:rPr>
                <w:color w:val="000000"/>
                <w:sz w:val="18"/>
                <w:szCs w:val="18"/>
              </w:rPr>
              <w:t>-</w:t>
            </w:r>
          </w:p>
        </w:tc>
        <w:tc>
          <w:tcPr>
            <w:tcW w:w="1491" w:type="dxa"/>
            <w:vAlign w:val="center"/>
          </w:tcPr>
          <w:p w:rsidR="00637861" w:rsidRDefault="00762792">
            <w:pPr>
              <w:jc w:val="left"/>
            </w:pPr>
            <w:r>
              <w:rPr>
                <w:color w:val="000000"/>
                <w:sz w:val="18"/>
                <w:szCs w:val="18"/>
              </w:rPr>
              <w:t>-</w:t>
            </w:r>
          </w:p>
        </w:tc>
        <w:tc>
          <w:tcPr>
            <w:tcW w:w="1289" w:type="dxa"/>
            <w:vAlign w:val="center"/>
          </w:tcPr>
          <w:p w:rsidR="00637861" w:rsidRDefault="00762792">
            <w:pPr>
              <w:jc w:val="left"/>
            </w:pPr>
            <w:r>
              <w:rPr>
                <w:color w:val="000000"/>
                <w:sz w:val="18"/>
                <w:szCs w:val="18"/>
              </w:rPr>
              <w:t>-</w:t>
            </w:r>
          </w:p>
        </w:tc>
        <w:tc>
          <w:tcPr>
            <w:tcW w:w="1446" w:type="dxa"/>
            <w:vAlign w:val="center"/>
          </w:tcPr>
          <w:p w:rsidR="00637861" w:rsidRDefault="00762792">
            <w:pPr>
              <w:jc w:val="left"/>
            </w:pPr>
            <w:r>
              <w:rPr>
                <w:color w:val="000000"/>
                <w:sz w:val="18"/>
                <w:szCs w:val="18"/>
              </w:rPr>
              <w:t>21,090,963.23</w:t>
            </w:r>
          </w:p>
        </w:tc>
      </w:tr>
      <w:tr w:rsidR="00637861">
        <w:tc>
          <w:tcPr>
            <w:tcW w:w="1518" w:type="dxa"/>
            <w:vAlign w:val="center"/>
          </w:tcPr>
          <w:p w:rsidR="00637861" w:rsidRDefault="00762792">
            <w:pPr>
              <w:jc w:val="left"/>
            </w:pPr>
            <w:r>
              <w:rPr>
                <w:color w:val="000000"/>
                <w:sz w:val="18"/>
                <w:szCs w:val="18"/>
              </w:rPr>
              <w:t>存出保证金</w:t>
            </w:r>
          </w:p>
        </w:tc>
        <w:tc>
          <w:tcPr>
            <w:tcW w:w="1627" w:type="dxa"/>
            <w:vAlign w:val="center"/>
          </w:tcPr>
          <w:p w:rsidR="00637861" w:rsidRDefault="00762792">
            <w:pPr>
              <w:jc w:val="left"/>
            </w:pPr>
            <w:r>
              <w:rPr>
                <w:color w:val="000000"/>
                <w:sz w:val="18"/>
                <w:szCs w:val="18"/>
              </w:rPr>
              <w:t>9,852.42</w:t>
            </w:r>
          </w:p>
        </w:tc>
        <w:tc>
          <w:tcPr>
            <w:tcW w:w="1627" w:type="dxa"/>
            <w:vAlign w:val="center"/>
          </w:tcPr>
          <w:p w:rsidR="00637861" w:rsidRDefault="00762792">
            <w:pPr>
              <w:jc w:val="left"/>
            </w:pPr>
            <w:r>
              <w:rPr>
                <w:color w:val="000000"/>
                <w:sz w:val="18"/>
                <w:szCs w:val="18"/>
              </w:rPr>
              <w:t>-</w:t>
            </w:r>
          </w:p>
        </w:tc>
        <w:tc>
          <w:tcPr>
            <w:tcW w:w="1491" w:type="dxa"/>
            <w:vAlign w:val="center"/>
          </w:tcPr>
          <w:p w:rsidR="00637861" w:rsidRDefault="00762792">
            <w:pPr>
              <w:jc w:val="left"/>
            </w:pPr>
            <w:r>
              <w:rPr>
                <w:color w:val="000000"/>
                <w:sz w:val="18"/>
                <w:szCs w:val="18"/>
              </w:rPr>
              <w:t>-</w:t>
            </w:r>
          </w:p>
        </w:tc>
        <w:tc>
          <w:tcPr>
            <w:tcW w:w="1289" w:type="dxa"/>
            <w:vAlign w:val="center"/>
          </w:tcPr>
          <w:p w:rsidR="00637861" w:rsidRDefault="00762792">
            <w:pPr>
              <w:jc w:val="left"/>
            </w:pPr>
            <w:r>
              <w:rPr>
                <w:color w:val="000000"/>
                <w:sz w:val="18"/>
                <w:szCs w:val="18"/>
              </w:rPr>
              <w:t>-</w:t>
            </w:r>
          </w:p>
        </w:tc>
        <w:tc>
          <w:tcPr>
            <w:tcW w:w="1446" w:type="dxa"/>
            <w:vAlign w:val="center"/>
          </w:tcPr>
          <w:p w:rsidR="00637861" w:rsidRDefault="00762792">
            <w:pPr>
              <w:jc w:val="left"/>
            </w:pPr>
            <w:r>
              <w:rPr>
                <w:color w:val="000000"/>
                <w:sz w:val="18"/>
                <w:szCs w:val="18"/>
              </w:rPr>
              <w:t>9,852.42</w:t>
            </w:r>
          </w:p>
        </w:tc>
      </w:tr>
      <w:tr w:rsidR="00637861">
        <w:tc>
          <w:tcPr>
            <w:tcW w:w="1518" w:type="dxa"/>
            <w:vAlign w:val="center"/>
          </w:tcPr>
          <w:p w:rsidR="00637861" w:rsidRDefault="00762792">
            <w:pPr>
              <w:jc w:val="left"/>
            </w:pPr>
            <w:r>
              <w:rPr>
                <w:color w:val="000000"/>
                <w:sz w:val="18"/>
                <w:szCs w:val="18"/>
              </w:rPr>
              <w:t>交易性金融资产</w:t>
            </w:r>
          </w:p>
        </w:tc>
        <w:tc>
          <w:tcPr>
            <w:tcW w:w="1627" w:type="dxa"/>
            <w:vAlign w:val="center"/>
          </w:tcPr>
          <w:p w:rsidR="00637861" w:rsidRDefault="00762792">
            <w:pPr>
              <w:jc w:val="left"/>
            </w:pPr>
            <w:r>
              <w:rPr>
                <w:color w:val="000000"/>
                <w:sz w:val="18"/>
                <w:szCs w:val="18"/>
              </w:rPr>
              <w:t>-</w:t>
            </w:r>
          </w:p>
        </w:tc>
        <w:tc>
          <w:tcPr>
            <w:tcW w:w="1627" w:type="dxa"/>
            <w:vAlign w:val="center"/>
          </w:tcPr>
          <w:p w:rsidR="00637861" w:rsidRDefault="00762792">
            <w:pPr>
              <w:jc w:val="left"/>
            </w:pPr>
            <w:r>
              <w:rPr>
                <w:color w:val="000000"/>
                <w:sz w:val="18"/>
                <w:szCs w:val="18"/>
              </w:rPr>
              <w:t>668,423,400.00</w:t>
            </w:r>
          </w:p>
        </w:tc>
        <w:tc>
          <w:tcPr>
            <w:tcW w:w="1491" w:type="dxa"/>
            <w:vAlign w:val="center"/>
          </w:tcPr>
          <w:p w:rsidR="00637861" w:rsidRDefault="00762792">
            <w:pPr>
              <w:jc w:val="left"/>
            </w:pPr>
            <w:r>
              <w:rPr>
                <w:color w:val="000000"/>
                <w:sz w:val="18"/>
                <w:szCs w:val="18"/>
              </w:rPr>
              <w:t>-</w:t>
            </w:r>
          </w:p>
        </w:tc>
        <w:tc>
          <w:tcPr>
            <w:tcW w:w="1289" w:type="dxa"/>
            <w:vAlign w:val="center"/>
          </w:tcPr>
          <w:p w:rsidR="00637861" w:rsidRDefault="00762792">
            <w:pPr>
              <w:jc w:val="left"/>
            </w:pPr>
            <w:r>
              <w:rPr>
                <w:color w:val="000000"/>
                <w:sz w:val="18"/>
                <w:szCs w:val="18"/>
              </w:rPr>
              <w:t>-</w:t>
            </w:r>
          </w:p>
        </w:tc>
        <w:tc>
          <w:tcPr>
            <w:tcW w:w="1446" w:type="dxa"/>
            <w:vAlign w:val="center"/>
          </w:tcPr>
          <w:p w:rsidR="00637861" w:rsidRDefault="00762792">
            <w:pPr>
              <w:jc w:val="left"/>
            </w:pPr>
            <w:r>
              <w:rPr>
                <w:color w:val="000000"/>
                <w:sz w:val="18"/>
                <w:szCs w:val="18"/>
              </w:rPr>
              <w:t>668,423,400.00</w:t>
            </w:r>
          </w:p>
        </w:tc>
      </w:tr>
      <w:tr w:rsidR="00637861">
        <w:tc>
          <w:tcPr>
            <w:tcW w:w="1518" w:type="dxa"/>
            <w:vAlign w:val="center"/>
          </w:tcPr>
          <w:p w:rsidR="00637861" w:rsidRDefault="00762792">
            <w:pPr>
              <w:jc w:val="left"/>
            </w:pPr>
            <w:r>
              <w:rPr>
                <w:color w:val="000000"/>
                <w:sz w:val="18"/>
                <w:szCs w:val="18"/>
              </w:rPr>
              <w:t>应收证券清算款</w:t>
            </w:r>
          </w:p>
        </w:tc>
        <w:tc>
          <w:tcPr>
            <w:tcW w:w="1627" w:type="dxa"/>
            <w:vAlign w:val="center"/>
          </w:tcPr>
          <w:p w:rsidR="00637861" w:rsidRDefault="00762792">
            <w:pPr>
              <w:jc w:val="left"/>
            </w:pPr>
            <w:r>
              <w:rPr>
                <w:color w:val="000000"/>
                <w:sz w:val="18"/>
                <w:szCs w:val="18"/>
              </w:rPr>
              <w:t>-</w:t>
            </w:r>
          </w:p>
        </w:tc>
        <w:tc>
          <w:tcPr>
            <w:tcW w:w="1627" w:type="dxa"/>
            <w:vAlign w:val="center"/>
          </w:tcPr>
          <w:p w:rsidR="00637861" w:rsidRDefault="00762792">
            <w:pPr>
              <w:jc w:val="left"/>
            </w:pPr>
            <w:r>
              <w:rPr>
                <w:color w:val="000000"/>
                <w:sz w:val="18"/>
                <w:szCs w:val="18"/>
              </w:rPr>
              <w:t>-</w:t>
            </w:r>
          </w:p>
        </w:tc>
        <w:tc>
          <w:tcPr>
            <w:tcW w:w="1491" w:type="dxa"/>
            <w:vAlign w:val="center"/>
          </w:tcPr>
          <w:p w:rsidR="00637861" w:rsidRDefault="00762792">
            <w:pPr>
              <w:jc w:val="left"/>
            </w:pPr>
            <w:r>
              <w:rPr>
                <w:color w:val="000000"/>
                <w:sz w:val="18"/>
                <w:szCs w:val="18"/>
              </w:rPr>
              <w:t>-</w:t>
            </w:r>
          </w:p>
        </w:tc>
        <w:tc>
          <w:tcPr>
            <w:tcW w:w="1289" w:type="dxa"/>
            <w:vAlign w:val="center"/>
          </w:tcPr>
          <w:p w:rsidR="00637861" w:rsidRDefault="00762792">
            <w:pPr>
              <w:jc w:val="left"/>
            </w:pPr>
            <w:r>
              <w:rPr>
                <w:color w:val="000000"/>
                <w:sz w:val="18"/>
                <w:szCs w:val="18"/>
              </w:rPr>
              <w:t>263,663.48</w:t>
            </w:r>
          </w:p>
        </w:tc>
        <w:tc>
          <w:tcPr>
            <w:tcW w:w="1446" w:type="dxa"/>
            <w:vAlign w:val="center"/>
          </w:tcPr>
          <w:p w:rsidR="00637861" w:rsidRDefault="00762792">
            <w:pPr>
              <w:jc w:val="left"/>
            </w:pPr>
            <w:r>
              <w:rPr>
                <w:color w:val="000000"/>
                <w:sz w:val="18"/>
                <w:szCs w:val="18"/>
              </w:rPr>
              <w:t>263,663.48</w:t>
            </w:r>
          </w:p>
        </w:tc>
      </w:tr>
      <w:tr w:rsidR="00637861">
        <w:tc>
          <w:tcPr>
            <w:tcW w:w="1518" w:type="dxa"/>
            <w:vAlign w:val="center"/>
          </w:tcPr>
          <w:p w:rsidR="00637861" w:rsidRDefault="00762792">
            <w:pPr>
              <w:jc w:val="left"/>
            </w:pPr>
            <w:r>
              <w:rPr>
                <w:color w:val="000000"/>
                <w:sz w:val="18"/>
                <w:szCs w:val="18"/>
              </w:rPr>
              <w:t>应收利息</w:t>
            </w:r>
          </w:p>
        </w:tc>
        <w:tc>
          <w:tcPr>
            <w:tcW w:w="1627" w:type="dxa"/>
            <w:vAlign w:val="center"/>
          </w:tcPr>
          <w:p w:rsidR="00637861" w:rsidRDefault="00762792">
            <w:pPr>
              <w:jc w:val="left"/>
            </w:pPr>
            <w:r>
              <w:rPr>
                <w:color w:val="000000"/>
                <w:sz w:val="18"/>
                <w:szCs w:val="18"/>
              </w:rPr>
              <w:t>-</w:t>
            </w:r>
          </w:p>
        </w:tc>
        <w:tc>
          <w:tcPr>
            <w:tcW w:w="1627" w:type="dxa"/>
            <w:vAlign w:val="center"/>
          </w:tcPr>
          <w:p w:rsidR="00637861" w:rsidRDefault="00762792">
            <w:pPr>
              <w:jc w:val="left"/>
            </w:pPr>
            <w:r>
              <w:rPr>
                <w:color w:val="000000"/>
                <w:sz w:val="18"/>
                <w:szCs w:val="18"/>
              </w:rPr>
              <w:t>-</w:t>
            </w:r>
          </w:p>
        </w:tc>
        <w:tc>
          <w:tcPr>
            <w:tcW w:w="1491" w:type="dxa"/>
            <w:vAlign w:val="center"/>
          </w:tcPr>
          <w:p w:rsidR="00637861" w:rsidRDefault="00762792">
            <w:pPr>
              <w:jc w:val="left"/>
            </w:pPr>
            <w:r>
              <w:rPr>
                <w:color w:val="000000"/>
                <w:sz w:val="18"/>
                <w:szCs w:val="18"/>
              </w:rPr>
              <w:t>-</w:t>
            </w:r>
          </w:p>
        </w:tc>
        <w:tc>
          <w:tcPr>
            <w:tcW w:w="1289" w:type="dxa"/>
            <w:vAlign w:val="center"/>
          </w:tcPr>
          <w:p w:rsidR="00637861" w:rsidRDefault="00762792">
            <w:pPr>
              <w:jc w:val="left"/>
            </w:pPr>
            <w:r>
              <w:rPr>
                <w:color w:val="000000"/>
                <w:sz w:val="18"/>
                <w:szCs w:val="18"/>
              </w:rPr>
              <w:t>12,582,627.36</w:t>
            </w:r>
          </w:p>
        </w:tc>
        <w:tc>
          <w:tcPr>
            <w:tcW w:w="1446" w:type="dxa"/>
            <w:vAlign w:val="center"/>
          </w:tcPr>
          <w:p w:rsidR="00637861" w:rsidRDefault="00762792">
            <w:pPr>
              <w:jc w:val="left"/>
            </w:pPr>
            <w:r>
              <w:rPr>
                <w:color w:val="000000"/>
                <w:sz w:val="18"/>
                <w:szCs w:val="18"/>
              </w:rPr>
              <w:t>12,582,627.36</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21,618,502.85</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668,423,400.00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12,846,290.84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702,888,193.69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637861">
        <w:tc>
          <w:tcPr>
            <w:tcW w:w="1518" w:type="dxa"/>
            <w:vAlign w:val="center"/>
          </w:tcPr>
          <w:p w:rsidR="00637861" w:rsidRDefault="00762792">
            <w:pPr>
              <w:jc w:val="left"/>
            </w:pPr>
            <w:r>
              <w:rPr>
                <w:color w:val="000000"/>
                <w:sz w:val="18"/>
                <w:szCs w:val="18"/>
              </w:rPr>
              <w:t>卖出回购金融资产款</w:t>
            </w:r>
          </w:p>
        </w:tc>
        <w:tc>
          <w:tcPr>
            <w:tcW w:w="1627" w:type="dxa"/>
            <w:vAlign w:val="center"/>
          </w:tcPr>
          <w:p w:rsidR="00637861" w:rsidRDefault="00762792">
            <w:pPr>
              <w:jc w:val="left"/>
            </w:pPr>
            <w:r>
              <w:rPr>
                <w:color w:val="000000"/>
                <w:sz w:val="18"/>
                <w:szCs w:val="18"/>
              </w:rPr>
              <w:t>348,055,594.42</w:t>
            </w:r>
          </w:p>
        </w:tc>
        <w:tc>
          <w:tcPr>
            <w:tcW w:w="1627" w:type="dxa"/>
            <w:vAlign w:val="center"/>
          </w:tcPr>
          <w:p w:rsidR="00637861" w:rsidRDefault="00762792">
            <w:pPr>
              <w:jc w:val="left"/>
            </w:pPr>
            <w:r>
              <w:rPr>
                <w:color w:val="000000"/>
                <w:sz w:val="18"/>
                <w:szCs w:val="18"/>
              </w:rPr>
              <w:t>-</w:t>
            </w:r>
          </w:p>
        </w:tc>
        <w:tc>
          <w:tcPr>
            <w:tcW w:w="1491" w:type="dxa"/>
            <w:vAlign w:val="center"/>
          </w:tcPr>
          <w:p w:rsidR="00637861" w:rsidRDefault="00762792">
            <w:pPr>
              <w:jc w:val="left"/>
            </w:pPr>
            <w:r>
              <w:rPr>
                <w:color w:val="000000"/>
                <w:sz w:val="18"/>
                <w:szCs w:val="18"/>
              </w:rPr>
              <w:t>-</w:t>
            </w:r>
          </w:p>
        </w:tc>
        <w:tc>
          <w:tcPr>
            <w:tcW w:w="1289" w:type="dxa"/>
            <w:vAlign w:val="center"/>
          </w:tcPr>
          <w:p w:rsidR="00637861" w:rsidRDefault="00762792">
            <w:pPr>
              <w:jc w:val="center"/>
            </w:pPr>
            <w:r>
              <w:rPr>
                <w:color w:val="000000"/>
                <w:sz w:val="18"/>
                <w:szCs w:val="18"/>
              </w:rPr>
              <w:t>-</w:t>
            </w:r>
          </w:p>
        </w:tc>
        <w:tc>
          <w:tcPr>
            <w:tcW w:w="1446" w:type="dxa"/>
            <w:vAlign w:val="center"/>
          </w:tcPr>
          <w:p w:rsidR="00637861" w:rsidRDefault="00762792">
            <w:pPr>
              <w:jc w:val="left"/>
            </w:pPr>
            <w:r>
              <w:rPr>
                <w:color w:val="000000"/>
                <w:sz w:val="18"/>
                <w:szCs w:val="18"/>
              </w:rPr>
              <w:t>348,055,594.42</w:t>
            </w:r>
          </w:p>
        </w:tc>
      </w:tr>
      <w:tr w:rsidR="00637861">
        <w:tc>
          <w:tcPr>
            <w:tcW w:w="1518" w:type="dxa"/>
            <w:vAlign w:val="center"/>
          </w:tcPr>
          <w:p w:rsidR="00637861" w:rsidRDefault="00762792">
            <w:pPr>
              <w:jc w:val="left"/>
            </w:pPr>
            <w:r>
              <w:rPr>
                <w:color w:val="000000"/>
                <w:sz w:val="18"/>
                <w:szCs w:val="18"/>
              </w:rPr>
              <w:t>应付管理人报酬</w:t>
            </w:r>
          </w:p>
        </w:tc>
        <w:tc>
          <w:tcPr>
            <w:tcW w:w="1627" w:type="dxa"/>
            <w:vAlign w:val="center"/>
          </w:tcPr>
          <w:p w:rsidR="00637861" w:rsidRDefault="00762792">
            <w:pPr>
              <w:jc w:val="left"/>
            </w:pPr>
            <w:r>
              <w:rPr>
                <w:color w:val="000000"/>
                <w:sz w:val="18"/>
                <w:szCs w:val="18"/>
              </w:rPr>
              <w:t>-</w:t>
            </w:r>
          </w:p>
        </w:tc>
        <w:tc>
          <w:tcPr>
            <w:tcW w:w="1627" w:type="dxa"/>
            <w:vAlign w:val="center"/>
          </w:tcPr>
          <w:p w:rsidR="00637861" w:rsidRDefault="00762792">
            <w:pPr>
              <w:jc w:val="left"/>
            </w:pPr>
            <w:r>
              <w:rPr>
                <w:color w:val="000000"/>
                <w:sz w:val="18"/>
                <w:szCs w:val="18"/>
              </w:rPr>
              <w:t>-</w:t>
            </w:r>
          </w:p>
        </w:tc>
        <w:tc>
          <w:tcPr>
            <w:tcW w:w="1491" w:type="dxa"/>
            <w:vAlign w:val="center"/>
          </w:tcPr>
          <w:p w:rsidR="00637861" w:rsidRDefault="00762792">
            <w:pPr>
              <w:jc w:val="left"/>
            </w:pPr>
            <w:r>
              <w:rPr>
                <w:color w:val="000000"/>
                <w:sz w:val="18"/>
                <w:szCs w:val="18"/>
              </w:rPr>
              <w:t>-</w:t>
            </w:r>
          </w:p>
        </w:tc>
        <w:tc>
          <w:tcPr>
            <w:tcW w:w="1289" w:type="dxa"/>
            <w:vAlign w:val="center"/>
          </w:tcPr>
          <w:p w:rsidR="00637861" w:rsidRDefault="00762792">
            <w:pPr>
              <w:jc w:val="center"/>
            </w:pPr>
            <w:r>
              <w:rPr>
                <w:color w:val="000000"/>
                <w:sz w:val="18"/>
                <w:szCs w:val="18"/>
              </w:rPr>
              <w:t>240,539.19</w:t>
            </w:r>
          </w:p>
        </w:tc>
        <w:tc>
          <w:tcPr>
            <w:tcW w:w="1446" w:type="dxa"/>
            <w:vAlign w:val="center"/>
          </w:tcPr>
          <w:p w:rsidR="00637861" w:rsidRDefault="00762792">
            <w:pPr>
              <w:jc w:val="left"/>
            </w:pPr>
            <w:r>
              <w:rPr>
                <w:color w:val="000000"/>
                <w:sz w:val="18"/>
                <w:szCs w:val="18"/>
              </w:rPr>
              <w:t>240,539.19</w:t>
            </w:r>
          </w:p>
        </w:tc>
      </w:tr>
      <w:tr w:rsidR="00637861">
        <w:tc>
          <w:tcPr>
            <w:tcW w:w="1518" w:type="dxa"/>
            <w:vAlign w:val="center"/>
          </w:tcPr>
          <w:p w:rsidR="00637861" w:rsidRDefault="00762792">
            <w:pPr>
              <w:jc w:val="left"/>
            </w:pPr>
            <w:r>
              <w:rPr>
                <w:color w:val="000000"/>
                <w:sz w:val="18"/>
                <w:szCs w:val="18"/>
              </w:rPr>
              <w:t>应付托管费</w:t>
            </w:r>
          </w:p>
        </w:tc>
        <w:tc>
          <w:tcPr>
            <w:tcW w:w="1627" w:type="dxa"/>
            <w:vAlign w:val="center"/>
          </w:tcPr>
          <w:p w:rsidR="00637861" w:rsidRDefault="00762792">
            <w:pPr>
              <w:jc w:val="left"/>
            </w:pPr>
            <w:r>
              <w:rPr>
                <w:color w:val="000000"/>
                <w:sz w:val="18"/>
                <w:szCs w:val="18"/>
              </w:rPr>
              <w:t>-</w:t>
            </w:r>
          </w:p>
        </w:tc>
        <w:tc>
          <w:tcPr>
            <w:tcW w:w="1627" w:type="dxa"/>
            <w:vAlign w:val="center"/>
          </w:tcPr>
          <w:p w:rsidR="00637861" w:rsidRDefault="00762792">
            <w:pPr>
              <w:jc w:val="left"/>
            </w:pPr>
            <w:r>
              <w:rPr>
                <w:color w:val="000000"/>
                <w:sz w:val="18"/>
                <w:szCs w:val="18"/>
              </w:rPr>
              <w:t>-</w:t>
            </w:r>
          </w:p>
        </w:tc>
        <w:tc>
          <w:tcPr>
            <w:tcW w:w="1491" w:type="dxa"/>
            <w:vAlign w:val="center"/>
          </w:tcPr>
          <w:p w:rsidR="00637861" w:rsidRDefault="00762792">
            <w:pPr>
              <w:jc w:val="left"/>
            </w:pPr>
            <w:r>
              <w:rPr>
                <w:color w:val="000000"/>
                <w:sz w:val="18"/>
                <w:szCs w:val="18"/>
              </w:rPr>
              <w:t>-</w:t>
            </w:r>
          </w:p>
        </w:tc>
        <w:tc>
          <w:tcPr>
            <w:tcW w:w="1289" w:type="dxa"/>
            <w:vAlign w:val="center"/>
          </w:tcPr>
          <w:p w:rsidR="00637861" w:rsidRDefault="00762792">
            <w:pPr>
              <w:jc w:val="center"/>
            </w:pPr>
            <w:r>
              <w:rPr>
                <w:color w:val="000000"/>
                <w:sz w:val="18"/>
                <w:szCs w:val="18"/>
              </w:rPr>
              <w:t>45,101.10</w:t>
            </w:r>
          </w:p>
        </w:tc>
        <w:tc>
          <w:tcPr>
            <w:tcW w:w="1446" w:type="dxa"/>
            <w:vAlign w:val="center"/>
          </w:tcPr>
          <w:p w:rsidR="00637861" w:rsidRDefault="00762792">
            <w:pPr>
              <w:jc w:val="left"/>
            </w:pPr>
            <w:r>
              <w:rPr>
                <w:color w:val="000000"/>
                <w:sz w:val="18"/>
                <w:szCs w:val="18"/>
              </w:rPr>
              <w:t>45,101.10</w:t>
            </w:r>
          </w:p>
        </w:tc>
      </w:tr>
      <w:tr w:rsidR="00637861">
        <w:tc>
          <w:tcPr>
            <w:tcW w:w="1518" w:type="dxa"/>
            <w:vAlign w:val="center"/>
          </w:tcPr>
          <w:p w:rsidR="00637861" w:rsidRDefault="00762792">
            <w:pPr>
              <w:jc w:val="left"/>
            </w:pPr>
            <w:r>
              <w:rPr>
                <w:color w:val="000000"/>
                <w:sz w:val="18"/>
                <w:szCs w:val="18"/>
              </w:rPr>
              <w:t>应付销售服务费</w:t>
            </w:r>
          </w:p>
        </w:tc>
        <w:tc>
          <w:tcPr>
            <w:tcW w:w="1627" w:type="dxa"/>
            <w:vAlign w:val="center"/>
          </w:tcPr>
          <w:p w:rsidR="00637861" w:rsidRDefault="00762792">
            <w:pPr>
              <w:jc w:val="left"/>
            </w:pPr>
            <w:r>
              <w:rPr>
                <w:color w:val="000000"/>
                <w:sz w:val="18"/>
                <w:szCs w:val="18"/>
              </w:rPr>
              <w:t>-</w:t>
            </w:r>
          </w:p>
        </w:tc>
        <w:tc>
          <w:tcPr>
            <w:tcW w:w="1627" w:type="dxa"/>
            <w:vAlign w:val="center"/>
          </w:tcPr>
          <w:p w:rsidR="00637861" w:rsidRDefault="00762792">
            <w:pPr>
              <w:jc w:val="left"/>
            </w:pPr>
            <w:r>
              <w:rPr>
                <w:color w:val="000000"/>
                <w:sz w:val="18"/>
                <w:szCs w:val="18"/>
              </w:rPr>
              <w:t>-</w:t>
            </w:r>
          </w:p>
        </w:tc>
        <w:tc>
          <w:tcPr>
            <w:tcW w:w="1491" w:type="dxa"/>
            <w:vAlign w:val="center"/>
          </w:tcPr>
          <w:p w:rsidR="00637861" w:rsidRDefault="00762792">
            <w:pPr>
              <w:jc w:val="left"/>
            </w:pPr>
            <w:r>
              <w:rPr>
                <w:color w:val="000000"/>
                <w:sz w:val="18"/>
                <w:szCs w:val="18"/>
              </w:rPr>
              <w:t>-</w:t>
            </w:r>
          </w:p>
        </w:tc>
        <w:tc>
          <w:tcPr>
            <w:tcW w:w="1289" w:type="dxa"/>
            <w:vAlign w:val="center"/>
          </w:tcPr>
          <w:p w:rsidR="00637861" w:rsidRDefault="00762792">
            <w:pPr>
              <w:jc w:val="center"/>
            </w:pPr>
            <w:r>
              <w:rPr>
                <w:color w:val="000000"/>
                <w:sz w:val="18"/>
                <w:szCs w:val="18"/>
              </w:rPr>
              <w:t>421.14</w:t>
            </w:r>
          </w:p>
        </w:tc>
        <w:tc>
          <w:tcPr>
            <w:tcW w:w="1446" w:type="dxa"/>
            <w:vAlign w:val="center"/>
          </w:tcPr>
          <w:p w:rsidR="00637861" w:rsidRDefault="00762792">
            <w:pPr>
              <w:jc w:val="left"/>
            </w:pPr>
            <w:r>
              <w:rPr>
                <w:color w:val="000000"/>
                <w:sz w:val="18"/>
                <w:szCs w:val="18"/>
              </w:rPr>
              <w:t>421.14</w:t>
            </w:r>
          </w:p>
        </w:tc>
      </w:tr>
      <w:tr w:rsidR="00637861">
        <w:tc>
          <w:tcPr>
            <w:tcW w:w="1518" w:type="dxa"/>
            <w:vAlign w:val="center"/>
          </w:tcPr>
          <w:p w:rsidR="00637861" w:rsidRDefault="00762792">
            <w:pPr>
              <w:jc w:val="left"/>
            </w:pPr>
            <w:r>
              <w:rPr>
                <w:color w:val="000000"/>
                <w:sz w:val="18"/>
                <w:szCs w:val="18"/>
              </w:rPr>
              <w:t>应付交易费用</w:t>
            </w:r>
          </w:p>
        </w:tc>
        <w:tc>
          <w:tcPr>
            <w:tcW w:w="1627" w:type="dxa"/>
            <w:vAlign w:val="center"/>
          </w:tcPr>
          <w:p w:rsidR="00637861" w:rsidRDefault="00762792">
            <w:pPr>
              <w:jc w:val="left"/>
            </w:pPr>
            <w:r>
              <w:rPr>
                <w:color w:val="000000"/>
                <w:sz w:val="18"/>
                <w:szCs w:val="18"/>
              </w:rPr>
              <w:t>-</w:t>
            </w:r>
          </w:p>
        </w:tc>
        <w:tc>
          <w:tcPr>
            <w:tcW w:w="1627" w:type="dxa"/>
            <w:vAlign w:val="center"/>
          </w:tcPr>
          <w:p w:rsidR="00637861" w:rsidRDefault="00762792">
            <w:pPr>
              <w:jc w:val="left"/>
            </w:pPr>
            <w:r>
              <w:rPr>
                <w:color w:val="000000"/>
                <w:sz w:val="18"/>
                <w:szCs w:val="18"/>
              </w:rPr>
              <w:t>-</w:t>
            </w:r>
          </w:p>
        </w:tc>
        <w:tc>
          <w:tcPr>
            <w:tcW w:w="1491" w:type="dxa"/>
            <w:vAlign w:val="center"/>
          </w:tcPr>
          <w:p w:rsidR="00637861" w:rsidRDefault="00762792">
            <w:pPr>
              <w:jc w:val="left"/>
            </w:pPr>
            <w:r>
              <w:rPr>
                <w:color w:val="000000"/>
                <w:sz w:val="18"/>
                <w:szCs w:val="18"/>
              </w:rPr>
              <w:t>-</w:t>
            </w:r>
          </w:p>
        </w:tc>
        <w:tc>
          <w:tcPr>
            <w:tcW w:w="1289" w:type="dxa"/>
            <w:vAlign w:val="center"/>
          </w:tcPr>
          <w:p w:rsidR="00637861" w:rsidRDefault="00762792">
            <w:pPr>
              <w:jc w:val="center"/>
            </w:pPr>
            <w:r>
              <w:rPr>
                <w:color w:val="000000"/>
                <w:sz w:val="18"/>
                <w:szCs w:val="18"/>
              </w:rPr>
              <w:t>9,306.82</w:t>
            </w:r>
          </w:p>
        </w:tc>
        <w:tc>
          <w:tcPr>
            <w:tcW w:w="1446" w:type="dxa"/>
            <w:vAlign w:val="center"/>
          </w:tcPr>
          <w:p w:rsidR="00637861" w:rsidRDefault="00762792">
            <w:pPr>
              <w:jc w:val="left"/>
            </w:pPr>
            <w:r>
              <w:rPr>
                <w:color w:val="000000"/>
                <w:sz w:val="18"/>
                <w:szCs w:val="18"/>
              </w:rPr>
              <w:t>9,306.82</w:t>
            </w:r>
          </w:p>
        </w:tc>
      </w:tr>
      <w:tr w:rsidR="00637861">
        <w:tc>
          <w:tcPr>
            <w:tcW w:w="1518" w:type="dxa"/>
            <w:vAlign w:val="center"/>
          </w:tcPr>
          <w:p w:rsidR="00637861" w:rsidRDefault="00762792">
            <w:pPr>
              <w:jc w:val="left"/>
            </w:pPr>
            <w:r>
              <w:rPr>
                <w:color w:val="000000"/>
                <w:sz w:val="18"/>
                <w:szCs w:val="18"/>
              </w:rPr>
              <w:t>应交税费</w:t>
            </w:r>
          </w:p>
        </w:tc>
        <w:tc>
          <w:tcPr>
            <w:tcW w:w="1627" w:type="dxa"/>
            <w:vAlign w:val="center"/>
          </w:tcPr>
          <w:p w:rsidR="00637861" w:rsidRDefault="00762792">
            <w:pPr>
              <w:jc w:val="left"/>
            </w:pPr>
            <w:r>
              <w:rPr>
                <w:color w:val="000000"/>
                <w:sz w:val="18"/>
                <w:szCs w:val="18"/>
              </w:rPr>
              <w:t>-</w:t>
            </w:r>
          </w:p>
        </w:tc>
        <w:tc>
          <w:tcPr>
            <w:tcW w:w="1627" w:type="dxa"/>
            <w:vAlign w:val="center"/>
          </w:tcPr>
          <w:p w:rsidR="00637861" w:rsidRDefault="00762792">
            <w:pPr>
              <w:jc w:val="left"/>
            </w:pPr>
            <w:r>
              <w:rPr>
                <w:color w:val="000000"/>
                <w:sz w:val="18"/>
                <w:szCs w:val="18"/>
              </w:rPr>
              <w:t>-</w:t>
            </w:r>
          </w:p>
        </w:tc>
        <w:tc>
          <w:tcPr>
            <w:tcW w:w="1491" w:type="dxa"/>
            <w:vAlign w:val="center"/>
          </w:tcPr>
          <w:p w:rsidR="00637861" w:rsidRDefault="00762792">
            <w:pPr>
              <w:jc w:val="left"/>
            </w:pPr>
            <w:r>
              <w:rPr>
                <w:color w:val="000000"/>
                <w:sz w:val="18"/>
                <w:szCs w:val="18"/>
              </w:rPr>
              <w:t>-</w:t>
            </w:r>
          </w:p>
        </w:tc>
        <w:tc>
          <w:tcPr>
            <w:tcW w:w="1289" w:type="dxa"/>
            <w:vAlign w:val="center"/>
          </w:tcPr>
          <w:p w:rsidR="00637861" w:rsidRDefault="00762792">
            <w:pPr>
              <w:jc w:val="center"/>
            </w:pPr>
            <w:r>
              <w:rPr>
                <w:color w:val="000000"/>
                <w:sz w:val="18"/>
                <w:szCs w:val="18"/>
              </w:rPr>
              <w:t>74,359.43</w:t>
            </w:r>
          </w:p>
        </w:tc>
        <w:tc>
          <w:tcPr>
            <w:tcW w:w="1446" w:type="dxa"/>
            <w:vAlign w:val="center"/>
          </w:tcPr>
          <w:p w:rsidR="00637861" w:rsidRDefault="00762792">
            <w:pPr>
              <w:jc w:val="left"/>
            </w:pPr>
            <w:r>
              <w:rPr>
                <w:color w:val="000000"/>
                <w:sz w:val="18"/>
                <w:szCs w:val="18"/>
              </w:rPr>
              <w:t>74,359.43</w:t>
            </w:r>
          </w:p>
        </w:tc>
      </w:tr>
      <w:tr w:rsidR="00637861">
        <w:tc>
          <w:tcPr>
            <w:tcW w:w="1518" w:type="dxa"/>
            <w:vAlign w:val="center"/>
          </w:tcPr>
          <w:p w:rsidR="00637861" w:rsidRDefault="00762792">
            <w:pPr>
              <w:jc w:val="left"/>
            </w:pPr>
            <w:r>
              <w:rPr>
                <w:color w:val="000000"/>
                <w:sz w:val="18"/>
                <w:szCs w:val="18"/>
              </w:rPr>
              <w:t>应付利息</w:t>
            </w:r>
          </w:p>
        </w:tc>
        <w:tc>
          <w:tcPr>
            <w:tcW w:w="1627" w:type="dxa"/>
            <w:vAlign w:val="center"/>
          </w:tcPr>
          <w:p w:rsidR="00637861" w:rsidRDefault="00762792">
            <w:pPr>
              <w:jc w:val="left"/>
            </w:pPr>
            <w:r>
              <w:rPr>
                <w:color w:val="000000"/>
                <w:sz w:val="18"/>
                <w:szCs w:val="18"/>
              </w:rPr>
              <w:t>-</w:t>
            </w:r>
          </w:p>
        </w:tc>
        <w:tc>
          <w:tcPr>
            <w:tcW w:w="1627" w:type="dxa"/>
            <w:vAlign w:val="center"/>
          </w:tcPr>
          <w:p w:rsidR="00637861" w:rsidRDefault="00762792">
            <w:pPr>
              <w:jc w:val="left"/>
            </w:pPr>
            <w:r>
              <w:rPr>
                <w:color w:val="000000"/>
                <w:sz w:val="18"/>
                <w:szCs w:val="18"/>
              </w:rPr>
              <w:t>-</w:t>
            </w:r>
          </w:p>
        </w:tc>
        <w:tc>
          <w:tcPr>
            <w:tcW w:w="1491" w:type="dxa"/>
            <w:vAlign w:val="center"/>
          </w:tcPr>
          <w:p w:rsidR="00637861" w:rsidRDefault="00762792">
            <w:pPr>
              <w:jc w:val="left"/>
            </w:pPr>
            <w:r>
              <w:rPr>
                <w:color w:val="000000"/>
                <w:sz w:val="18"/>
                <w:szCs w:val="18"/>
              </w:rPr>
              <w:t>-</w:t>
            </w:r>
          </w:p>
        </w:tc>
        <w:tc>
          <w:tcPr>
            <w:tcW w:w="1289" w:type="dxa"/>
            <w:vAlign w:val="center"/>
          </w:tcPr>
          <w:p w:rsidR="00637861" w:rsidRDefault="00762792">
            <w:pPr>
              <w:jc w:val="center"/>
            </w:pPr>
            <w:r>
              <w:rPr>
                <w:color w:val="000000"/>
                <w:sz w:val="18"/>
                <w:szCs w:val="18"/>
              </w:rPr>
              <w:t>46,944.63</w:t>
            </w:r>
          </w:p>
        </w:tc>
        <w:tc>
          <w:tcPr>
            <w:tcW w:w="1446" w:type="dxa"/>
            <w:vAlign w:val="center"/>
          </w:tcPr>
          <w:p w:rsidR="00637861" w:rsidRDefault="00762792">
            <w:pPr>
              <w:jc w:val="left"/>
            </w:pPr>
            <w:r>
              <w:rPr>
                <w:color w:val="000000"/>
                <w:sz w:val="18"/>
                <w:szCs w:val="18"/>
              </w:rPr>
              <w:t>46,944.63</w:t>
            </w:r>
          </w:p>
        </w:tc>
      </w:tr>
      <w:tr w:rsidR="00637861">
        <w:tc>
          <w:tcPr>
            <w:tcW w:w="1518" w:type="dxa"/>
            <w:vAlign w:val="center"/>
          </w:tcPr>
          <w:p w:rsidR="00637861" w:rsidRDefault="00762792">
            <w:pPr>
              <w:jc w:val="left"/>
            </w:pPr>
            <w:r>
              <w:rPr>
                <w:color w:val="000000"/>
                <w:sz w:val="18"/>
                <w:szCs w:val="18"/>
              </w:rPr>
              <w:t>其他负债</w:t>
            </w:r>
          </w:p>
        </w:tc>
        <w:tc>
          <w:tcPr>
            <w:tcW w:w="1627" w:type="dxa"/>
            <w:vAlign w:val="center"/>
          </w:tcPr>
          <w:p w:rsidR="00637861" w:rsidRDefault="00762792">
            <w:pPr>
              <w:jc w:val="left"/>
            </w:pPr>
            <w:r>
              <w:rPr>
                <w:color w:val="000000"/>
                <w:sz w:val="18"/>
                <w:szCs w:val="18"/>
              </w:rPr>
              <w:t>-</w:t>
            </w:r>
          </w:p>
        </w:tc>
        <w:tc>
          <w:tcPr>
            <w:tcW w:w="1627" w:type="dxa"/>
            <w:vAlign w:val="center"/>
          </w:tcPr>
          <w:p w:rsidR="00637861" w:rsidRDefault="00762792">
            <w:pPr>
              <w:jc w:val="left"/>
            </w:pPr>
            <w:r>
              <w:rPr>
                <w:color w:val="000000"/>
                <w:sz w:val="18"/>
                <w:szCs w:val="18"/>
              </w:rPr>
              <w:t>-</w:t>
            </w:r>
          </w:p>
        </w:tc>
        <w:tc>
          <w:tcPr>
            <w:tcW w:w="1491" w:type="dxa"/>
            <w:vAlign w:val="center"/>
          </w:tcPr>
          <w:p w:rsidR="00637861" w:rsidRDefault="00762792">
            <w:pPr>
              <w:jc w:val="left"/>
            </w:pPr>
            <w:r>
              <w:rPr>
                <w:color w:val="000000"/>
                <w:sz w:val="18"/>
                <w:szCs w:val="18"/>
              </w:rPr>
              <w:t>-</w:t>
            </w:r>
          </w:p>
        </w:tc>
        <w:tc>
          <w:tcPr>
            <w:tcW w:w="1289" w:type="dxa"/>
            <w:vAlign w:val="center"/>
          </w:tcPr>
          <w:p w:rsidR="00637861" w:rsidRDefault="00762792">
            <w:pPr>
              <w:jc w:val="center"/>
            </w:pPr>
            <w:r>
              <w:rPr>
                <w:color w:val="000000"/>
                <w:sz w:val="18"/>
                <w:szCs w:val="18"/>
              </w:rPr>
              <w:t>309,300.00</w:t>
            </w:r>
          </w:p>
        </w:tc>
        <w:tc>
          <w:tcPr>
            <w:tcW w:w="1446" w:type="dxa"/>
            <w:vAlign w:val="center"/>
          </w:tcPr>
          <w:p w:rsidR="00637861" w:rsidRDefault="00762792">
            <w:pPr>
              <w:jc w:val="left"/>
            </w:pPr>
            <w:r>
              <w:rPr>
                <w:color w:val="000000"/>
                <w:sz w:val="18"/>
                <w:szCs w:val="18"/>
              </w:rPr>
              <w:t>309,300.00</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348,055,594.42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725,972.31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348,781,566.73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-326,437,091.57</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668,423,400.00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12,120,318.53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354,106,626.96</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637861">
        <w:tc>
          <w:tcPr>
            <w:tcW w:w="851" w:type="dxa"/>
            <w:vAlign w:val="center"/>
          </w:tcPr>
          <w:p w:rsidR="00637861" w:rsidRDefault="00762792">
            <w:pPr>
              <w:jc w:val="left"/>
            </w:pPr>
            <w:r>
              <w:rPr>
                <w:color w:val="000000"/>
                <w:sz w:val="24"/>
              </w:rPr>
              <w:t>假设</w:t>
            </w:r>
          </w:p>
        </w:tc>
        <w:tc>
          <w:tcPr>
            <w:tcW w:w="8147" w:type="dxa"/>
            <w:gridSpan w:val="3"/>
            <w:vAlign w:val="center"/>
          </w:tcPr>
          <w:p w:rsidR="00637861" w:rsidRDefault="00762792">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637861">
        <w:tc>
          <w:tcPr>
            <w:tcW w:w="852" w:type="dxa"/>
            <w:vMerge/>
          </w:tcPr>
          <w:p w:rsidR="00637861" w:rsidRDefault="00637861"/>
        </w:tc>
        <w:tc>
          <w:tcPr>
            <w:tcW w:w="2550" w:type="dxa"/>
            <w:vAlign w:val="center"/>
          </w:tcPr>
          <w:p w:rsidR="00637861" w:rsidRDefault="00762792">
            <w:pPr>
              <w:jc w:val="left"/>
            </w:pPr>
            <w:r>
              <w:rPr>
                <w:color w:val="000000"/>
                <w:sz w:val="24"/>
              </w:rPr>
              <w:t>市场利率下降</w:t>
            </w:r>
            <w:r>
              <w:rPr>
                <w:color w:val="000000"/>
                <w:sz w:val="24"/>
              </w:rPr>
              <w:t>25</w:t>
            </w:r>
            <w:r>
              <w:rPr>
                <w:color w:val="000000"/>
                <w:sz w:val="24"/>
              </w:rPr>
              <w:t>个基点</w:t>
            </w:r>
          </w:p>
        </w:tc>
        <w:tc>
          <w:tcPr>
            <w:tcW w:w="2693" w:type="dxa"/>
            <w:vAlign w:val="center"/>
          </w:tcPr>
          <w:p w:rsidR="00637861" w:rsidRDefault="00762792">
            <w:pPr>
              <w:jc w:val="right"/>
            </w:pPr>
            <w:r>
              <w:rPr>
                <w:color w:val="000000"/>
                <w:sz w:val="24"/>
              </w:rPr>
              <w:t>增加约</w:t>
            </w:r>
            <w:r>
              <w:rPr>
                <w:color w:val="000000"/>
                <w:sz w:val="24"/>
              </w:rPr>
              <w:t>216</w:t>
            </w:r>
          </w:p>
        </w:tc>
        <w:tc>
          <w:tcPr>
            <w:tcW w:w="2903" w:type="dxa"/>
            <w:vAlign w:val="center"/>
          </w:tcPr>
          <w:p w:rsidR="00637861" w:rsidRDefault="00762792">
            <w:pPr>
              <w:jc w:val="right"/>
            </w:pPr>
            <w:r>
              <w:rPr>
                <w:color w:val="000000"/>
                <w:sz w:val="24"/>
              </w:rPr>
              <w:t>增加约</w:t>
            </w:r>
            <w:r>
              <w:rPr>
                <w:color w:val="000000"/>
                <w:sz w:val="24"/>
              </w:rPr>
              <w:t>280</w:t>
            </w:r>
          </w:p>
        </w:tc>
      </w:tr>
      <w:tr w:rsidR="00637861">
        <w:tc>
          <w:tcPr>
            <w:tcW w:w="852" w:type="dxa"/>
            <w:vMerge/>
          </w:tcPr>
          <w:p w:rsidR="00637861" w:rsidRDefault="00637861"/>
        </w:tc>
        <w:tc>
          <w:tcPr>
            <w:tcW w:w="2550" w:type="dxa"/>
            <w:vAlign w:val="center"/>
          </w:tcPr>
          <w:p w:rsidR="00637861" w:rsidRDefault="00762792">
            <w:pPr>
              <w:jc w:val="left"/>
            </w:pPr>
            <w:r>
              <w:rPr>
                <w:color w:val="000000"/>
                <w:sz w:val="24"/>
              </w:rPr>
              <w:t>市场利率上升</w:t>
            </w:r>
            <w:r>
              <w:rPr>
                <w:color w:val="000000"/>
                <w:sz w:val="24"/>
              </w:rPr>
              <w:t>25</w:t>
            </w:r>
            <w:r>
              <w:rPr>
                <w:color w:val="000000"/>
                <w:sz w:val="24"/>
              </w:rPr>
              <w:t>个基点</w:t>
            </w:r>
          </w:p>
        </w:tc>
        <w:tc>
          <w:tcPr>
            <w:tcW w:w="2693" w:type="dxa"/>
            <w:vAlign w:val="center"/>
          </w:tcPr>
          <w:p w:rsidR="00637861" w:rsidRDefault="00762792">
            <w:pPr>
              <w:jc w:val="right"/>
            </w:pPr>
            <w:r>
              <w:rPr>
                <w:color w:val="000000"/>
                <w:sz w:val="24"/>
              </w:rPr>
              <w:t>减少约</w:t>
            </w:r>
            <w:r>
              <w:rPr>
                <w:color w:val="000000"/>
                <w:sz w:val="24"/>
              </w:rPr>
              <w:t>215</w:t>
            </w:r>
          </w:p>
        </w:tc>
        <w:tc>
          <w:tcPr>
            <w:tcW w:w="2903" w:type="dxa"/>
            <w:vAlign w:val="center"/>
          </w:tcPr>
          <w:p w:rsidR="00637861" w:rsidRDefault="00762792">
            <w:pPr>
              <w:jc w:val="right"/>
            </w:pPr>
            <w:r>
              <w:rPr>
                <w:color w:val="000000"/>
                <w:sz w:val="24"/>
              </w:rPr>
              <w:t>减少约</w:t>
            </w:r>
            <w:r>
              <w:rPr>
                <w:color w:val="000000"/>
                <w:sz w:val="24"/>
              </w:rPr>
              <w:t>278</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816346"/>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816347"/>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656,943,100.00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95.24</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656,943,100.00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95.24</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20,383,078.30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2.96</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12,425,337.21</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1.80</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689,751,515.51</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17816348"/>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BF3258">
      <w:pPr>
        <w:pStyle w:val="20"/>
        <w:spacing w:before="29" w:after="0" w:line="288" w:lineRule="auto"/>
        <w:rPr>
          <w:rFonts w:ascii="Times New Roman" w:hAnsi="Times New Roman"/>
          <w:color w:val="000000"/>
          <w:szCs w:val="24"/>
        </w:rPr>
      </w:pPr>
      <w:bookmarkStart w:id="65" w:name="_Toc17816349"/>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BF3258" w:rsidRPr="001B7979" w:rsidRDefault="00BF3258" w:rsidP="00BF3258">
      <w:pPr>
        <w:pStyle w:val="20"/>
        <w:spacing w:before="29" w:after="0" w:line="288" w:lineRule="auto"/>
        <w:rPr>
          <w:rFonts w:ascii="Times New Roman" w:hAnsi="Times New Roman"/>
          <w:kern w:val="0"/>
          <w:szCs w:val="24"/>
        </w:rPr>
      </w:pPr>
      <w:bookmarkStart w:id="66" w:name="_Toc17816350"/>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6"/>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7" w:name="_Toc17816351"/>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7"/>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8" w:name="_Toc17816352"/>
      <w:r w:rsidRPr="001B7979">
        <w:rPr>
          <w:rFonts w:ascii="Times New Roman" w:hAnsi="Times New Roman"/>
          <w:kern w:val="0"/>
          <w:szCs w:val="24"/>
        </w:rPr>
        <w:t>7.4</w:t>
      </w:r>
      <w:bookmarkStart w:id="69" w:name="_Toc234814103"/>
      <w:r w:rsidRPr="001B7979">
        <w:rPr>
          <w:rFonts w:ascii="Times New Roman" w:hAnsi="Times New Roman"/>
          <w:kern w:val="0"/>
          <w:szCs w:val="24"/>
        </w:rPr>
        <w:t>报告期内股票投资组合的重大变动</w:t>
      </w:r>
      <w:bookmarkEnd w:id="69"/>
      <w:bookmarkEnd w:id="68"/>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234814104"/>
      <w:bookmarkStart w:id="71" w:name="_Toc17816353"/>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406701">
              <w:rPr>
                <w:rFonts w:hint="eastAsia"/>
                <w:color w:val="000000"/>
                <w:sz w:val="24"/>
              </w:rPr>
              <w:t>(</w:t>
            </w:r>
            <w:r w:rsidR="00406701">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325,274,100.00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91.88</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331,669,000.00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93.69</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656,943,100.00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185.57</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17816354"/>
      <w:r w:rsidRPr="001B7979">
        <w:rPr>
          <w:rFonts w:ascii="Times New Roman" w:hAnsi="Times New Roman"/>
          <w:kern w:val="0"/>
          <w:szCs w:val="24"/>
        </w:rPr>
        <w:t>7.6</w:t>
      </w:r>
      <w:bookmarkStart w:id="73"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3"/>
      <w:bookmarkEnd w:id="72"/>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1400A1">
              <w:rPr>
                <w:rFonts w:hint="eastAsia"/>
                <w:color w:val="000000"/>
                <w:sz w:val="24"/>
              </w:rPr>
              <w:t>(</w:t>
            </w:r>
            <w:r w:rsidR="001400A1">
              <w:rPr>
                <w:color w:val="000000"/>
                <w:sz w:val="24"/>
              </w:rPr>
              <w:t>%)</w:t>
            </w:r>
          </w:p>
        </w:tc>
      </w:tr>
      <w:tr w:rsidR="00637861">
        <w:tc>
          <w:tcPr>
            <w:tcW w:w="1320" w:type="dxa"/>
            <w:vAlign w:val="center"/>
          </w:tcPr>
          <w:p w:rsidR="00637861" w:rsidRDefault="00762792">
            <w:pPr>
              <w:jc w:val="center"/>
            </w:pPr>
            <w:r>
              <w:rPr>
                <w:color w:val="000000"/>
                <w:sz w:val="24"/>
              </w:rPr>
              <w:t>1</w:t>
            </w:r>
          </w:p>
        </w:tc>
        <w:tc>
          <w:tcPr>
            <w:tcW w:w="1382" w:type="dxa"/>
            <w:vAlign w:val="center"/>
          </w:tcPr>
          <w:p w:rsidR="00637861" w:rsidRDefault="00762792">
            <w:pPr>
              <w:jc w:val="center"/>
            </w:pPr>
            <w:r>
              <w:rPr>
                <w:color w:val="000000"/>
                <w:sz w:val="24"/>
              </w:rPr>
              <w:t>101800692</w:t>
            </w:r>
          </w:p>
        </w:tc>
        <w:tc>
          <w:tcPr>
            <w:tcW w:w="1353" w:type="dxa"/>
            <w:vAlign w:val="center"/>
          </w:tcPr>
          <w:p w:rsidR="00637861" w:rsidRDefault="00762792">
            <w:pPr>
              <w:jc w:val="center"/>
            </w:pPr>
            <w:r>
              <w:rPr>
                <w:color w:val="000000"/>
                <w:sz w:val="24"/>
              </w:rPr>
              <w:t>18</w:t>
            </w:r>
            <w:r>
              <w:rPr>
                <w:color w:val="000000"/>
                <w:sz w:val="24"/>
              </w:rPr>
              <w:t>拉萨城投</w:t>
            </w:r>
            <w:r>
              <w:rPr>
                <w:color w:val="000000"/>
                <w:sz w:val="24"/>
              </w:rPr>
              <w:t>MTN001</w:t>
            </w:r>
          </w:p>
        </w:tc>
        <w:tc>
          <w:tcPr>
            <w:tcW w:w="1505" w:type="dxa"/>
            <w:vAlign w:val="center"/>
          </w:tcPr>
          <w:p w:rsidR="00637861" w:rsidRDefault="00762792">
            <w:pPr>
              <w:jc w:val="right"/>
            </w:pPr>
            <w:r>
              <w:rPr>
                <w:color w:val="000000"/>
                <w:sz w:val="24"/>
              </w:rPr>
              <w:t>300,000</w:t>
            </w:r>
          </w:p>
        </w:tc>
        <w:tc>
          <w:tcPr>
            <w:tcW w:w="1737" w:type="dxa"/>
            <w:vAlign w:val="center"/>
          </w:tcPr>
          <w:p w:rsidR="00637861" w:rsidRDefault="00762792">
            <w:pPr>
              <w:jc w:val="right"/>
            </w:pPr>
            <w:r>
              <w:rPr>
                <w:color w:val="000000"/>
                <w:sz w:val="24"/>
              </w:rPr>
              <w:t>30,963,000.00</w:t>
            </w:r>
          </w:p>
        </w:tc>
        <w:tc>
          <w:tcPr>
            <w:tcW w:w="1701" w:type="dxa"/>
            <w:vAlign w:val="center"/>
          </w:tcPr>
          <w:p w:rsidR="00637861" w:rsidRDefault="00762792">
            <w:pPr>
              <w:jc w:val="right"/>
            </w:pPr>
            <w:r>
              <w:rPr>
                <w:color w:val="000000"/>
                <w:sz w:val="24"/>
              </w:rPr>
              <w:t>8.75</w:t>
            </w:r>
          </w:p>
        </w:tc>
      </w:tr>
      <w:tr w:rsidR="00637861">
        <w:tc>
          <w:tcPr>
            <w:tcW w:w="1320" w:type="dxa"/>
            <w:vAlign w:val="center"/>
          </w:tcPr>
          <w:p w:rsidR="00637861" w:rsidRDefault="00762792">
            <w:pPr>
              <w:jc w:val="center"/>
            </w:pPr>
            <w:r>
              <w:rPr>
                <w:color w:val="000000"/>
                <w:sz w:val="24"/>
              </w:rPr>
              <w:t>2</w:t>
            </w:r>
          </w:p>
        </w:tc>
        <w:tc>
          <w:tcPr>
            <w:tcW w:w="1382" w:type="dxa"/>
            <w:vAlign w:val="center"/>
          </w:tcPr>
          <w:p w:rsidR="00637861" w:rsidRDefault="00762792">
            <w:pPr>
              <w:jc w:val="center"/>
            </w:pPr>
            <w:r>
              <w:rPr>
                <w:color w:val="000000"/>
                <w:sz w:val="24"/>
              </w:rPr>
              <w:t>143222</w:t>
            </w:r>
          </w:p>
        </w:tc>
        <w:tc>
          <w:tcPr>
            <w:tcW w:w="1353" w:type="dxa"/>
            <w:vAlign w:val="center"/>
          </w:tcPr>
          <w:p w:rsidR="00637861" w:rsidRDefault="00762792">
            <w:pPr>
              <w:jc w:val="center"/>
            </w:pPr>
            <w:r>
              <w:rPr>
                <w:color w:val="000000"/>
                <w:sz w:val="24"/>
              </w:rPr>
              <w:t>17</w:t>
            </w:r>
            <w:r>
              <w:rPr>
                <w:color w:val="000000"/>
                <w:sz w:val="24"/>
              </w:rPr>
              <w:t>圆融</w:t>
            </w:r>
            <w:r>
              <w:rPr>
                <w:color w:val="000000"/>
                <w:sz w:val="24"/>
              </w:rPr>
              <w:t>02</w:t>
            </w:r>
          </w:p>
        </w:tc>
        <w:tc>
          <w:tcPr>
            <w:tcW w:w="1505" w:type="dxa"/>
            <w:vAlign w:val="center"/>
          </w:tcPr>
          <w:p w:rsidR="00637861" w:rsidRDefault="00762792">
            <w:pPr>
              <w:jc w:val="right"/>
            </w:pPr>
            <w:r>
              <w:rPr>
                <w:color w:val="000000"/>
                <w:sz w:val="24"/>
              </w:rPr>
              <w:t>300,000</w:t>
            </w:r>
          </w:p>
        </w:tc>
        <w:tc>
          <w:tcPr>
            <w:tcW w:w="1737" w:type="dxa"/>
            <w:vAlign w:val="center"/>
          </w:tcPr>
          <w:p w:rsidR="00637861" w:rsidRDefault="00762792">
            <w:pPr>
              <w:jc w:val="right"/>
            </w:pPr>
            <w:r>
              <w:rPr>
                <w:color w:val="000000"/>
                <w:sz w:val="24"/>
              </w:rPr>
              <w:t>30,555,000.00</w:t>
            </w:r>
          </w:p>
        </w:tc>
        <w:tc>
          <w:tcPr>
            <w:tcW w:w="1701" w:type="dxa"/>
            <w:vAlign w:val="center"/>
          </w:tcPr>
          <w:p w:rsidR="00637861" w:rsidRDefault="00762792">
            <w:pPr>
              <w:jc w:val="right"/>
            </w:pPr>
            <w:r>
              <w:rPr>
                <w:color w:val="000000"/>
                <w:sz w:val="24"/>
              </w:rPr>
              <w:t>8.63</w:t>
            </w:r>
          </w:p>
        </w:tc>
      </w:tr>
      <w:tr w:rsidR="00637861">
        <w:tc>
          <w:tcPr>
            <w:tcW w:w="1320" w:type="dxa"/>
            <w:vAlign w:val="center"/>
          </w:tcPr>
          <w:p w:rsidR="00637861" w:rsidRDefault="00762792">
            <w:pPr>
              <w:jc w:val="center"/>
            </w:pPr>
            <w:r>
              <w:rPr>
                <w:color w:val="000000"/>
                <w:sz w:val="24"/>
              </w:rPr>
              <w:t>3</w:t>
            </w:r>
          </w:p>
        </w:tc>
        <w:tc>
          <w:tcPr>
            <w:tcW w:w="1382" w:type="dxa"/>
            <w:vAlign w:val="center"/>
          </w:tcPr>
          <w:p w:rsidR="00637861" w:rsidRDefault="00762792">
            <w:pPr>
              <w:jc w:val="center"/>
            </w:pPr>
            <w:r>
              <w:rPr>
                <w:color w:val="000000"/>
                <w:sz w:val="24"/>
              </w:rPr>
              <w:t>101560059</w:t>
            </w:r>
          </w:p>
        </w:tc>
        <w:tc>
          <w:tcPr>
            <w:tcW w:w="1353" w:type="dxa"/>
            <w:vAlign w:val="center"/>
          </w:tcPr>
          <w:p w:rsidR="00637861" w:rsidRDefault="00762792">
            <w:pPr>
              <w:jc w:val="center"/>
            </w:pPr>
            <w:r>
              <w:rPr>
                <w:color w:val="000000"/>
                <w:sz w:val="24"/>
              </w:rPr>
              <w:t>15</w:t>
            </w:r>
            <w:r>
              <w:rPr>
                <w:color w:val="000000"/>
                <w:sz w:val="24"/>
              </w:rPr>
              <w:t>盐城城南</w:t>
            </w:r>
            <w:r>
              <w:rPr>
                <w:color w:val="000000"/>
                <w:sz w:val="24"/>
              </w:rPr>
              <w:t>MTN001</w:t>
            </w:r>
          </w:p>
        </w:tc>
        <w:tc>
          <w:tcPr>
            <w:tcW w:w="1505" w:type="dxa"/>
            <w:vAlign w:val="center"/>
          </w:tcPr>
          <w:p w:rsidR="00637861" w:rsidRDefault="00762792">
            <w:pPr>
              <w:jc w:val="right"/>
            </w:pPr>
            <w:r>
              <w:rPr>
                <w:color w:val="000000"/>
                <w:sz w:val="24"/>
              </w:rPr>
              <w:t>300,000</w:t>
            </w:r>
          </w:p>
        </w:tc>
        <w:tc>
          <w:tcPr>
            <w:tcW w:w="1737" w:type="dxa"/>
            <w:vAlign w:val="center"/>
          </w:tcPr>
          <w:p w:rsidR="00637861" w:rsidRDefault="00762792">
            <w:pPr>
              <w:jc w:val="right"/>
            </w:pPr>
            <w:r>
              <w:rPr>
                <w:color w:val="000000"/>
                <w:sz w:val="24"/>
              </w:rPr>
              <w:t>30,477,000.00</w:t>
            </w:r>
          </w:p>
        </w:tc>
        <w:tc>
          <w:tcPr>
            <w:tcW w:w="1701" w:type="dxa"/>
            <w:vAlign w:val="center"/>
          </w:tcPr>
          <w:p w:rsidR="00637861" w:rsidRDefault="00762792">
            <w:pPr>
              <w:jc w:val="right"/>
            </w:pPr>
            <w:r>
              <w:rPr>
                <w:color w:val="000000"/>
                <w:sz w:val="24"/>
              </w:rPr>
              <w:t>8.61</w:t>
            </w:r>
          </w:p>
        </w:tc>
      </w:tr>
      <w:tr w:rsidR="00637861">
        <w:tc>
          <w:tcPr>
            <w:tcW w:w="1320" w:type="dxa"/>
            <w:vAlign w:val="center"/>
          </w:tcPr>
          <w:p w:rsidR="00637861" w:rsidRDefault="00762792">
            <w:pPr>
              <w:jc w:val="center"/>
            </w:pPr>
            <w:r>
              <w:rPr>
                <w:color w:val="000000"/>
                <w:sz w:val="24"/>
              </w:rPr>
              <w:t>4</w:t>
            </w:r>
          </w:p>
        </w:tc>
        <w:tc>
          <w:tcPr>
            <w:tcW w:w="1382" w:type="dxa"/>
            <w:vAlign w:val="center"/>
          </w:tcPr>
          <w:p w:rsidR="00637861" w:rsidRDefault="00762792">
            <w:pPr>
              <w:jc w:val="center"/>
            </w:pPr>
            <w:r>
              <w:rPr>
                <w:color w:val="000000"/>
                <w:sz w:val="24"/>
              </w:rPr>
              <w:t>122358</w:t>
            </w:r>
          </w:p>
        </w:tc>
        <w:tc>
          <w:tcPr>
            <w:tcW w:w="1353" w:type="dxa"/>
            <w:vAlign w:val="center"/>
          </w:tcPr>
          <w:p w:rsidR="00637861" w:rsidRDefault="00762792">
            <w:pPr>
              <w:jc w:val="center"/>
            </w:pPr>
            <w:r>
              <w:rPr>
                <w:color w:val="000000"/>
                <w:sz w:val="24"/>
              </w:rPr>
              <w:t>15</w:t>
            </w:r>
            <w:r>
              <w:rPr>
                <w:color w:val="000000"/>
                <w:sz w:val="24"/>
              </w:rPr>
              <w:t>际华</w:t>
            </w:r>
            <w:r>
              <w:rPr>
                <w:color w:val="000000"/>
                <w:sz w:val="24"/>
              </w:rPr>
              <w:t>03</w:t>
            </w:r>
          </w:p>
        </w:tc>
        <w:tc>
          <w:tcPr>
            <w:tcW w:w="1505" w:type="dxa"/>
            <w:vAlign w:val="center"/>
          </w:tcPr>
          <w:p w:rsidR="00637861" w:rsidRDefault="00762792">
            <w:pPr>
              <w:jc w:val="right"/>
            </w:pPr>
            <w:r>
              <w:rPr>
                <w:color w:val="000000"/>
                <w:sz w:val="24"/>
              </w:rPr>
              <w:t>300,000</w:t>
            </w:r>
          </w:p>
        </w:tc>
        <w:tc>
          <w:tcPr>
            <w:tcW w:w="1737" w:type="dxa"/>
            <w:vAlign w:val="center"/>
          </w:tcPr>
          <w:p w:rsidR="00637861" w:rsidRDefault="00762792">
            <w:pPr>
              <w:jc w:val="right"/>
            </w:pPr>
            <w:r>
              <w:rPr>
                <w:color w:val="000000"/>
                <w:sz w:val="24"/>
              </w:rPr>
              <w:t>30,453,000.00</w:t>
            </w:r>
          </w:p>
        </w:tc>
        <w:tc>
          <w:tcPr>
            <w:tcW w:w="1701" w:type="dxa"/>
            <w:vAlign w:val="center"/>
          </w:tcPr>
          <w:p w:rsidR="00637861" w:rsidRDefault="00762792">
            <w:pPr>
              <w:jc w:val="right"/>
            </w:pPr>
            <w:r>
              <w:rPr>
                <w:color w:val="000000"/>
                <w:sz w:val="24"/>
              </w:rPr>
              <w:t>8.60</w:t>
            </w:r>
          </w:p>
        </w:tc>
      </w:tr>
      <w:tr w:rsidR="00637861">
        <w:tc>
          <w:tcPr>
            <w:tcW w:w="1320" w:type="dxa"/>
            <w:vAlign w:val="center"/>
          </w:tcPr>
          <w:p w:rsidR="00637861" w:rsidRDefault="00762792">
            <w:pPr>
              <w:jc w:val="center"/>
            </w:pPr>
            <w:r>
              <w:rPr>
                <w:color w:val="000000"/>
                <w:sz w:val="24"/>
              </w:rPr>
              <w:t>5</w:t>
            </w:r>
          </w:p>
        </w:tc>
        <w:tc>
          <w:tcPr>
            <w:tcW w:w="1382" w:type="dxa"/>
            <w:vAlign w:val="center"/>
          </w:tcPr>
          <w:p w:rsidR="00637861" w:rsidRDefault="00762792">
            <w:pPr>
              <w:jc w:val="center"/>
            </w:pPr>
            <w:r>
              <w:rPr>
                <w:color w:val="000000"/>
                <w:sz w:val="24"/>
              </w:rPr>
              <w:t>143287</w:t>
            </w:r>
          </w:p>
        </w:tc>
        <w:tc>
          <w:tcPr>
            <w:tcW w:w="1353" w:type="dxa"/>
            <w:vAlign w:val="center"/>
          </w:tcPr>
          <w:p w:rsidR="00637861" w:rsidRDefault="00762792">
            <w:pPr>
              <w:jc w:val="center"/>
            </w:pPr>
            <w:r>
              <w:rPr>
                <w:color w:val="000000"/>
                <w:sz w:val="24"/>
              </w:rPr>
              <w:t>17</w:t>
            </w:r>
            <w:r>
              <w:rPr>
                <w:color w:val="000000"/>
                <w:sz w:val="24"/>
              </w:rPr>
              <w:t>联投</w:t>
            </w:r>
            <w:r>
              <w:rPr>
                <w:color w:val="000000"/>
                <w:sz w:val="24"/>
              </w:rPr>
              <w:t>01</w:t>
            </w:r>
          </w:p>
        </w:tc>
        <w:tc>
          <w:tcPr>
            <w:tcW w:w="1505" w:type="dxa"/>
            <w:vAlign w:val="center"/>
          </w:tcPr>
          <w:p w:rsidR="00637861" w:rsidRDefault="00762792">
            <w:pPr>
              <w:jc w:val="right"/>
            </w:pPr>
            <w:r>
              <w:rPr>
                <w:color w:val="000000"/>
                <w:sz w:val="24"/>
              </w:rPr>
              <w:t>300,000</w:t>
            </w:r>
          </w:p>
        </w:tc>
        <w:tc>
          <w:tcPr>
            <w:tcW w:w="1737" w:type="dxa"/>
            <w:vAlign w:val="center"/>
          </w:tcPr>
          <w:p w:rsidR="00637861" w:rsidRDefault="00762792">
            <w:pPr>
              <w:jc w:val="right"/>
            </w:pPr>
            <w:r>
              <w:rPr>
                <w:color w:val="000000"/>
                <w:sz w:val="24"/>
              </w:rPr>
              <w:t>30,426,000.00</w:t>
            </w:r>
          </w:p>
        </w:tc>
        <w:tc>
          <w:tcPr>
            <w:tcW w:w="1701" w:type="dxa"/>
            <w:vAlign w:val="center"/>
          </w:tcPr>
          <w:p w:rsidR="00637861" w:rsidRDefault="00762792">
            <w:pPr>
              <w:jc w:val="right"/>
            </w:pPr>
            <w:r>
              <w:rPr>
                <w:color w:val="000000"/>
                <w:sz w:val="24"/>
              </w:rPr>
              <w:t>8.59</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17816355"/>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4"/>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5" w:name="_Toc17816356"/>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5"/>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17816357"/>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6"/>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17816358"/>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7"/>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8" w:name="_Toc17816359"/>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8"/>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9" w:name="_Toc17816360"/>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9"/>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556.17</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12,424,781.04</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12,425,337.21</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4150EE" w:rsidRPr="001B7979" w:rsidRDefault="004150EE" w:rsidP="004150EE">
      <w:pPr>
        <w:spacing w:before="29" w:line="288" w:lineRule="auto"/>
        <w:jc w:val="left"/>
        <w:rPr>
          <w:kern w:val="0"/>
          <w:sz w:val="24"/>
        </w:rPr>
      </w:pPr>
      <w:r w:rsidRPr="001B7979">
        <w:rPr>
          <w:kern w:val="0"/>
          <w:sz w:val="24"/>
        </w:rPr>
        <w:t>本基金本报告期末未持有股票。</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17816361"/>
      <w:r w:rsidRPr="001B7979">
        <w:rPr>
          <w:b/>
          <w:bCs/>
          <w:szCs w:val="24"/>
          <w:lang w:val="en-US"/>
        </w:rPr>
        <w:t xml:space="preserve">§8  </w:t>
      </w:r>
      <w:r w:rsidRPr="001B7979">
        <w:rPr>
          <w:b/>
          <w:bCs/>
          <w:szCs w:val="24"/>
          <w:lang w:val="en-US"/>
        </w:rPr>
        <w:t>基金份额持有人信息</w:t>
      </w:r>
      <w:bookmarkEnd w:id="80"/>
      <w:bookmarkEnd w:id="81"/>
    </w:p>
    <w:p w:rsidR="001548F9" w:rsidRPr="001B7979" w:rsidRDefault="001548F9" w:rsidP="00571B8A">
      <w:pPr>
        <w:pStyle w:val="20"/>
        <w:spacing w:before="29" w:after="0" w:line="288" w:lineRule="auto"/>
        <w:rPr>
          <w:rFonts w:ascii="Times New Roman" w:hAnsi="Times New Roman"/>
          <w:kern w:val="0"/>
          <w:szCs w:val="24"/>
        </w:rPr>
      </w:pPr>
      <w:bookmarkStart w:id="82" w:name="_Toc225500051"/>
      <w:bookmarkStart w:id="83" w:name="_Toc17816362"/>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2"/>
      <w:bookmarkEnd w:id="83"/>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交银丰晟收益债券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3,398</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97,355.28</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330,813,244.80</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交银丰晟收益债券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40</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19,416.59</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776,663.43</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3,438</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96,448.49</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331,589,908.23</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100.00%</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4" w:name="_Toc17816363"/>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交银丰晟收益债券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19.76</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交银丰晟收益债券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19.76</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5" w:name="_Toc17816364"/>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5"/>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交银丰晟收益债券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交银丰晟收益债券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交银丰晟收益债券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交银丰晟收益债券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17816365"/>
      <w:r w:rsidRPr="001B7979">
        <w:rPr>
          <w:b/>
          <w:bCs/>
          <w:szCs w:val="24"/>
          <w:lang w:val="en-US"/>
        </w:rPr>
        <w:t>§9</w:t>
      </w:r>
      <w:r w:rsidRPr="001B7979">
        <w:rPr>
          <w:b/>
          <w:bCs/>
          <w:szCs w:val="24"/>
          <w:lang w:val="en-US"/>
        </w:rPr>
        <w:t>开放式基金份额变动</w:t>
      </w:r>
      <w:bookmarkEnd w:id="86"/>
      <w:bookmarkEnd w:id="87"/>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交银丰晟收益债券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交银丰晟收益债券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2018</w:t>
            </w:r>
            <w:r w:rsidRPr="001B7979">
              <w:rPr>
                <w:sz w:val="24"/>
              </w:rPr>
              <w:t>年</w:t>
            </w:r>
            <w:r w:rsidRPr="001B7979">
              <w:rPr>
                <w:sz w:val="24"/>
              </w:rPr>
              <w:t>5</w:t>
            </w:r>
            <w:r w:rsidRPr="001B7979">
              <w:rPr>
                <w:sz w:val="24"/>
              </w:rPr>
              <w:t>月</w:t>
            </w:r>
            <w:r w:rsidRPr="001B7979">
              <w:rPr>
                <w:sz w:val="24"/>
              </w:rPr>
              <w:t>23</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330,813,244.80</w:t>
            </w:r>
          </w:p>
        </w:tc>
        <w:tc>
          <w:tcPr>
            <w:tcW w:w="1615" w:type="pct"/>
            <w:vAlign w:val="center"/>
          </w:tcPr>
          <w:p w:rsidR="001548F9" w:rsidRPr="001B7979" w:rsidRDefault="001548F9" w:rsidP="00571B8A">
            <w:pPr>
              <w:spacing w:before="29" w:line="288" w:lineRule="auto"/>
              <w:jc w:val="right"/>
              <w:rPr>
                <w:sz w:val="24"/>
              </w:rPr>
            </w:pPr>
            <w:r w:rsidRPr="001B7979">
              <w:rPr>
                <w:sz w:val="24"/>
              </w:rPr>
              <w:t>776,663.43</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330,813,244.80</w:t>
            </w:r>
          </w:p>
        </w:tc>
        <w:tc>
          <w:tcPr>
            <w:tcW w:w="1615" w:type="pct"/>
            <w:vAlign w:val="center"/>
          </w:tcPr>
          <w:p w:rsidR="001548F9" w:rsidRPr="001B7979" w:rsidRDefault="001548F9" w:rsidP="00571B8A">
            <w:pPr>
              <w:spacing w:before="29" w:line="288" w:lineRule="auto"/>
              <w:jc w:val="right"/>
              <w:rPr>
                <w:sz w:val="24"/>
              </w:rPr>
            </w:pPr>
            <w:r w:rsidRPr="001B7979">
              <w:rPr>
                <w:sz w:val="24"/>
              </w:rPr>
              <w:t>776,663.43</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330,813,244.80</w:t>
            </w:r>
          </w:p>
        </w:tc>
        <w:tc>
          <w:tcPr>
            <w:tcW w:w="1615" w:type="pct"/>
            <w:vAlign w:val="center"/>
          </w:tcPr>
          <w:p w:rsidR="001548F9" w:rsidRPr="001B7979" w:rsidRDefault="001548F9" w:rsidP="00571B8A">
            <w:pPr>
              <w:spacing w:before="29" w:line="288" w:lineRule="auto"/>
              <w:jc w:val="right"/>
              <w:rPr>
                <w:sz w:val="24"/>
              </w:rPr>
            </w:pPr>
            <w:r w:rsidRPr="001B7979">
              <w:rPr>
                <w:sz w:val="24"/>
              </w:rPr>
              <w:t>776,663.43</w:t>
            </w:r>
          </w:p>
        </w:tc>
      </w:tr>
    </w:tbl>
    <w:p w:rsidR="00637861" w:rsidRDefault="00762792">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17816366"/>
      <w:r w:rsidRPr="001B7979">
        <w:rPr>
          <w:b/>
          <w:bCs/>
          <w:szCs w:val="24"/>
          <w:lang w:val="en-US"/>
        </w:rPr>
        <w:t xml:space="preserve">§10  </w:t>
      </w:r>
      <w:r w:rsidRPr="001B7979">
        <w:rPr>
          <w:b/>
          <w:bCs/>
          <w:szCs w:val="24"/>
          <w:lang w:val="en-US"/>
        </w:rPr>
        <w:t>重大事件揭示</w:t>
      </w:r>
      <w:bookmarkEnd w:id="88"/>
      <w:bookmarkEnd w:id="89"/>
    </w:p>
    <w:p w:rsidR="001548F9" w:rsidRPr="001B7979" w:rsidRDefault="001548F9" w:rsidP="00571B8A">
      <w:pPr>
        <w:pStyle w:val="20"/>
        <w:spacing w:before="29" w:after="0" w:line="288" w:lineRule="auto"/>
        <w:rPr>
          <w:rFonts w:ascii="Times New Roman" w:hAnsi="Times New Roman"/>
          <w:kern w:val="0"/>
          <w:szCs w:val="24"/>
        </w:rPr>
      </w:pPr>
      <w:bookmarkStart w:id="90" w:name="_Toc17816367"/>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17816368"/>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1"/>
    </w:p>
    <w:p w:rsidR="00637861" w:rsidRDefault="00762792">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17816369"/>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17816370"/>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szCs w:val="24"/>
        </w:rPr>
      </w:pPr>
      <w:bookmarkStart w:id="94" w:name="_Toc17816371"/>
      <w:r w:rsidRPr="001B7979">
        <w:rPr>
          <w:rFonts w:ascii="Times New Roman" w:eastAsiaTheme="minorEastAsia" w:hAnsi="Times New Roman"/>
          <w:szCs w:val="24"/>
        </w:rPr>
        <w:t>10.5</w:t>
      </w:r>
      <w:r w:rsidRPr="001B7979">
        <w:rPr>
          <w:rFonts w:ascii="Times New Roman" w:eastAsiaTheme="minorEastAsia" w:hAnsi="Times New Roman" w:hint="eastAsia"/>
          <w:szCs w:val="24"/>
        </w:rPr>
        <w:t>本报告期持有的基金发生的重大影响事件</w:t>
      </w:r>
      <w:bookmarkEnd w:id="94"/>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无。</w:t>
      </w:r>
    </w:p>
    <w:p w:rsidR="00BB7DC7" w:rsidRPr="001B7979" w:rsidRDefault="00BB7DC7" w:rsidP="00BB7DC7">
      <w:pPr>
        <w:pStyle w:val="20"/>
        <w:spacing w:before="0" w:after="0"/>
        <w:rPr>
          <w:rFonts w:ascii="Times New Roman" w:eastAsiaTheme="minorEastAsia" w:hAnsi="Times New Roman"/>
          <w:kern w:val="0"/>
          <w:szCs w:val="24"/>
        </w:rPr>
      </w:pPr>
      <w:bookmarkStart w:id="95" w:name="_Toc361324898"/>
      <w:bookmarkStart w:id="96" w:name="_Toc409100466"/>
      <w:bookmarkStart w:id="97" w:name="_Toc409100103"/>
      <w:bookmarkStart w:id="98" w:name="_Toc17816372"/>
      <w:r w:rsidRPr="001B7979">
        <w:rPr>
          <w:rFonts w:ascii="Times New Roman" w:eastAsiaTheme="minorEastAsia" w:hAnsi="Times New Roman"/>
          <w:kern w:val="0"/>
          <w:szCs w:val="24"/>
        </w:rPr>
        <w:t>10.</w:t>
      </w:r>
      <w:bookmarkEnd w:id="95"/>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6"/>
      <w:bookmarkEnd w:id="97"/>
      <w:bookmarkEnd w:id="98"/>
    </w:p>
    <w:p w:rsidR="00BB7DC7" w:rsidRPr="001B7979" w:rsidRDefault="00BB7DC7" w:rsidP="00BB7DC7">
      <w:pPr>
        <w:spacing w:line="360" w:lineRule="auto"/>
        <w:ind w:firstLineChars="200" w:firstLine="480"/>
        <w:rPr>
          <w:rFonts w:eastAsiaTheme="minorEastAsia"/>
          <w:sz w:val="24"/>
        </w:rPr>
      </w:pPr>
      <w:bookmarkStart w:id="99"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100" w:name="_Toc409100104"/>
      <w:bookmarkStart w:id="101" w:name="_Toc409100467"/>
      <w:bookmarkStart w:id="102" w:name="_Toc361324899"/>
      <w:bookmarkStart w:id="103" w:name="_Toc17816373"/>
      <w:bookmarkEnd w:id="99"/>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管理人、托管人及其高级管理人员受稽查或处罚等情况</w:t>
      </w:r>
      <w:bookmarkEnd w:id="100"/>
      <w:bookmarkEnd w:id="101"/>
      <w:bookmarkEnd w:id="102"/>
      <w:bookmarkEnd w:id="103"/>
    </w:p>
    <w:p w:rsidR="00637861" w:rsidRDefault="00762792">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637861" w:rsidRDefault="00762792">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637861" w:rsidRDefault="00762792">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4" w:name="_Toc361324900"/>
      <w:bookmarkStart w:id="105" w:name="_Toc409100468"/>
      <w:bookmarkStart w:id="106" w:name="_Toc409100105"/>
      <w:bookmarkStart w:id="107" w:name="_Toc17816374"/>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基金租用证券公司交易单元的有关情况</w:t>
      </w:r>
      <w:bookmarkEnd w:id="104"/>
      <w:bookmarkEnd w:id="105"/>
      <w:bookmarkEnd w:id="106"/>
      <w:bookmarkEnd w:id="107"/>
    </w:p>
    <w:p w:rsidR="00BB7DC7" w:rsidRPr="001B7979" w:rsidRDefault="00BB7DC7" w:rsidP="00BB7DC7">
      <w:pPr>
        <w:spacing w:line="360" w:lineRule="auto"/>
        <w:rPr>
          <w:rFonts w:eastAsiaTheme="minorEastAsia"/>
          <w:b/>
          <w:sz w:val="24"/>
        </w:rPr>
      </w:pPr>
      <w:bookmarkStart w:id="108"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8"/>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9"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637861">
        <w:tc>
          <w:tcPr>
            <w:tcW w:w="1560" w:type="dxa"/>
            <w:vAlign w:val="center"/>
          </w:tcPr>
          <w:p w:rsidR="00637861" w:rsidRDefault="00762792">
            <w:pPr>
              <w:jc w:val="left"/>
            </w:pPr>
            <w:r>
              <w:rPr>
                <w:rFonts w:eastAsiaTheme="minorEastAsia"/>
                <w:sz w:val="24"/>
              </w:rPr>
              <w:t>中信证券股份有限公司</w:t>
            </w:r>
          </w:p>
        </w:tc>
        <w:tc>
          <w:tcPr>
            <w:tcW w:w="780" w:type="dxa"/>
            <w:vAlign w:val="center"/>
          </w:tcPr>
          <w:p w:rsidR="00637861" w:rsidRDefault="00762792">
            <w:pPr>
              <w:jc w:val="right"/>
            </w:pPr>
            <w:r>
              <w:rPr>
                <w:rFonts w:eastAsiaTheme="minorEastAsia"/>
                <w:sz w:val="24"/>
              </w:rPr>
              <w:t>1</w:t>
            </w:r>
          </w:p>
        </w:tc>
        <w:tc>
          <w:tcPr>
            <w:tcW w:w="1800" w:type="dxa"/>
            <w:vAlign w:val="center"/>
          </w:tcPr>
          <w:p w:rsidR="00637861" w:rsidRDefault="00762792">
            <w:pPr>
              <w:jc w:val="right"/>
            </w:pPr>
            <w:r>
              <w:rPr>
                <w:rFonts w:eastAsiaTheme="minorEastAsia"/>
                <w:sz w:val="24"/>
              </w:rPr>
              <w:t>-</w:t>
            </w:r>
          </w:p>
        </w:tc>
        <w:tc>
          <w:tcPr>
            <w:tcW w:w="1080" w:type="dxa"/>
            <w:vAlign w:val="center"/>
          </w:tcPr>
          <w:p w:rsidR="00637861" w:rsidRDefault="00762792">
            <w:pPr>
              <w:jc w:val="right"/>
            </w:pPr>
            <w:r>
              <w:rPr>
                <w:rFonts w:eastAsiaTheme="minorEastAsia"/>
                <w:sz w:val="24"/>
              </w:rPr>
              <w:t>-</w:t>
            </w:r>
          </w:p>
        </w:tc>
        <w:tc>
          <w:tcPr>
            <w:tcW w:w="1620" w:type="dxa"/>
            <w:vAlign w:val="center"/>
          </w:tcPr>
          <w:p w:rsidR="00637861" w:rsidRDefault="00762792">
            <w:pPr>
              <w:jc w:val="right"/>
            </w:pPr>
            <w:r>
              <w:rPr>
                <w:rFonts w:eastAsiaTheme="minorEastAsia"/>
                <w:sz w:val="24"/>
              </w:rPr>
              <w:t>-</w:t>
            </w:r>
          </w:p>
        </w:tc>
        <w:tc>
          <w:tcPr>
            <w:tcW w:w="1080" w:type="dxa"/>
            <w:vAlign w:val="center"/>
          </w:tcPr>
          <w:p w:rsidR="00637861" w:rsidRDefault="00762792">
            <w:pPr>
              <w:jc w:val="right"/>
            </w:pPr>
            <w:r>
              <w:rPr>
                <w:rFonts w:eastAsiaTheme="minorEastAsia"/>
                <w:sz w:val="24"/>
              </w:rPr>
              <w:t>-</w:t>
            </w:r>
          </w:p>
        </w:tc>
        <w:tc>
          <w:tcPr>
            <w:tcW w:w="1080" w:type="dxa"/>
            <w:vAlign w:val="center"/>
          </w:tcPr>
          <w:p w:rsidR="00637861" w:rsidRDefault="00762792">
            <w:pPr>
              <w:jc w:val="left"/>
            </w:pPr>
            <w:r>
              <w:rPr>
                <w:rFonts w:eastAsiaTheme="minorEastAsia"/>
                <w:sz w:val="24"/>
              </w:rPr>
              <w:t>-</w:t>
            </w:r>
          </w:p>
        </w:tc>
      </w:tr>
      <w:tr w:rsidR="00637861">
        <w:tc>
          <w:tcPr>
            <w:tcW w:w="1560" w:type="dxa"/>
            <w:vAlign w:val="center"/>
          </w:tcPr>
          <w:p w:rsidR="00637861" w:rsidRDefault="00762792">
            <w:pPr>
              <w:jc w:val="left"/>
            </w:pPr>
            <w:r>
              <w:rPr>
                <w:rFonts w:eastAsiaTheme="minorEastAsia"/>
                <w:sz w:val="24"/>
              </w:rPr>
              <w:t>国盛证券有限责任公司</w:t>
            </w:r>
          </w:p>
        </w:tc>
        <w:tc>
          <w:tcPr>
            <w:tcW w:w="780" w:type="dxa"/>
            <w:vAlign w:val="center"/>
          </w:tcPr>
          <w:p w:rsidR="00637861" w:rsidRDefault="00762792">
            <w:pPr>
              <w:jc w:val="right"/>
            </w:pPr>
            <w:r>
              <w:rPr>
                <w:rFonts w:eastAsiaTheme="minorEastAsia"/>
                <w:sz w:val="24"/>
              </w:rPr>
              <w:t>1</w:t>
            </w:r>
          </w:p>
        </w:tc>
        <w:tc>
          <w:tcPr>
            <w:tcW w:w="1800" w:type="dxa"/>
            <w:vAlign w:val="center"/>
          </w:tcPr>
          <w:p w:rsidR="00637861" w:rsidRDefault="00762792">
            <w:pPr>
              <w:jc w:val="right"/>
            </w:pPr>
            <w:r>
              <w:rPr>
                <w:rFonts w:eastAsiaTheme="minorEastAsia"/>
                <w:sz w:val="24"/>
              </w:rPr>
              <w:t>-</w:t>
            </w:r>
          </w:p>
        </w:tc>
        <w:tc>
          <w:tcPr>
            <w:tcW w:w="1080" w:type="dxa"/>
            <w:vAlign w:val="center"/>
          </w:tcPr>
          <w:p w:rsidR="00637861" w:rsidRDefault="00762792">
            <w:pPr>
              <w:jc w:val="right"/>
            </w:pPr>
            <w:r>
              <w:rPr>
                <w:rFonts w:eastAsiaTheme="minorEastAsia"/>
                <w:sz w:val="24"/>
              </w:rPr>
              <w:t>-</w:t>
            </w:r>
          </w:p>
        </w:tc>
        <w:tc>
          <w:tcPr>
            <w:tcW w:w="1620" w:type="dxa"/>
            <w:vAlign w:val="center"/>
          </w:tcPr>
          <w:p w:rsidR="00637861" w:rsidRDefault="00762792">
            <w:pPr>
              <w:jc w:val="right"/>
            </w:pPr>
            <w:r>
              <w:rPr>
                <w:rFonts w:eastAsiaTheme="minorEastAsia"/>
                <w:sz w:val="24"/>
              </w:rPr>
              <w:t>-</w:t>
            </w:r>
          </w:p>
        </w:tc>
        <w:tc>
          <w:tcPr>
            <w:tcW w:w="1080" w:type="dxa"/>
            <w:vAlign w:val="center"/>
          </w:tcPr>
          <w:p w:rsidR="00637861" w:rsidRDefault="00762792">
            <w:pPr>
              <w:jc w:val="right"/>
            </w:pPr>
            <w:r>
              <w:rPr>
                <w:rFonts w:eastAsiaTheme="minorEastAsia"/>
                <w:sz w:val="24"/>
              </w:rPr>
              <w:t>-</w:t>
            </w:r>
          </w:p>
        </w:tc>
        <w:tc>
          <w:tcPr>
            <w:tcW w:w="1080" w:type="dxa"/>
            <w:vAlign w:val="center"/>
          </w:tcPr>
          <w:p w:rsidR="00637861" w:rsidRDefault="00762792">
            <w:pPr>
              <w:jc w:val="left"/>
            </w:pPr>
            <w:r>
              <w:rPr>
                <w:rFonts w:eastAsiaTheme="minorEastAsia"/>
                <w:sz w:val="24"/>
              </w:rPr>
              <w:t>-</w:t>
            </w:r>
          </w:p>
        </w:tc>
      </w:tr>
      <w:tr w:rsidR="00637861">
        <w:tc>
          <w:tcPr>
            <w:tcW w:w="1560" w:type="dxa"/>
            <w:vAlign w:val="center"/>
          </w:tcPr>
          <w:p w:rsidR="00637861" w:rsidRDefault="00762792">
            <w:pPr>
              <w:jc w:val="left"/>
            </w:pPr>
            <w:r>
              <w:rPr>
                <w:rFonts w:eastAsiaTheme="minorEastAsia"/>
                <w:sz w:val="24"/>
              </w:rPr>
              <w:t>海通证券股份有限公司</w:t>
            </w:r>
          </w:p>
        </w:tc>
        <w:tc>
          <w:tcPr>
            <w:tcW w:w="780" w:type="dxa"/>
            <w:vAlign w:val="center"/>
          </w:tcPr>
          <w:p w:rsidR="00637861" w:rsidRDefault="00762792">
            <w:pPr>
              <w:jc w:val="right"/>
            </w:pPr>
            <w:r>
              <w:rPr>
                <w:rFonts w:eastAsiaTheme="minorEastAsia"/>
                <w:sz w:val="24"/>
              </w:rPr>
              <w:t>1</w:t>
            </w:r>
          </w:p>
        </w:tc>
        <w:tc>
          <w:tcPr>
            <w:tcW w:w="1800" w:type="dxa"/>
            <w:vAlign w:val="center"/>
          </w:tcPr>
          <w:p w:rsidR="00637861" w:rsidRDefault="00762792">
            <w:pPr>
              <w:jc w:val="right"/>
            </w:pPr>
            <w:r>
              <w:rPr>
                <w:rFonts w:eastAsiaTheme="minorEastAsia"/>
                <w:sz w:val="24"/>
              </w:rPr>
              <w:t>-</w:t>
            </w:r>
          </w:p>
        </w:tc>
        <w:tc>
          <w:tcPr>
            <w:tcW w:w="1080" w:type="dxa"/>
            <w:vAlign w:val="center"/>
          </w:tcPr>
          <w:p w:rsidR="00637861" w:rsidRDefault="00762792">
            <w:pPr>
              <w:jc w:val="right"/>
            </w:pPr>
            <w:r>
              <w:rPr>
                <w:rFonts w:eastAsiaTheme="minorEastAsia"/>
                <w:sz w:val="24"/>
              </w:rPr>
              <w:t>-</w:t>
            </w:r>
          </w:p>
        </w:tc>
        <w:tc>
          <w:tcPr>
            <w:tcW w:w="1620" w:type="dxa"/>
            <w:vAlign w:val="center"/>
          </w:tcPr>
          <w:p w:rsidR="00637861" w:rsidRDefault="00762792">
            <w:pPr>
              <w:jc w:val="right"/>
            </w:pPr>
            <w:r>
              <w:rPr>
                <w:rFonts w:eastAsiaTheme="minorEastAsia"/>
                <w:sz w:val="24"/>
              </w:rPr>
              <w:t>-</w:t>
            </w:r>
          </w:p>
        </w:tc>
        <w:tc>
          <w:tcPr>
            <w:tcW w:w="1080" w:type="dxa"/>
            <w:vAlign w:val="center"/>
          </w:tcPr>
          <w:p w:rsidR="00637861" w:rsidRDefault="00762792">
            <w:pPr>
              <w:jc w:val="right"/>
            </w:pPr>
            <w:r>
              <w:rPr>
                <w:rFonts w:eastAsiaTheme="minorEastAsia"/>
                <w:sz w:val="24"/>
              </w:rPr>
              <w:t>-</w:t>
            </w:r>
          </w:p>
        </w:tc>
        <w:tc>
          <w:tcPr>
            <w:tcW w:w="1080" w:type="dxa"/>
            <w:vAlign w:val="center"/>
          </w:tcPr>
          <w:p w:rsidR="00637861" w:rsidRDefault="00762792">
            <w:pPr>
              <w:jc w:val="left"/>
            </w:pPr>
            <w:r>
              <w:rPr>
                <w:rFonts w:eastAsiaTheme="minorEastAsia"/>
                <w:sz w:val="24"/>
              </w:rPr>
              <w:t>-</w:t>
            </w:r>
          </w:p>
        </w:tc>
      </w:tr>
      <w:tr w:rsidR="00637861">
        <w:tc>
          <w:tcPr>
            <w:tcW w:w="1560" w:type="dxa"/>
            <w:vAlign w:val="center"/>
          </w:tcPr>
          <w:p w:rsidR="00637861" w:rsidRDefault="00762792">
            <w:pPr>
              <w:jc w:val="left"/>
            </w:pPr>
            <w:r>
              <w:rPr>
                <w:rFonts w:eastAsiaTheme="minorEastAsia"/>
                <w:sz w:val="24"/>
              </w:rPr>
              <w:t>太平洋证券股份有限公司</w:t>
            </w:r>
          </w:p>
        </w:tc>
        <w:tc>
          <w:tcPr>
            <w:tcW w:w="780" w:type="dxa"/>
            <w:vAlign w:val="center"/>
          </w:tcPr>
          <w:p w:rsidR="00637861" w:rsidRDefault="00762792">
            <w:pPr>
              <w:jc w:val="right"/>
            </w:pPr>
            <w:r>
              <w:rPr>
                <w:rFonts w:eastAsiaTheme="minorEastAsia"/>
                <w:sz w:val="24"/>
              </w:rPr>
              <w:t>1</w:t>
            </w:r>
          </w:p>
        </w:tc>
        <w:tc>
          <w:tcPr>
            <w:tcW w:w="1800" w:type="dxa"/>
            <w:vAlign w:val="center"/>
          </w:tcPr>
          <w:p w:rsidR="00637861" w:rsidRDefault="00762792">
            <w:pPr>
              <w:jc w:val="right"/>
            </w:pPr>
            <w:r>
              <w:rPr>
                <w:rFonts w:eastAsiaTheme="minorEastAsia"/>
                <w:sz w:val="24"/>
              </w:rPr>
              <w:t>-</w:t>
            </w:r>
          </w:p>
        </w:tc>
        <w:tc>
          <w:tcPr>
            <w:tcW w:w="1080" w:type="dxa"/>
            <w:vAlign w:val="center"/>
          </w:tcPr>
          <w:p w:rsidR="00637861" w:rsidRDefault="00762792">
            <w:pPr>
              <w:jc w:val="right"/>
            </w:pPr>
            <w:r>
              <w:rPr>
                <w:rFonts w:eastAsiaTheme="minorEastAsia"/>
                <w:sz w:val="24"/>
              </w:rPr>
              <w:t>-</w:t>
            </w:r>
          </w:p>
        </w:tc>
        <w:tc>
          <w:tcPr>
            <w:tcW w:w="1620" w:type="dxa"/>
            <w:vAlign w:val="center"/>
          </w:tcPr>
          <w:p w:rsidR="00637861" w:rsidRDefault="00762792">
            <w:pPr>
              <w:jc w:val="right"/>
            </w:pPr>
            <w:r>
              <w:rPr>
                <w:rFonts w:eastAsiaTheme="minorEastAsia"/>
                <w:sz w:val="24"/>
              </w:rPr>
              <w:t>-</w:t>
            </w:r>
          </w:p>
        </w:tc>
        <w:tc>
          <w:tcPr>
            <w:tcW w:w="1080" w:type="dxa"/>
            <w:vAlign w:val="center"/>
          </w:tcPr>
          <w:p w:rsidR="00637861" w:rsidRDefault="00762792">
            <w:pPr>
              <w:jc w:val="right"/>
            </w:pPr>
            <w:r>
              <w:rPr>
                <w:rFonts w:eastAsiaTheme="minorEastAsia"/>
                <w:sz w:val="24"/>
              </w:rPr>
              <w:t>-</w:t>
            </w:r>
          </w:p>
        </w:tc>
        <w:tc>
          <w:tcPr>
            <w:tcW w:w="1080" w:type="dxa"/>
            <w:vAlign w:val="center"/>
          </w:tcPr>
          <w:p w:rsidR="00637861" w:rsidRDefault="00762792">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09"/>
    </w:p>
    <w:p w:rsidR="00BB7DC7" w:rsidRPr="001B7979" w:rsidRDefault="00BB7DC7" w:rsidP="00BB7DC7">
      <w:pPr>
        <w:spacing w:line="360" w:lineRule="auto"/>
        <w:ind w:firstLine="420"/>
        <w:jc w:val="right"/>
        <w:rPr>
          <w:rFonts w:eastAsiaTheme="minorEastAsia"/>
          <w:sz w:val="24"/>
        </w:rPr>
      </w:pPr>
      <w:bookmarkStart w:id="110"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637861">
        <w:tc>
          <w:tcPr>
            <w:tcW w:w="1560" w:type="dxa"/>
            <w:vAlign w:val="center"/>
          </w:tcPr>
          <w:p w:rsidR="00637861" w:rsidRDefault="00762792">
            <w:pPr>
              <w:jc w:val="center"/>
            </w:pPr>
            <w:r>
              <w:rPr>
                <w:rFonts w:eastAsiaTheme="minorEastAsia"/>
                <w:sz w:val="24"/>
              </w:rPr>
              <w:t>中信证券股份有限公司</w:t>
            </w:r>
          </w:p>
        </w:tc>
        <w:tc>
          <w:tcPr>
            <w:tcW w:w="1320" w:type="dxa"/>
            <w:vAlign w:val="center"/>
          </w:tcPr>
          <w:p w:rsidR="00637861" w:rsidRDefault="00762792">
            <w:pPr>
              <w:jc w:val="right"/>
            </w:pPr>
            <w:r>
              <w:rPr>
                <w:rFonts w:eastAsiaTheme="minorEastAsia"/>
                <w:sz w:val="24"/>
              </w:rPr>
              <w:t>3,057,172.05</w:t>
            </w:r>
          </w:p>
        </w:tc>
        <w:tc>
          <w:tcPr>
            <w:tcW w:w="1080" w:type="dxa"/>
            <w:vAlign w:val="center"/>
          </w:tcPr>
          <w:p w:rsidR="00637861" w:rsidRDefault="00762792">
            <w:pPr>
              <w:jc w:val="right"/>
            </w:pPr>
            <w:r>
              <w:rPr>
                <w:rFonts w:eastAsiaTheme="minorEastAsia"/>
                <w:sz w:val="24"/>
              </w:rPr>
              <w:t>100.00%</w:t>
            </w:r>
          </w:p>
        </w:tc>
        <w:tc>
          <w:tcPr>
            <w:tcW w:w="1143" w:type="dxa"/>
            <w:vAlign w:val="center"/>
          </w:tcPr>
          <w:p w:rsidR="00637861" w:rsidRDefault="00762792">
            <w:pPr>
              <w:jc w:val="right"/>
            </w:pPr>
            <w:r>
              <w:rPr>
                <w:rFonts w:eastAsiaTheme="minorEastAsia"/>
                <w:sz w:val="24"/>
              </w:rPr>
              <w:t>22,380,800,000.00</w:t>
            </w:r>
          </w:p>
        </w:tc>
        <w:tc>
          <w:tcPr>
            <w:tcW w:w="1197" w:type="dxa"/>
            <w:vAlign w:val="center"/>
          </w:tcPr>
          <w:p w:rsidR="00637861" w:rsidRDefault="00762792">
            <w:pPr>
              <w:jc w:val="right"/>
            </w:pPr>
            <w:r>
              <w:rPr>
                <w:rFonts w:eastAsiaTheme="minorEastAsia"/>
                <w:sz w:val="24"/>
              </w:rPr>
              <w:t>100.00%</w:t>
            </w:r>
          </w:p>
        </w:tc>
        <w:tc>
          <w:tcPr>
            <w:tcW w:w="1497" w:type="dxa"/>
            <w:vAlign w:val="center"/>
          </w:tcPr>
          <w:p w:rsidR="00637861" w:rsidRDefault="00762792">
            <w:pPr>
              <w:jc w:val="right"/>
            </w:pPr>
            <w:r>
              <w:rPr>
                <w:rFonts w:eastAsiaTheme="minorEastAsia"/>
                <w:sz w:val="24"/>
              </w:rPr>
              <w:t>-</w:t>
            </w:r>
          </w:p>
        </w:tc>
        <w:tc>
          <w:tcPr>
            <w:tcW w:w="1203" w:type="dxa"/>
            <w:vAlign w:val="center"/>
          </w:tcPr>
          <w:p w:rsidR="00637861" w:rsidRDefault="00762792">
            <w:pPr>
              <w:jc w:val="right"/>
            </w:pPr>
            <w:r>
              <w:rPr>
                <w:rFonts w:eastAsiaTheme="minorEastAsia"/>
                <w:sz w:val="24"/>
              </w:rPr>
              <w:t>-</w:t>
            </w:r>
          </w:p>
        </w:tc>
      </w:tr>
    </w:tbl>
    <w:p w:rsidR="00BB7DC7" w:rsidRPr="001B7979" w:rsidRDefault="00BB7DC7" w:rsidP="00BB7DC7">
      <w:pPr>
        <w:autoSpaceDE w:val="0"/>
        <w:autoSpaceDN w:val="0"/>
        <w:adjustRightInd w:val="0"/>
        <w:spacing w:line="360" w:lineRule="auto"/>
        <w:jc w:val="left"/>
        <w:rPr>
          <w:rFonts w:eastAsiaTheme="minorEastAsia"/>
          <w:sz w:val="24"/>
        </w:rPr>
      </w:pPr>
    </w:p>
    <w:p w:rsidR="00637861" w:rsidRDefault="00762792">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w:t>
      </w:r>
      <w:r>
        <w:rPr>
          <w:rFonts w:eastAsiaTheme="minorEastAsia"/>
          <w:sz w:val="24"/>
        </w:rPr>
        <w:t>太平洋证券股份有限公司</w:t>
      </w:r>
      <w:r>
        <w:rPr>
          <w:rFonts w:eastAsiaTheme="minorEastAsia"/>
          <w:color w:val="000000" w:themeColor="text1"/>
          <w:sz w:val="24"/>
        </w:rPr>
        <w:t>，其它交易单元未发生变化；</w:t>
      </w:r>
    </w:p>
    <w:p w:rsidR="00637861" w:rsidRDefault="00762792">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1" w:name="_Toc17816375"/>
      <w:r w:rsidRPr="001B7979">
        <w:rPr>
          <w:rFonts w:ascii="Times New Roman" w:hAnsi="Times New Roman"/>
          <w:szCs w:val="24"/>
        </w:rPr>
        <w:t xml:space="preserve">10.9 </w:t>
      </w:r>
      <w:r w:rsidRPr="001B7979">
        <w:rPr>
          <w:rFonts w:ascii="Times New Roman" w:hAnsi="Times New Roman"/>
          <w:kern w:val="0"/>
          <w:szCs w:val="24"/>
        </w:rPr>
        <w:t>其他重大事件</w:t>
      </w:r>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637861">
        <w:tc>
          <w:tcPr>
            <w:tcW w:w="720" w:type="dxa"/>
            <w:vAlign w:val="center"/>
          </w:tcPr>
          <w:p w:rsidR="00637861" w:rsidRDefault="00762792">
            <w:pPr>
              <w:jc w:val="center"/>
            </w:pPr>
            <w:r>
              <w:rPr>
                <w:color w:val="000000"/>
                <w:sz w:val="24"/>
              </w:rPr>
              <w:t>1</w:t>
            </w:r>
          </w:p>
        </w:tc>
        <w:tc>
          <w:tcPr>
            <w:tcW w:w="4319" w:type="dxa"/>
            <w:vAlign w:val="center"/>
          </w:tcPr>
          <w:p w:rsidR="00637861" w:rsidRDefault="00762792">
            <w:r>
              <w:rPr>
                <w:color w:val="000000"/>
                <w:sz w:val="24"/>
              </w:rPr>
              <w:t>交银施罗德丰晟收益债券型证券投资基金（更新）招募说明书摘要（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519" w:type="dxa"/>
            <w:vAlign w:val="center"/>
          </w:tcPr>
          <w:p w:rsidR="00637861" w:rsidRDefault="00762792">
            <w:r>
              <w:rPr>
                <w:color w:val="000000"/>
                <w:sz w:val="24"/>
              </w:rPr>
              <w:t>中国证券报、上海证券报、证券时报</w:t>
            </w:r>
          </w:p>
        </w:tc>
        <w:tc>
          <w:tcPr>
            <w:tcW w:w="1440" w:type="dxa"/>
            <w:vAlign w:val="center"/>
          </w:tcPr>
          <w:p w:rsidR="00637861" w:rsidRDefault="00762792">
            <w:pPr>
              <w:jc w:val="center"/>
            </w:pPr>
            <w:r>
              <w:rPr>
                <w:color w:val="000000"/>
                <w:sz w:val="24"/>
              </w:rPr>
              <w:t>2019-01-07</w:t>
            </w:r>
          </w:p>
        </w:tc>
      </w:tr>
      <w:tr w:rsidR="00637861">
        <w:tc>
          <w:tcPr>
            <w:tcW w:w="720" w:type="dxa"/>
            <w:vAlign w:val="center"/>
          </w:tcPr>
          <w:p w:rsidR="00637861" w:rsidRDefault="00762792">
            <w:pPr>
              <w:jc w:val="center"/>
            </w:pPr>
            <w:r>
              <w:rPr>
                <w:color w:val="000000"/>
                <w:sz w:val="24"/>
              </w:rPr>
              <w:t>2</w:t>
            </w:r>
          </w:p>
        </w:tc>
        <w:tc>
          <w:tcPr>
            <w:tcW w:w="4319" w:type="dxa"/>
            <w:vAlign w:val="center"/>
          </w:tcPr>
          <w:p w:rsidR="00637861" w:rsidRDefault="00762792">
            <w:r>
              <w:rPr>
                <w:color w:val="000000"/>
                <w:sz w:val="24"/>
              </w:rPr>
              <w:t>交银施罗德基金管理有限公司关于交银施罗德丰晟收益债券型证券投资基金分红的公告</w:t>
            </w:r>
          </w:p>
        </w:tc>
        <w:tc>
          <w:tcPr>
            <w:tcW w:w="2519" w:type="dxa"/>
            <w:vAlign w:val="center"/>
          </w:tcPr>
          <w:p w:rsidR="00637861" w:rsidRDefault="00762792">
            <w:r>
              <w:rPr>
                <w:color w:val="000000"/>
                <w:sz w:val="24"/>
              </w:rPr>
              <w:t>中国证券报、上海证券报、证券时报</w:t>
            </w:r>
          </w:p>
        </w:tc>
        <w:tc>
          <w:tcPr>
            <w:tcW w:w="1440" w:type="dxa"/>
            <w:vAlign w:val="center"/>
          </w:tcPr>
          <w:p w:rsidR="00637861" w:rsidRDefault="00762792">
            <w:pPr>
              <w:jc w:val="center"/>
            </w:pPr>
            <w:r>
              <w:rPr>
                <w:color w:val="000000"/>
                <w:sz w:val="24"/>
              </w:rPr>
              <w:t>2019-01-10</w:t>
            </w:r>
          </w:p>
        </w:tc>
      </w:tr>
      <w:tr w:rsidR="00637861">
        <w:tc>
          <w:tcPr>
            <w:tcW w:w="720" w:type="dxa"/>
            <w:vAlign w:val="center"/>
          </w:tcPr>
          <w:p w:rsidR="00637861" w:rsidRDefault="00762792">
            <w:pPr>
              <w:jc w:val="center"/>
            </w:pPr>
            <w:r>
              <w:rPr>
                <w:color w:val="000000"/>
                <w:sz w:val="24"/>
              </w:rPr>
              <w:t>3</w:t>
            </w:r>
          </w:p>
        </w:tc>
        <w:tc>
          <w:tcPr>
            <w:tcW w:w="4319" w:type="dxa"/>
            <w:vAlign w:val="center"/>
          </w:tcPr>
          <w:p w:rsidR="00637861" w:rsidRDefault="00762792">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637861" w:rsidRDefault="00762792">
            <w:r>
              <w:rPr>
                <w:color w:val="000000"/>
                <w:sz w:val="24"/>
              </w:rPr>
              <w:t>中国证券报、上海证券报、证券时报</w:t>
            </w:r>
          </w:p>
        </w:tc>
        <w:tc>
          <w:tcPr>
            <w:tcW w:w="1440" w:type="dxa"/>
            <w:vAlign w:val="center"/>
          </w:tcPr>
          <w:p w:rsidR="00637861" w:rsidRDefault="00762792">
            <w:pPr>
              <w:jc w:val="center"/>
            </w:pPr>
            <w:r>
              <w:rPr>
                <w:color w:val="000000"/>
                <w:sz w:val="24"/>
              </w:rPr>
              <w:t>2019-01-15</w:t>
            </w:r>
          </w:p>
        </w:tc>
      </w:tr>
      <w:tr w:rsidR="00637861">
        <w:tc>
          <w:tcPr>
            <w:tcW w:w="720" w:type="dxa"/>
            <w:vAlign w:val="center"/>
          </w:tcPr>
          <w:p w:rsidR="00637861" w:rsidRDefault="00762792">
            <w:pPr>
              <w:jc w:val="center"/>
            </w:pPr>
            <w:r>
              <w:rPr>
                <w:color w:val="000000"/>
                <w:sz w:val="24"/>
              </w:rPr>
              <w:t>4</w:t>
            </w:r>
          </w:p>
        </w:tc>
        <w:tc>
          <w:tcPr>
            <w:tcW w:w="4319" w:type="dxa"/>
            <w:vAlign w:val="center"/>
          </w:tcPr>
          <w:p w:rsidR="00637861" w:rsidRDefault="00762792">
            <w:r>
              <w:rPr>
                <w:color w:val="000000"/>
                <w:sz w:val="24"/>
              </w:rPr>
              <w:t>交银施罗德丰晟收益债券型证券投资基金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637861" w:rsidRDefault="00762792">
            <w:r>
              <w:rPr>
                <w:color w:val="000000"/>
                <w:sz w:val="24"/>
              </w:rPr>
              <w:t>中国证券报</w:t>
            </w:r>
          </w:p>
        </w:tc>
        <w:tc>
          <w:tcPr>
            <w:tcW w:w="1440" w:type="dxa"/>
            <w:vAlign w:val="center"/>
          </w:tcPr>
          <w:p w:rsidR="00637861" w:rsidRDefault="00762792">
            <w:pPr>
              <w:jc w:val="center"/>
            </w:pPr>
            <w:r>
              <w:rPr>
                <w:color w:val="000000"/>
                <w:sz w:val="24"/>
              </w:rPr>
              <w:t>2019-01-21</w:t>
            </w:r>
          </w:p>
        </w:tc>
      </w:tr>
      <w:tr w:rsidR="00637861">
        <w:tc>
          <w:tcPr>
            <w:tcW w:w="720" w:type="dxa"/>
            <w:vAlign w:val="center"/>
          </w:tcPr>
          <w:p w:rsidR="00637861" w:rsidRDefault="00762792">
            <w:pPr>
              <w:jc w:val="center"/>
            </w:pPr>
            <w:r>
              <w:rPr>
                <w:color w:val="000000"/>
                <w:sz w:val="24"/>
              </w:rPr>
              <w:t>5</w:t>
            </w:r>
          </w:p>
        </w:tc>
        <w:tc>
          <w:tcPr>
            <w:tcW w:w="4319" w:type="dxa"/>
            <w:vAlign w:val="center"/>
          </w:tcPr>
          <w:p w:rsidR="00637861" w:rsidRDefault="00762792">
            <w:r>
              <w:rPr>
                <w:color w:val="000000"/>
                <w:sz w:val="24"/>
              </w:rPr>
              <w:t>交银施罗德基金管理有限公司关于开展网上直销交易平台交易费率优惠活动的公告</w:t>
            </w:r>
          </w:p>
        </w:tc>
        <w:tc>
          <w:tcPr>
            <w:tcW w:w="2519" w:type="dxa"/>
            <w:vAlign w:val="center"/>
          </w:tcPr>
          <w:p w:rsidR="00637861" w:rsidRDefault="00762792">
            <w:r>
              <w:rPr>
                <w:color w:val="000000"/>
                <w:sz w:val="24"/>
              </w:rPr>
              <w:t>中国证券报、上海证券报、证券时报</w:t>
            </w:r>
          </w:p>
        </w:tc>
        <w:tc>
          <w:tcPr>
            <w:tcW w:w="1440" w:type="dxa"/>
            <w:vAlign w:val="center"/>
          </w:tcPr>
          <w:p w:rsidR="00637861" w:rsidRDefault="00762792">
            <w:pPr>
              <w:jc w:val="center"/>
            </w:pPr>
            <w:r>
              <w:rPr>
                <w:color w:val="000000"/>
                <w:sz w:val="24"/>
              </w:rPr>
              <w:t>2019-01-28</w:t>
            </w:r>
          </w:p>
        </w:tc>
      </w:tr>
      <w:tr w:rsidR="00637861">
        <w:tc>
          <w:tcPr>
            <w:tcW w:w="720" w:type="dxa"/>
            <w:vAlign w:val="center"/>
          </w:tcPr>
          <w:p w:rsidR="00637861" w:rsidRDefault="00762792">
            <w:pPr>
              <w:jc w:val="center"/>
            </w:pPr>
            <w:r>
              <w:rPr>
                <w:color w:val="000000"/>
                <w:sz w:val="24"/>
              </w:rPr>
              <w:t>6</w:t>
            </w:r>
          </w:p>
        </w:tc>
        <w:tc>
          <w:tcPr>
            <w:tcW w:w="4319" w:type="dxa"/>
            <w:vAlign w:val="center"/>
          </w:tcPr>
          <w:p w:rsidR="00637861" w:rsidRDefault="00762792">
            <w:r>
              <w:rPr>
                <w:color w:val="000000"/>
                <w:sz w:val="24"/>
              </w:rPr>
              <w:t>交银施罗德基金管理有限公司关于暂停大泰金石基金销售有限公司办理相关销售业务的公告</w:t>
            </w:r>
          </w:p>
        </w:tc>
        <w:tc>
          <w:tcPr>
            <w:tcW w:w="2519" w:type="dxa"/>
            <w:vAlign w:val="center"/>
          </w:tcPr>
          <w:p w:rsidR="00637861" w:rsidRDefault="00762792">
            <w:r>
              <w:rPr>
                <w:color w:val="000000"/>
                <w:sz w:val="24"/>
              </w:rPr>
              <w:t>中国证券报、上海证券报、证券时报</w:t>
            </w:r>
          </w:p>
        </w:tc>
        <w:tc>
          <w:tcPr>
            <w:tcW w:w="1440" w:type="dxa"/>
            <w:vAlign w:val="center"/>
          </w:tcPr>
          <w:p w:rsidR="00637861" w:rsidRDefault="00762792">
            <w:pPr>
              <w:jc w:val="center"/>
            </w:pPr>
            <w:r>
              <w:rPr>
                <w:color w:val="000000"/>
                <w:sz w:val="24"/>
              </w:rPr>
              <w:t>2019-01-29</w:t>
            </w:r>
          </w:p>
        </w:tc>
      </w:tr>
      <w:tr w:rsidR="00637861">
        <w:tc>
          <w:tcPr>
            <w:tcW w:w="720" w:type="dxa"/>
            <w:vAlign w:val="center"/>
          </w:tcPr>
          <w:p w:rsidR="00637861" w:rsidRDefault="00762792">
            <w:pPr>
              <w:jc w:val="center"/>
            </w:pPr>
            <w:r>
              <w:rPr>
                <w:color w:val="000000"/>
                <w:sz w:val="24"/>
              </w:rPr>
              <w:t>7</w:t>
            </w:r>
          </w:p>
        </w:tc>
        <w:tc>
          <w:tcPr>
            <w:tcW w:w="4319" w:type="dxa"/>
            <w:vAlign w:val="center"/>
          </w:tcPr>
          <w:p w:rsidR="00637861" w:rsidRDefault="00762792">
            <w:r>
              <w:rPr>
                <w:color w:val="000000"/>
                <w:sz w:val="24"/>
              </w:rPr>
              <w:t>交银施罗德基金管理有限公司关于总经理变更的公告</w:t>
            </w:r>
          </w:p>
        </w:tc>
        <w:tc>
          <w:tcPr>
            <w:tcW w:w="2519" w:type="dxa"/>
            <w:vAlign w:val="center"/>
          </w:tcPr>
          <w:p w:rsidR="00637861" w:rsidRDefault="00762792">
            <w:r>
              <w:rPr>
                <w:color w:val="000000"/>
                <w:sz w:val="24"/>
              </w:rPr>
              <w:t>中国证券报、上海证券报、证券时报</w:t>
            </w:r>
          </w:p>
        </w:tc>
        <w:tc>
          <w:tcPr>
            <w:tcW w:w="1440" w:type="dxa"/>
            <w:vAlign w:val="center"/>
          </w:tcPr>
          <w:p w:rsidR="00637861" w:rsidRDefault="00762792">
            <w:pPr>
              <w:jc w:val="center"/>
            </w:pPr>
            <w:r>
              <w:rPr>
                <w:color w:val="000000"/>
                <w:sz w:val="24"/>
              </w:rPr>
              <w:t>2019-02-28</w:t>
            </w:r>
          </w:p>
        </w:tc>
      </w:tr>
      <w:tr w:rsidR="00637861">
        <w:tc>
          <w:tcPr>
            <w:tcW w:w="720" w:type="dxa"/>
            <w:vAlign w:val="center"/>
          </w:tcPr>
          <w:p w:rsidR="00637861" w:rsidRDefault="00762792">
            <w:pPr>
              <w:jc w:val="center"/>
            </w:pPr>
            <w:r>
              <w:rPr>
                <w:color w:val="000000"/>
                <w:sz w:val="24"/>
              </w:rPr>
              <w:t>8</w:t>
            </w:r>
          </w:p>
        </w:tc>
        <w:tc>
          <w:tcPr>
            <w:tcW w:w="4319" w:type="dxa"/>
            <w:vAlign w:val="center"/>
          </w:tcPr>
          <w:p w:rsidR="00637861" w:rsidRDefault="00762792">
            <w:r>
              <w:rPr>
                <w:color w:val="000000"/>
                <w:sz w:val="24"/>
              </w:rPr>
              <w:t>交银施罗德基金管理有限公司关于暂停苏州财路基金销售有限公司办理相关销售业务的公告</w:t>
            </w:r>
          </w:p>
        </w:tc>
        <w:tc>
          <w:tcPr>
            <w:tcW w:w="2519" w:type="dxa"/>
            <w:vAlign w:val="center"/>
          </w:tcPr>
          <w:p w:rsidR="00637861" w:rsidRDefault="00762792">
            <w:r>
              <w:rPr>
                <w:color w:val="000000"/>
                <w:sz w:val="24"/>
              </w:rPr>
              <w:t>中国证券报、上海证券报、证券时报</w:t>
            </w:r>
          </w:p>
        </w:tc>
        <w:tc>
          <w:tcPr>
            <w:tcW w:w="1440" w:type="dxa"/>
            <w:vAlign w:val="center"/>
          </w:tcPr>
          <w:p w:rsidR="00637861" w:rsidRDefault="00762792">
            <w:pPr>
              <w:jc w:val="center"/>
            </w:pPr>
            <w:r>
              <w:rPr>
                <w:color w:val="000000"/>
                <w:sz w:val="24"/>
              </w:rPr>
              <w:t>2019-03-07</w:t>
            </w:r>
          </w:p>
        </w:tc>
      </w:tr>
      <w:tr w:rsidR="00637861">
        <w:tc>
          <w:tcPr>
            <w:tcW w:w="720" w:type="dxa"/>
            <w:vAlign w:val="center"/>
          </w:tcPr>
          <w:p w:rsidR="00637861" w:rsidRDefault="00762792">
            <w:pPr>
              <w:jc w:val="center"/>
            </w:pPr>
            <w:r>
              <w:rPr>
                <w:color w:val="000000"/>
                <w:sz w:val="24"/>
              </w:rPr>
              <w:t>9</w:t>
            </w:r>
          </w:p>
        </w:tc>
        <w:tc>
          <w:tcPr>
            <w:tcW w:w="4319" w:type="dxa"/>
            <w:vAlign w:val="center"/>
          </w:tcPr>
          <w:p w:rsidR="00637861" w:rsidRDefault="00762792">
            <w:r>
              <w:rPr>
                <w:color w:val="000000"/>
                <w:sz w:val="24"/>
              </w:rPr>
              <w:t>交银施罗德丰晟收益债券型证券投资基金</w:t>
            </w:r>
            <w:r>
              <w:rPr>
                <w:color w:val="000000"/>
                <w:sz w:val="24"/>
              </w:rPr>
              <w:t>2018</w:t>
            </w:r>
            <w:r>
              <w:rPr>
                <w:color w:val="000000"/>
                <w:sz w:val="24"/>
              </w:rPr>
              <w:t>年年度报告摘要</w:t>
            </w:r>
          </w:p>
        </w:tc>
        <w:tc>
          <w:tcPr>
            <w:tcW w:w="2519" w:type="dxa"/>
            <w:vAlign w:val="center"/>
          </w:tcPr>
          <w:p w:rsidR="00637861" w:rsidRDefault="00762792">
            <w:r>
              <w:rPr>
                <w:color w:val="000000"/>
                <w:sz w:val="24"/>
              </w:rPr>
              <w:t>中国证券报</w:t>
            </w:r>
          </w:p>
        </w:tc>
        <w:tc>
          <w:tcPr>
            <w:tcW w:w="1440" w:type="dxa"/>
            <w:vAlign w:val="center"/>
          </w:tcPr>
          <w:p w:rsidR="00637861" w:rsidRDefault="00762792">
            <w:pPr>
              <w:jc w:val="center"/>
            </w:pPr>
            <w:r>
              <w:rPr>
                <w:color w:val="000000"/>
                <w:sz w:val="24"/>
              </w:rPr>
              <w:t>2019-03-27</w:t>
            </w:r>
          </w:p>
        </w:tc>
      </w:tr>
      <w:tr w:rsidR="00637861">
        <w:tc>
          <w:tcPr>
            <w:tcW w:w="720" w:type="dxa"/>
            <w:vAlign w:val="center"/>
          </w:tcPr>
          <w:p w:rsidR="00637861" w:rsidRDefault="00762792">
            <w:pPr>
              <w:jc w:val="center"/>
            </w:pPr>
            <w:r>
              <w:rPr>
                <w:color w:val="000000"/>
                <w:sz w:val="24"/>
              </w:rPr>
              <w:t>10</w:t>
            </w:r>
          </w:p>
        </w:tc>
        <w:tc>
          <w:tcPr>
            <w:tcW w:w="4319" w:type="dxa"/>
            <w:vAlign w:val="center"/>
          </w:tcPr>
          <w:p w:rsidR="00637861" w:rsidRDefault="00762792">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637861" w:rsidRDefault="00762792">
            <w:r>
              <w:rPr>
                <w:color w:val="000000"/>
                <w:sz w:val="24"/>
              </w:rPr>
              <w:t>中国证券报、上海证券报、证券时报</w:t>
            </w:r>
          </w:p>
        </w:tc>
        <w:tc>
          <w:tcPr>
            <w:tcW w:w="1440" w:type="dxa"/>
            <w:vAlign w:val="center"/>
          </w:tcPr>
          <w:p w:rsidR="00637861" w:rsidRDefault="00762792">
            <w:pPr>
              <w:jc w:val="center"/>
            </w:pPr>
            <w:r>
              <w:rPr>
                <w:color w:val="000000"/>
                <w:sz w:val="24"/>
              </w:rPr>
              <w:t>2019-04-12</w:t>
            </w:r>
          </w:p>
        </w:tc>
      </w:tr>
      <w:tr w:rsidR="00637861">
        <w:tc>
          <w:tcPr>
            <w:tcW w:w="720" w:type="dxa"/>
            <w:vAlign w:val="center"/>
          </w:tcPr>
          <w:p w:rsidR="00637861" w:rsidRDefault="00762792">
            <w:pPr>
              <w:jc w:val="center"/>
            </w:pPr>
            <w:r>
              <w:rPr>
                <w:color w:val="000000"/>
                <w:sz w:val="24"/>
              </w:rPr>
              <w:t>11</w:t>
            </w:r>
          </w:p>
        </w:tc>
        <w:tc>
          <w:tcPr>
            <w:tcW w:w="4319" w:type="dxa"/>
            <w:vAlign w:val="center"/>
          </w:tcPr>
          <w:p w:rsidR="00637861" w:rsidRDefault="00762792">
            <w:r>
              <w:rPr>
                <w:color w:val="000000"/>
                <w:sz w:val="24"/>
              </w:rPr>
              <w:t>交银施罗德基金管理有限公司关于取消纸质对账单寄送的公告</w:t>
            </w:r>
          </w:p>
        </w:tc>
        <w:tc>
          <w:tcPr>
            <w:tcW w:w="2519" w:type="dxa"/>
            <w:vAlign w:val="center"/>
          </w:tcPr>
          <w:p w:rsidR="00637861" w:rsidRDefault="00762792">
            <w:r>
              <w:rPr>
                <w:color w:val="000000"/>
                <w:sz w:val="24"/>
              </w:rPr>
              <w:t>中国证券报、上海证券报、证券时报</w:t>
            </w:r>
          </w:p>
        </w:tc>
        <w:tc>
          <w:tcPr>
            <w:tcW w:w="1440" w:type="dxa"/>
            <w:vAlign w:val="center"/>
          </w:tcPr>
          <w:p w:rsidR="00637861" w:rsidRDefault="00762792">
            <w:pPr>
              <w:jc w:val="center"/>
            </w:pPr>
            <w:r>
              <w:rPr>
                <w:color w:val="000000"/>
                <w:sz w:val="24"/>
              </w:rPr>
              <w:t>2019-04-12</w:t>
            </w:r>
          </w:p>
        </w:tc>
      </w:tr>
      <w:tr w:rsidR="00637861">
        <w:tc>
          <w:tcPr>
            <w:tcW w:w="720" w:type="dxa"/>
            <w:vAlign w:val="center"/>
          </w:tcPr>
          <w:p w:rsidR="00637861" w:rsidRDefault="00762792">
            <w:pPr>
              <w:jc w:val="center"/>
            </w:pPr>
            <w:r>
              <w:rPr>
                <w:color w:val="000000"/>
                <w:sz w:val="24"/>
              </w:rPr>
              <w:t>12</w:t>
            </w:r>
          </w:p>
        </w:tc>
        <w:tc>
          <w:tcPr>
            <w:tcW w:w="4319" w:type="dxa"/>
            <w:vAlign w:val="center"/>
          </w:tcPr>
          <w:p w:rsidR="00637861" w:rsidRDefault="00762792">
            <w:r>
              <w:rPr>
                <w:color w:val="000000"/>
                <w:sz w:val="24"/>
              </w:rPr>
              <w:t>交银施罗德丰晟收益债券型证券投资基金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637861" w:rsidRDefault="00762792">
            <w:r>
              <w:rPr>
                <w:color w:val="000000"/>
                <w:sz w:val="24"/>
              </w:rPr>
              <w:t>中国证券报</w:t>
            </w:r>
          </w:p>
        </w:tc>
        <w:tc>
          <w:tcPr>
            <w:tcW w:w="1440" w:type="dxa"/>
            <w:vAlign w:val="center"/>
          </w:tcPr>
          <w:p w:rsidR="00637861" w:rsidRDefault="00762792">
            <w:pPr>
              <w:jc w:val="center"/>
            </w:pPr>
            <w:r>
              <w:rPr>
                <w:color w:val="000000"/>
                <w:sz w:val="24"/>
              </w:rPr>
              <w:t>2019-04-20</w:t>
            </w:r>
          </w:p>
        </w:tc>
      </w:tr>
      <w:tr w:rsidR="00637861">
        <w:tc>
          <w:tcPr>
            <w:tcW w:w="720" w:type="dxa"/>
            <w:vAlign w:val="center"/>
          </w:tcPr>
          <w:p w:rsidR="00637861" w:rsidRDefault="00762792">
            <w:pPr>
              <w:jc w:val="center"/>
            </w:pPr>
            <w:r>
              <w:rPr>
                <w:color w:val="000000"/>
                <w:sz w:val="24"/>
              </w:rPr>
              <w:t>13</w:t>
            </w:r>
          </w:p>
        </w:tc>
        <w:tc>
          <w:tcPr>
            <w:tcW w:w="4319" w:type="dxa"/>
            <w:vAlign w:val="center"/>
          </w:tcPr>
          <w:p w:rsidR="00637861" w:rsidRDefault="00762792">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637861" w:rsidRDefault="00762792">
            <w:r>
              <w:rPr>
                <w:color w:val="000000"/>
                <w:sz w:val="24"/>
              </w:rPr>
              <w:t>中国证券报、上海证券报、证券时报</w:t>
            </w:r>
          </w:p>
        </w:tc>
        <w:tc>
          <w:tcPr>
            <w:tcW w:w="1440" w:type="dxa"/>
            <w:vAlign w:val="center"/>
          </w:tcPr>
          <w:p w:rsidR="00637861" w:rsidRDefault="00762792">
            <w:pPr>
              <w:jc w:val="center"/>
            </w:pPr>
            <w:r>
              <w:rPr>
                <w:color w:val="000000"/>
                <w:sz w:val="24"/>
              </w:rPr>
              <w:t>2019-04-23</w:t>
            </w:r>
          </w:p>
        </w:tc>
      </w:tr>
      <w:tr w:rsidR="00637861">
        <w:tc>
          <w:tcPr>
            <w:tcW w:w="720" w:type="dxa"/>
            <w:vAlign w:val="center"/>
          </w:tcPr>
          <w:p w:rsidR="00637861" w:rsidRDefault="00762792">
            <w:pPr>
              <w:jc w:val="center"/>
            </w:pPr>
            <w:r>
              <w:rPr>
                <w:color w:val="000000"/>
                <w:sz w:val="24"/>
              </w:rPr>
              <w:t>14</w:t>
            </w:r>
          </w:p>
        </w:tc>
        <w:tc>
          <w:tcPr>
            <w:tcW w:w="4319" w:type="dxa"/>
            <w:vAlign w:val="center"/>
          </w:tcPr>
          <w:p w:rsidR="00637861" w:rsidRDefault="00762792">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637861" w:rsidRDefault="00762792">
            <w:r>
              <w:rPr>
                <w:color w:val="000000"/>
                <w:sz w:val="24"/>
              </w:rPr>
              <w:t>中国证券报、上海证券报、证券时报</w:t>
            </w:r>
          </w:p>
        </w:tc>
        <w:tc>
          <w:tcPr>
            <w:tcW w:w="1440" w:type="dxa"/>
            <w:vAlign w:val="center"/>
          </w:tcPr>
          <w:p w:rsidR="00637861" w:rsidRDefault="00762792">
            <w:pPr>
              <w:jc w:val="center"/>
            </w:pPr>
            <w:r>
              <w:rPr>
                <w:color w:val="000000"/>
                <w:sz w:val="24"/>
              </w:rPr>
              <w:t>2019-05-23</w:t>
            </w:r>
          </w:p>
        </w:tc>
      </w:tr>
    </w:tbl>
    <w:p w:rsidR="00A94833" w:rsidRPr="001B7979" w:rsidRDefault="00A94833" w:rsidP="00571B8A">
      <w:pPr>
        <w:spacing w:before="29" w:line="288" w:lineRule="auto"/>
        <w:jc w:val="left"/>
        <w:rPr>
          <w:kern w:val="0"/>
          <w:sz w:val="24"/>
        </w:rPr>
      </w:pPr>
    </w:p>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2" w:name="_Toc225500055"/>
      <w:bookmarkStart w:id="113" w:name="_Toc17816376"/>
      <w:r w:rsidRPr="001B7979">
        <w:rPr>
          <w:b/>
          <w:bCs/>
          <w:szCs w:val="24"/>
          <w:lang w:val="en-US"/>
        </w:rPr>
        <w:t xml:space="preserve">§11  </w:t>
      </w:r>
      <w:r w:rsidRPr="001B7979">
        <w:rPr>
          <w:b/>
          <w:bCs/>
          <w:szCs w:val="24"/>
          <w:lang w:val="en-US"/>
        </w:rPr>
        <w:t>备查文件目录</w:t>
      </w:r>
      <w:bookmarkEnd w:id="112"/>
      <w:bookmarkEnd w:id="113"/>
    </w:p>
    <w:p w:rsidR="001548F9" w:rsidRPr="001B7979" w:rsidRDefault="001548F9" w:rsidP="00571B8A">
      <w:pPr>
        <w:pStyle w:val="20"/>
        <w:spacing w:before="29" w:after="0" w:line="288" w:lineRule="auto"/>
        <w:rPr>
          <w:rFonts w:ascii="Times New Roman" w:hAnsi="Times New Roman"/>
          <w:kern w:val="0"/>
          <w:szCs w:val="24"/>
        </w:rPr>
      </w:pPr>
      <w:bookmarkStart w:id="114" w:name="_Toc17816377"/>
      <w:r w:rsidRPr="001B7979">
        <w:rPr>
          <w:rFonts w:ascii="Times New Roman" w:hAnsi="Times New Roman"/>
          <w:kern w:val="0"/>
          <w:szCs w:val="24"/>
        </w:rPr>
        <w:t xml:space="preserve">11.1 </w:t>
      </w:r>
      <w:r w:rsidRPr="001B7979">
        <w:rPr>
          <w:rFonts w:ascii="Times New Roman" w:hAnsi="Times New Roman"/>
          <w:kern w:val="0"/>
          <w:szCs w:val="24"/>
        </w:rPr>
        <w:t>备查文件目录</w:t>
      </w:r>
      <w:bookmarkEnd w:id="114"/>
    </w:p>
    <w:p w:rsidR="00637861" w:rsidRDefault="00762792">
      <w:pPr>
        <w:spacing w:before="29" w:line="288" w:lineRule="auto"/>
        <w:ind w:firstLineChars="200" w:firstLine="480"/>
        <w:rPr>
          <w:kern w:val="0"/>
          <w:sz w:val="24"/>
        </w:rPr>
      </w:pPr>
      <w:r>
        <w:rPr>
          <w:kern w:val="0"/>
          <w:sz w:val="24"/>
        </w:rPr>
        <w:t>1</w:t>
      </w:r>
      <w:r>
        <w:rPr>
          <w:kern w:val="0"/>
          <w:sz w:val="24"/>
        </w:rPr>
        <w:t>、中国证监会准予交银施罗德丰晟收益债券型证券投资基金募集注册的文件；</w:t>
      </w:r>
      <w:r>
        <w:rPr>
          <w:kern w:val="0"/>
          <w:sz w:val="24"/>
        </w:rPr>
        <w:t xml:space="preserve"> </w:t>
      </w:r>
    </w:p>
    <w:p w:rsidR="00637861" w:rsidRDefault="00762792">
      <w:pPr>
        <w:spacing w:before="29" w:line="288" w:lineRule="auto"/>
        <w:ind w:firstLineChars="200" w:firstLine="480"/>
        <w:rPr>
          <w:kern w:val="0"/>
          <w:sz w:val="24"/>
        </w:rPr>
      </w:pPr>
      <w:r>
        <w:rPr>
          <w:kern w:val="0"/>
          <w:sz w:val="24"/>
        </w:rPr>
        <w:t>2</w:t>
      </w:r>
      <w:r>
        <w:rPr>
          <w:kern w:val="0"/>
          <w:sz w:val="24"/>
        </w:rPr>
        <w:t>、《交银施罗德丰晟收益债券型证券投资基金基金合同》；</w:t>
      </w:r>
      <w:r>
        <w:rPr>
          <w:kern w:val="0"/>
          <w:sz w:val="24"/>
        </w:rPr>
        <w:t xml:space="preserve"> </w:t>
      </w:r>
    </w:p>
    <w:p w:rsidR="00637861" w:rsidRDefault="00762792">
      <w:pPr>
        <w:spacing w:before="29" w:line="288" w:lineRule="auto"/>
        <w:ind w:firstLineChars="200" w:firstLine="480"/>
        <w:rPr>
          <w:kern w:val="0"/>
          <w:sz w:val="24"/>
        </w:rPr>
      </w:pPr>
      <w:r>
        <w:rPr>
          <w:kern w:val="0"/>
          <w:sz w:val="24"/>
        </w:rPr>
        <w:t>3</w:t>
      </w:r>
      <w:r>
        <w:rPr>
          <w:kern w:val="0"/>
          <w:sz w:val="24"/>
        </w:rPr>
        <w:t>、《交银施罗德丰晟收益债券型证券投资基金招募说明书》；</w:t>
      </w:r>
      <w:r>
        <w:rPr>
          <w:kern w:val="0"/>
          <w:sz w:val="24"/>
        </w:rPr>
        <w:t xml:space="preserve"> </w:t>
      </w:r>
    </w:p>
    <w:p w:rsidR="00637861" w:rsidRDefault="00762792">
      <w:pPr>
        <w:spacing w:before="29" w:line="288" w:lineRule="auto"/>
        <w:ind w:firstLineChars="200" w:firstLine="480"/>
        <w:rPr>
          <w:kern w:val="0"/>
          <w:sz w:val="24"/>
        </w:rPr>
      </w:pPr>
      <w:r>
        <w:rPr>
          <w:kern w:val="0"/>
          <w:sz w:val="24"/>
        </w:rPr>
        <w:t>4</w:t>
      </w:r>
      <w:r>
        <w:rPr>
          <w:kern w:val="0"/>
          <w:sz w:val="24"/>
        </w:rPr>
        <w:t>、《交银施罗德丰晟收益债券型证券投资基金托管协议》；</w:t>
      </w:r>
      <w:r>
        <w:rPr>
          <w:kern w:val="0"/>
          <w:sz w:val="24"/>
        </w:rPr>
        <w:t xml:space="preserve"> </w:t>
      </w:r>
    </w:p>
    <w:p w:rsidR="00637861" w:rsidRDefault="00762792">
      <w:pPr>
        <w:spacing w:before="29" w:line="288" w:lineRule="auto"/>
        <w:ind w:firstLineChars="200" w:firstLine="480"/>
        <w:rPr>
          <w:kern w:val="0"/>
          <w:sz w:val="24"/>
        </w:rPr>
      </w:pPr>
      <w:r>
        <w:rPr>
          <w:kern w:val="0"/>
          <w:sz w:val="24"/>
        </w:rPr>
        <w:t>5</w:t>
      </w:r>
      <w:r>
        <w:rPr>
          <w:kern w:val="0"/>
          <w:sz w:val="24"/>
        </w:rPr>
        <w:t>、关于申请募集注册交银施罗德丰晟收益债券型证券投资基金的法律意见书；</w:t>
      </w:r>
      <w:r>
        <w:rPr>
          <w:kern w:val="0"/>
          <w:sz w:val="24"/>
        </w:rPr>
        <w:t xml:space="preserve"> </w:t>
      </w:r>
    </w:p>
    <w:p w:rsidR="00637861" w:rsidRDefault="00762792">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637861" w:rsidRDefault="00762792">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、报告期内交银施罗德丰晟收益债券型证券投资基金在指定报刊上各项公告的原稿。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5" w:name="_Toc17816378"/>
      <w:r w:rsidRPr="001B7979">
        <w:rPr>
          <w:rFonts w:ascii="Times New Roman" w:hAnsi="Times New Roman"/>
          <w:kern w:val="0"/>
          <w:szCs w:val="24"/>
        </w:rPr>
        <w:t>11</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5"/>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6" w:name="_Toc17816379"/>
      <w:r w:rsidRPr="001B7979">
        <w:rPr>
          <w:rFonts w:ascii="Times New Roman" w:hAnsi="Times New Roman"/>
          <w:kern w:val="0"/>
          <w:szCs w:val="24"/>
        </w:rPr>
        <w:t>11</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6"/>
    </w:p>
    <w:p w:rsidR="00637861" w:rsidRDefault="00762792">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24"/>
      <w:footerReference w:type="default" r:id="rId25"/>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9CF" w:rsidRDefault="001919CF">
      <w:r>
        <w:separator/>
      </w:r>
    </w:p>
  </w:endnote>
  <w:endnote w:type="continuationSeparator" w:id="0">
    <w:p w:rsidR="001919CF" w:rsidRDefault="0019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5F41E8">
      <w:rPr>
        <w:noProof/>
        <w:kern w:val="0"/>
        <w:szCs w:val="21"/>
      </w:rPr>
      <w:t>3</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5F41E8">
      <w:rPr>
        <w:noProof/>
        <w:kern w:val="0"/>
        <w:szCs w:val="21"/>
      </w:rPr>
      <w:t>45</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9CF" w:rsidRDefault="001919CF">
      <w:r>
        <w:separator/>
      </w:r>
    </w:p>
  </w:footnote>
  <w:footnote w:type="continuationSeparator" w:id="0">
    <w:p w:rsidR="001919CF" w:rsidRDefault="00191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交银施罗德丰晟收益债券型证券投资基金</w:t>
    </w:r>
    <w:r w:rsidRPr="00D3445F">
      <w:rPr>
        <w:rFonts w:eastAsiaTheme="minorEastAsia"/>
        <w:sz w:val="24"/>
      </w:rPr>
      <w:t>2019</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交银施罗德丰晟收益债券型证券投资基金</w:t>
    </w:r>
    <w:r w:rsidRPr="00D3445F">
      <w:rPr>
        <w:rFonts w:eastAsiaTheme="minorEastAsia"/>
        <w:sz w:val="24"/>
      </w:rPr>
      <w:t>2019</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22E5"/>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9CF"/>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3EB"/>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1C6D"/>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0EE"/>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56"/>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1D7"/>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15B"/>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1E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861"/>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64E"/>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0AA"/>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79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7F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64F"/>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67C2"/>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2E74"/>
    <w:rsid w:val="009A3BFF"/>
    <w:rsid w:val="009A462D"/>
    <w:rsid w:val="009A4FE0"/>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B4C"/>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6A8"/>
    <w:rsid w:val="00B42DCA"/>
    <w:rsid w:val="00B42F1A"/>
    <w:rsid w:val="00B42F50"/>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AF0"/>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29A"/>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7D9"/>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6EF5"/>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0B7"/>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26A"/>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C:/Program%20Files%20(x86)/Netease/&#32593;&#26131;&#38378;&#30005;&#37038;/tmp/writemail(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Program%20Files%20(x86)/Netease/&#32593;&#26131;&#38378;&#30005;&#37038;/tmp/writemail(3)"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Program%20Files%20(x86)/Netease/&#32593;&#26131;&#38378;&#30005;&#37038;/tmp/writemail(3)"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file:///C:/Program%20Files%20(x86)/Netease/&#32593;&#26131;&#38378;&#30005;&#37038;/tmp/writemail(3)" TargetMode="External"/><Relationship Id="rId20" Type="http://schemas.openxmlformats.org/officeDocument/2006/relationships/hyperlink" Target="file:///C:/Program%20Files%20(x86)/Netease/&#32593;&#26131;&#38378;&#30005;&#37038;/tmp/writemail(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file:///C:/Program%20Files%20(x86)/Netease/&#32593;&#26131;&#38378;&#30005;&#37038;/tmp/writemail(3)" TargetMode="External"/><Relationship Id="rId10" Type="http://schemas.openxmlformats.org/officeDocument/2006/relationships/footer" Target="footer1.xml"/><Relationship Id="rId19" Type="http://schemas.openxmlformats.org/officeDocument/2006/relationships/hyperlink" Target="file:///C:/Program%20Files%20(x86)/Netease/&#32593;&#26131;&#38378;&#30005;&#37038;/tmp/writemail(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file:///C:/Program%20Files%20(x86)/Netease/&#32593;&#26131;&#38378;&#30005;&#37038;/tmp/writemail(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A930815-FACB-4B4F-BECD-564631C76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1984</TotalTime>
  <Pages>45</Pages>
  <Words>5478</Words>
  <Characters>31227</Characters>
  <Application>Microsoft Office Word</Application>
  <DocSecurity>0</DocSecurity>
  <Lines>260</Lines>
  <Paragraphs>73</Paragraphs>
  <ScaleCrop>false</ScaleCrop>
  <Company/>
  <LinksUpToDate>false</LinksUpToDate>
  <CharactersWithSpaces>36632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1596</cp:revision>
  <cp:lastPrinted>2007-07-19T00:46:00Z</cp:lastPrinted>
  <dcterms:created xsi:type="dcterms:W3CDTF">2013-08-19T07:43:00Z</dcterms:created>
  <dcterms:modified xsi:type="dcterms:W3CDTF">2019-08-27T08:38:00Z</dcterms:modified>
</cp:coreProperties>
</file>