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交银施罗德裕如纯债债券型证券投资基金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基金托管人：浙商银行股份有限公司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浙商银行股份有限公司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交银裕如纯债债券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005972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005972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2018</w:t>
            </w:r>
            <w:r w:rsidRPr="008A1551">
              <w:rPr>
                <w:sz w:val="24"/>
              </w:rPr>
              <w:t>年</w:t>
            </w:r>
            <w:r w:rsidRPr="008A1551">
              <w:rPr>
                <w:sz w:val="24"/>
              </w:rPr>
              <w:t>5</w:t>
            </w:r>
            <w:r w:rsidRPr="008A1551">
              <w:rPr>
                <w:sz w:val="24"/>
              </w:rPr>
              <w:t>月</w:t>
            </w:r>
            <w:r w:rsidRPr="008A1551">
              <w:rPr>
                <w:sz w:val="24"/>
              </w:rPr>
              <w:t>25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浙商银行股份有限公司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3,659,998,747.13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交银裕如纯债债券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交银裕如纯债债券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005972</w:t>
            </w:r>
          </w:p>
        </w:tc>
        <w:tc>
          <w:tcPr>
            <w:tcW w:w="2596" w:type="dxa"/>
            <w:vAlign w:val="center"/>
          </w:tcPr>
          <w:p w:rsidR="0073136C" w:rsidRPr="008A1551" w:rsidRDefault="0073136C" w:rsidP="009E1EA4">
            <w:pPr>
              <w:spacing w:before="29" w:line="288" w:lineRule="auto"/>
              <w:jc w:val="center"/>
              <w:rPr>
                <w:sz w:val="24"/>
              </w:rPr>
            </w:pPr>
            <w:r w:rsidRPr="008A1551">
              <w:rPr>
                <w:sz w:val="24"/>
              </w:rPr>
              <w:t>005973</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3,659,998,747.13</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本基金在严格控制风险和保持资产流动性的基础上，通过积极主动的投资管理，力争持续稳定地实现超越业绩比较基准的投资回报。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本基金是一只债券型基金，其预期风险与预期收益高于货币市场基金，低于混合型基金和股票型基金。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浙商银行股份有限公司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朱巍</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0571-87659806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zhuwei@czbank.com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95527</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0571-88268688</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交银裕如纯债债券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交银裕如纯债债券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62,022,862.64</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48,787,115.83</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0.0157</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1.62%</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交银裕如纯债债券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交银裕如纯债债券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0.0085</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3,726,950,940.68</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1.0183</w:t>
            </w:r>
          </w:p>
        </w:tc>
        <w:tc>
          <w:tcPr>
            <w:tcW w:w="2558" w:type="dxa"/>
            <w:vAlign w:val="center"/>
          </w:tcPr>
          <w:p w:rsidR="001548F9" w:rsidRPr="008A1551" w:rsidRDefault="001548F9" w:rsidP="009E1EA4">
            <w:pPr>
              <w:spacing w:before="29" w:line="288" w:lineRule="auto"/>
              <w:jc w:val="right"/>
              <w:rPr>
                <w:sz w:val="24"/>
              </w:rPr>
            </w:pPr>
            <w:r w:rsidRPr="008A1551">
              <w:rPr>
                <w:sz w:val="24"/>
              </w:rPr>
              <w:t>1.0000</w:t>
            </w:r>
          </w:p>
        </w:tc>
      </w:tr>
    </w:tbl>
    <w:p w:rsidR="00956089" w:rsidRDefault="00336B1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956089" w:rsidRDefault="00336B1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交银裕如纯债债券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56089">
        <w:tc>
          <w:tcPr>
            <w:tcW w:w="1497" w:type="dxa"/>
            <w:vAlign w:val="center"/>
          </w:tcPr>
          <w:p w:rsidR="00956089" w:rsidRDefault="00336B1D">
            <w:pPr>
              <w:jc w:val="left"/>
            </w:pPr>
            <w:r>
              <w:rPr>
                <w:color w:val="000000"/>
                <w:sz w:val="24"/>
              </w:rPr>
              <w:t>过去一个月</w:t>
            </w:r>
          </w:p>
        </w:tc>
        <w:tc>
          <w:tcPr>
            <w:tcW w:w="1251" w:type="dxa"/>
            <w:vAlign w:val="center"/>
          </w:tcPr>
          <w:p w:rsidR="00956089" w:rsidRDefault="00336B1D">
            <w:pPr>
              <w:jc w:val="center"/>
            </w:pPr>
            <w:r>
              <w:rPr>
                <w:color w:val="000000"/>
                <w:sz w:val="24"/>
              </w:rPr>
              <w:t>0.53%</w:t>
            </w:r>
          </w:p>
        </w:tc>
        <w:tc>
          <w:tcPr>
            <w:tcW w:w="1250" w:type="dxa"/>
            <w:vAlign w:val="center"/>
          </w:tcPr>
          <w:p w:rsidR="00956089" w:rsidRDefault="00336B1D">
            <w:pPr>
              <w:jc w:val="center"/>
            </w:pPr>
            <w:r>
              <w:rPr>
                <w:color w:val="000000"/>
                <w:sz w:val="24"/>
              </w:rPr>
              <w:t>0.02%</w:t>
            </w:r>
          </w:p>
        </w:tc>
        <w:tc>
          <w:tcPr>
            <w:tcW w:w="1250" w:type="dxa"/>
            <w:vAlign w:val="center"/>
          </w:tcPr>
          <w:p w:rsidR="00956089" w:rsidRDefault="00336B1D">
            <w:pPr>
              <w:jc w:val="center"/>
            </w:pPr>
            <w:r>
              <w:rPr>
                <w:color w:val="000000"/>
                <w:sz w:val="24"/>
              </w:rPr>
              <w:t>0.28%</w:t>
            </w:r>
          </w:p>
        </w:tc>
        <w:tc>
          <w:tcPr>
            <w:tcW w:w="1250" w:type="dxa"/>
            <w:vAlign w:val="center"/>
          </w:tcPr>
          <w:p w:rsidR="00956089" w:rsidRDefault="00336B1D">
            <w:pPr>
              <w:jc w:val="center"/>
            </w:pPr>
            <w:r>
              <w:rPr>
                <w:color w:val="000000"/>
                <w:sz w:val="24"/>
              </w:rPr>
              <w:t>0.03%</w:t>
            </w:r>
          </w:p>
        </w:tc>
        <w:tc>
          <w:tcPr>
            <w:tcW w:w="1250" w:type="dxa"/>
            <w:vAlign w:val="center"/>
          </w:tcPr>
          <w:p w:rsidR="00956089" w:rsidRDefault="00336B1D">
            <w:pPr>
              <w:jc w:val="center"/>
            </w:pPr>
            <w:r>
              <w:rPr>
                <w:color w:val="000000"/>
                <w:sz w:val="24"/>
              </w:rPr>
              <w:t>0.25%</w:t>
            </w:r>
          </w:p>
        </w:tc>
        <w:tc>
          <w:tcPr>
            <w:tcW w:w="1250" w:type="dxa"/>
            <w:vAlign w:val="center"/>
          </w:tcPr>
          <w:p w:rsidR="00956089" w:rsidRDefault="00336B1D">
            <w:pPr>
              <w:jc w:val="center"/>
            </w:pPr>
            <w:r>
              <w:rPr>
                <w:color w:val="000000"/>
                <w:sz w:val="24"/>
              </w:rPr>
              <w:t>-0.01%</w:t>
            </w:r>
          </w:p>
        </w:tc>
      </w:tr>
      <w:tr w:rsidR="00956089">
        <w:tc>
          <w:tcPr>
            <w:tcW w:w="1497" w:type="dxa"/>
            <w:vAlign w:val="center"/>
          </w:tcPr>
          <w:p w:rsidR="00956089" w:rsidRDefault="00336B1D">
            <w:pPr>
              <w:jc w:val="left"/>
            </w:pPr>
            <w:r>
              <w:rPr>
                <w:color w:val="000000"/>
                <w:sz w:val="24"/>
              </w:rPr>
              <w:t>过去三个月</w:t>
            </w:r>
          </w:p>
        </w:tc>
        <w:tc>
          <w:tcPr>
            <w:tcW w:w="1251" w:type="dxa"/>
            <w:vAlign w:val="center"/>
          </w:tcPr>
          <w:p w:rsidR="00956089" w:rsidRDefault="00336B1D">
            <w:pPr>
              <w:jc w:val="center"/>
            </w:pPr>
            <w:r>
              <w:rPr>
                <w:color w:val="000000"/>
                <w:sz w:val="24"/>
              </w:rPr>
              <w:t>0.43%</w:t>
            </w:r>
          </w:p>
        </w:tc>
        <w:tc>
          <w:tcPr>
            <w:tcW w:w="1250" w:type="dxa"/>
            <w:vAlign w:val="center"/>
          </w:tcPr>
          <w:p w:rsidR="00956089" w:rsidRDefault="00336B1D">
            <w:pPr>
              <w:jc w:val="center"/>
            </w:pPr>
            <w:r>
              <w:rPr>
                <w:color w:val="000000"/>
                <w:sz w:val="24"/>
              </w:rPr>
              <w:t>0.06%</w:t>
            </w:r>
          </w:p>
        </w:tc>
        <w:tc>
          <w:tcPr>
            <w:tcW w:w="1250" w:type="dxa"/>
            <w:vAlign w:val="center"/>
          </w:tcPr>
          <w:p w:rsidR="00956089" w:rsidRDefault="00336B1D">
            <w:pPr>
              <w:jc w:val="center"/>
            </w:pPr>
            <w:r>
              <w:rPr>
                <w:color w:val="000000"/>
                <w:sz w:val="24"/>
              </w:rPr>
              <w:t>-0.23%</w:t>
            </w:r>
          </w:p>
        </w:tc>
        <w:tc>
          <w:tcPr>
            <w:tcW w:w="1250" w:type="dxa"/>
            <w:vAlign w:val="center"/>
          </w:tcPr>
          <w:p w:rsidR="00956089" w:rsidRDefault="00336B1D">
            <w:pPr>
              <w:jc w:val="center"/>
            </w:pPr>
            <w:r>
              <w:rPr>
                <w:color w:val="000000"/>
                <w:sz w:val="24"/>
              </w:rPr>
              <w:t>0.06%</w:t>
            </w:r>
          </w:p>
        </w:tc>
        <w:tc>
          <w:tcPr>
            <w:tcW w:w="1250" w:type="dxa"/>
            <w:vAlign w:val="center"/>
          </w:tcPr>
          <w:p w:rsidR="00956089" w:rsidRDefault="00336B1D">
            <w:pPr>
              <w:jc w:val="center"/>
            </w:pPr>
            <w:r>
              <w:rPr>
                <w:color w:val="000000"/>
                <w:sz w:val="24"/>
              </w:rPr>
              <w:t>0.66%</w:t>
            </w:r>
          </w:p>
        </w:tc>
        <w:tc>
          <w:tcPr>
            <w:tcW w:w="1250" w:type="dxa"/>
            <w:vAlign w:val="center"/>
          </w:tcPr>
          <w:p w:rsidR="00956089" w:rsidRDefault="00336B1D">
            <w:pPr>
              <w:jc w:val="center"/>
            </w:pPr>
            <w:r>
              <w:rPr>
                <w:color w:val="000000"/>
                <w:sz w:val="24"/>
              </w:rPr>
              <w:t>0.00%</w:t>
            </w:r>
          </w:p>
        </w:tc>
      </w:tr>
      <w:tr w:rsidR="00956089">
        <w:tc>
          <w:tcPr>
            <w:tcW w:w="1497" w:type="dxa"/>
            <w:vAlign w:val="center"/>
          </w:tcPr>
          <w:p w:rsidR="00956089" w:rsidRDefault="00336B1D">
            <w:pPr>
              <w:jc w:val="left"/>
            </w:pPr>
            <w:r>
              <w:rPr>
                <w:color w:val="000000"/>
                <w:sz w:val="24"/>
              </w:rPr>
              <w:t>过去六个月</w:t>
            </w:r>
          </w:p>
        </w:tc>
        <w:tc>
          <w:tcPr>
            <w:tcW w:w="1251" w:type="dxa"/>
            <w:vAlign w:val="center"/>
          </w:tcPr>
          <w:p w:rsidR="00956089" w:rsidRDefault="00336B1D">
            <w:pPr>
              <w:jc w:val="center"/>
            </w:pPr>
            <w:r>
              <w:rPr>
                <w:color w:val="000000"/>
                <w:sz w:val="24"/>
              </w:rPr>
              <w:t>1.62%</w:t>
            </w:r>
          </w:p>
        </w:tc>
        <w:tc>
          <w:tcPr>
            <w:tcW w:w="1250" w:type="dxa"/>
            <w:vAlign w:val="center"/>
          </w:tcPr>
          <w:p w:rsidR="00956089" w:rsidRDefault="00336B1D">
            <w:pPr>
              <w:jc w:val="center"/>
            </w:pPr>
            <w:r>
              <w:rPr>
                <w:color w:val="000000"/>
                <w:sz w:val="24"/>
              </w:rPr>
              <w:t>0.06%</w:t>
            </w:r>
          </w:p>
        </w:tc>
        <w:tc>
          <w:tcPr>
            <w:tcW w:w="1250" w:type="dxa"/>
            <w:vAlign w:val="center"/>
          </w:tcPr>
          <w:p w:rsidR="00956089" w:rsidRDefault="00336B1D">
            <w:pPr>
              <w:jc w:val="center"/>
            </w:pPr>
            <w:r>
              <w:rPr>
                <w:color w:val="000000"/>
                <w:sz w:val="24"/>
              </w:rPr>
              <w:t>0.24%</w:t>
            </w:r>
          </w:p>
        </w:tc>
        <w:tc>
          <w:tcPr>
            <w:tcW w:w="1250" w:type="dxa"/>
            <w:vAlign w:val="center"/>
          </w:tcPr>
          <w:p w:rsidR="00956089" w:rsidRDefault="00336B1D">
            <w:pPr>
              <w:jc w:val="center"/>
            </w:pPr>
            <w:r>
              <w:rPr>
                <w:color w:val="000000"/>
                <w:sz w:val="24"/>
              </w:rPr>
              <w:t>0.06%</w:t>
            </w:r>
          </w:p>
        </w:tc>
        <w:tc>
          <w:tcPr>
            <w:tcW w:w="1250" w:type="dxa"/>
            <w:vAlign w:val="center"/>
          </w:tcPr>
          <w:p w:rsidR="00956089" w:rsidRDefault="00336B1D">
            <w:pPr>
              <w:jc w:val="center"/>
            </w:pPr>
            <w:r>
              <w:rPr>
                <w:color w:val="000000"/>
                <w:sz w:val="24"/>
              </w:rPr>
              <w:t>1.38%</w:t>
            </w:r>
          </w:p>
        </w:tc>
        <w:tc>
          <w:tcPr>
            <w:tcW w:w="1250" w:type="dxa"/>
            <w:vAlign w:val="center"/>
          </w:tcPr>
          <w:p w:rsidR="00956089" w:rsidRDefault="00336B1D">
            <w:pPr>
              <w:jc w:val="center"/>
            </w:pPr>
            <w:r>
              <w:rPr>
                <w:color w:val="000000"/>
                <w:sz w:val="24"/>
              </w:rPr>
              <w:t>0.00%</w:t>
            </w:r>
          </w:p>
        </w:tc>
      </w:tr>
      <w:tr w:rsidR="00956089">
        <w:tc>
          <w:tcPr>
            <w:tcW w:w="1497" w:type="dxa"/>
            <w:vAlign w:val="center"/>
          </w:tcPr>
          <w:p w:rsidR="00956089" w:rsidRDefault="00336B1D">
            <w:pPr>
              <w:jc w:val="left"/>
            </w:pPr>
            <w:r>
              <w:rPr>
                <w:color w:val="000000"/>
                <w:sz w:val="24"/>
              </w:rPr>
              <w:t>过去一年</w:t>
            </w:r>
          </w:p>
        </w:tc>
        <w:tc>
          <w:tcPr>
            <w:tcW w:w="1251" w:type="dxa"/>
            <w:vAlign w:val="center"/>
          </w:tcPr>
          <w:p w:rsidR="00956089" w:rsidRDefault="00336B1D">
            <w:pPr>
              <w:jc w:val="center"/>
            </w:pPr>
            <w:r>
              <w:rPr>
                <w:color w:val="000000"/>
                <w:sz w:val="24"/>
              </w:rPr>
              <w:t>5.29%</w:t>
            </w:r>
          </w:p>
        </w:tc>
        <w:tc>
          <w:tcPr>
            <w:tcW w:w="1250" w:type="dxa"/>
            <w:vAlign w:val="center"/>
          </w:tcPr>
          <w:p w:rsidR="00956089" w:rsidRDefault="00336B1D">
            <w:pPr>
              <w:jc w:val="center"/>
            </w:pPr>
            <w:r>
              <w:rPr>
                <w:color w:val="000000"/>
                <w:sz w:val="24"/>
              </w:rPr>
              <w:t>0.06%</w:t>
            </w:r>
          </w:p>
        </w:tc>
        <w:tc>
          <w:tcPr>
            <w:tcW w:w="1250" w:type="dxa"/>
            <w:vAlign w:val="center"/>
          </w:tcPr>
          <w:p w:rsidR="00956089" w:rsidRDefault="00336B1D">
            <w:pPr>
              <w:jc w:val="center"/>
            </w:pPr>
            <w:r>
              <w:rPr>
                <w:color w:val="000000"/>
                <w:sz w:val="24"/>
              </w:rPr>
              <w:t>2.81%</w:t>
            </w:r>
          </w:p>
        </w:tc>
        <w:tc>
          <w:tcPr>
            <w:tcW w:w="1250" w:type="dxa"/>
            <w:vAlign w:val="center"/>
          </w:tcPr>
          <w:p w:rsidR="00956089" w:rsidRDefault="00336B1D">
            <w:pPr>
              <w:jc w:val="center"/>
            </w:pPr>
            <w:r>
              <w:rPr>
                <w:color w:val="000000"/>
                <w:sz w:val="24"/>
              </w:rPr>
              <w:t>0.06%</w:t>
            </w:r>
          </w:p>
        </w:tc>
        <w:tc>
          <w:tcPr>
            <w:tcW w:w="1250" w:type="dxa"/>
            <w:vAlign w:val="center"/>
          </w:tcPr>
          <w:p w:rsidR="00956089" w:rsidRDefault="00336B1D">
            <w:pPr>
              <w:jc w:val="center"/>
            </w:pPr>
            <w:r>
              <w:rPr>
                <w:color w:val="000000"/>
                <w:sz w:val="24"/>
              </w:rPr>
              <w:t>2.48%</w:t>
            </w:r>
          </w:p>
        </w:tc>
        <w:tc>
          <w:tcPr>
            <w:tcW w:w="1250" w:type="dxa"/>
            <w:vAlign w:val="center"/>
          </w:tcPr>
          <w:p w:rsidR="00956089" w:rsidRDefault="00336B1D">
            <w:pPr>
              <w:jc w:val="center"/>
            </w:pPr>
            <w:r>
              <w:rPr>
                <w:color w:val="000000"/>
                <w:sz w:val="24"/>
              </w:rPr>
              <w:t>0.00%</w:t>
            </w:r>
          </w:p>
        </w:tc>
      </w:tr>
      <w:tr w:rsidR="00956089">
        <w:tc>
          <w:tcPr>
            <w:tcW w:w="1497" w:type="dxa"/>
            <w:vAlign w:val="center"/>
          </w:tcPr>
          <w:p w:rsidR="00956089" w:rsidRDefault="00336B1D">
            <w:pPr>
              <w:jc w:val="left"/>
            </w:pPr>
            <w:r>
              <w:rPr>
                <w:color w:val="000000"/>
                <w:sz w:val="24"/>
              </w:rPr>
              <w:t>自基金合同生效起至今</w:t>
            </w:r>
          </w:p>
        </w:tc>
        <w:tc>
          <w:tcPr>
            <w:tcW w:w="1251" w:type="dxa"/>
            <w:vAlign w:val="center"/>
          </w:tcPr>
          <w:p w:rsidR="00956089" w:rsidRDefault="00336B1D">
            <w:pPr>
              <w:jc w:val="center"/>
            </w:pPr>
            <w:r>
              <w:rPr>
                <w:color w:val="000000"/>
                <w:sz w:val="24"/>
              </w:rPr>
              <w:t>5.87%</w:t>
            </w:r>
          </w:p>
        </w:tc>
        <w:tc>
          <w:tcPr>
            <w:tcW w:w="1250" w:type="dxa"/>
            <w:vAlign w:val="center"/>
          </w:tcPr>
          <w:p w:rsidR="00956089" w:rsidRDefault="00336B1D">
            <w:pPr>
              <w:jc w:val="center"/>
            </w:pPr>
            <w:r>
              <w:rPr>
                <w:color w:val="000000"/>
                <w:sz w:val="24"/>
              </w:rPr>
              <w:t>0.06%</w:t>
            </w:r>
          </w:p>
        </w:tc>
        <w:tc>
          <w:tcPr>
            <w:tcW w:w="1250" w:type="dxa"/>
            <w:vAlign w:val="center"/>
          </w:tcPr>
          <w:p w:rsidR="00956089" w:rsidRDefault="00336B1D">
            <w:pPr>
              <w:jc w:val="center"/>
            </w:pPr>
            <w:r>
              <w:rPr>
                <w:color w:val="000000"/>
                <w:sz w:val="24"/>
              </w:rPr>
              <w:t>3.21%</w:t>
            </w:r>
          </w:p>
        </w:tc>
        <w:tc>
          <w:tcPr>
            <w:tcW w:w="1250" w:type="dxa"/>
            <w:vAlign w:val="center"/>
          </w:tcPr>
          <w:p w:rsidR="00956089" w:rsidRDefault="00336B1D">
            <w:pPr>
              <w:jc w:val="center"/>
            </w:pPr>
            <w:r>
              <w:rPr>
                <w:color w:val="000000"/>
                <w:sz w:val="24"/>
              </w:rPr>
              <w:t>0.06%</w:t>
            </w:r>
          </w:p>
        </w:tc>
        <w:tc>
          <w:tcPr>
            <w:tcW w:w="1250" w:type="dxa"/>
            <w:vAlign w:val="center"/>
          </w:tcPr>
          <w:p w:rsidR="00956089" w:rsidRDefault="00336B1D">
            <w:pPr>
              <w:jc w:val="center"/>
            </w:pPr>
            <w:r>
              <w:rPr>
                <w:color w:val="000000"/>
                <w:sz w:val="24"/>
              </w:rPr>
              <w:t>2.66%</w:t>
            </w:r>
          </w:p>
        </w:tc>
        <w:tc>
          <w:tcPr>
            <w:tcW w:w="1250" w:type="dxa"/>
            <w:vAlign w:val="center"/>
          </w:tcPr>
          <w:p w:rsidR="00956089" w:rsidRDefault="00336B1D">
            <w:pPr>
              <w:jc w:val="center"/>
            </w:pPr>
            <w:r>
              <w:rPr>
                <w:color w:val="000000"/>
                <w:sz w:val="24"/>
              </w:rPr>
              <w:t>0.00%</w:t>
            </w:r>
          </w:p>
        </w:tc>
      </w:tr>
    </w:tbl>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交银裕如纯债债券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56089">
        <w:tc>
          <w:tcPr>
            <w:tcW w:w="1497" w:type="dxa"/>
            <w:vAlign w:val="center"/>
          </w:tcPr>
          <w:p w:rsidR="00956089" w:rsidRDefault="00336B1D">
            <w:pPr>
              <w:jc w:val="left"/>
            </w:pPr>
            <w:r>
              <w:rPr>
                <w:color w:val="000000"/>
                <w:sz w:val="24"/>
              </w:rPr>
              <w:t>过去一个月</w:t>
            </w:r>
          </w:p>
        </w:tc>
        <w:tc>
          <w:tcPr>
            <w:tcW w:w="1251"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r>
      <w:tr w:rsidR="00956089">
        <w:tc>
          <w:tcPr>
            <w:tcW w:w="1497" w:type="dxa"/>
            <w:vAlign w:val="center"/>
          </w:tcPr>
          <w:p w:rsidR="00956089" w:rsidRDefault="00336B1D">
            <w:pPr>
              <w:jc w:val="left"/>
            </w:pPr>
            <w:r>
              <w:rPr>
                <w:color w:val="000000"/>
                <w:sz w:val="24"/>
              </w:rPr>
              <w:t>过去三个月</w:t>
            </w:r>
          </w:p>
        </w:tc>
        <w:tc>
          <w:tcPr>
            <w:tcW w:w="1251"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r>
      <w:tr w:rsidR="00956089">
        <w:tc>
          <w:tcPr>
            <w:tcW w:w="1497" w:type="dxa"/>
            <w:vAlign w:val="center"/>
          </w:tcPr>
          <w:p w:rsidR="00956089" w:rsidRDefault="00336B1D">
            <w:pPr>
              <w:jc w:val="left"/>
            </w:pPr>
            <w:r>
              <w:rPr>
                <w:color w:val="000000"/>
                <w:sz w:val="24"/>
              </w:rPr>
              <w:t>过去六个月</w:t>
            </w:r>
          </w:p>
        </w:tc>
        <w:tc>
          <w:tcPr>
            <w:tcW w:w="1251"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r>
      <w:tr w:rsidR="00956089">
        <w:tc>
          <w:tcPr>
            <w:tcW w:w="1497" w:type="dxa"/>
            <w:vAlign w:val="center"/>
          </w:tcPr>
          <w:p w:rsidR="00956089" w:rsidRDefault="00336B1D">
            <w:pPr>
              <w:jc w:val="left"/>
            </w:pPr>
            <w:r>
              <w:rPr>
                <w:color w:val="000000"/>
                <w:sz w:val="24"/>
              </w:rPr>
              <w:t>过去一年</w:t>
            </w:r>
          </w:p>
        </w:tc>
        <w:tc>
          <w:tcPr>
            <w:tcW w:w="1251"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r>
      <w:tr w:rsidR="00956089">
        <w:tc>
          <w:tcPr>
            <w:tcW w:w="1497" w:type="dxa"/>
            <w:vAlign w:val="center"/>
          </w:tcPr>
          <w:p w:rsidR="00956089" w:rsidRDefault="00336B1D">
            <w:pPr>
              <w:jc w:val="left"/>
            </w:pPr>
            <w:r>
              <w:rPr>
                <w:color w:val="000000"/>
                <w:sz w:val="24"/>
              </w:rPr>
              <w:t>自基金合同生效至今</w:t>
            </w:r>
          </w:p>
        </w:tc>
        <w:tc>
          <w:tcPr>
            <w:tcW w:w="1251"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c>
          <w:tcPr>
            <w:tcW w:w="1250" w:type="dxa"/>
            <w:vAlign w:val="center"/>
          </w:tcPr>
          <w:p w:rsidR="00956089" w:rsidRDefault="00336B1D">
            <w:pPr>
              <w:jc w:val="center"/>
            </w:pPr>
            <w:r>
              <w:rPr>
                <w:color w:val="000000"/>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交银施罗德裕如纯债债券型证券投资基金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2018</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25</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交银裕如纯债债券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2018</w:t>
      </w:r>
      <w:r w:rsidRPr="008A1551">
        <w:rPr>
          <w:kern w:val="0"/>
          <w:sz w:val="24"/>
        </w:rPr>
        <w:t>年</w:t>
      </w:r>
      <w:r w:rsidRPr="008A1551">
        <w:rPr>
          <w:kern w:val="0"/>
          <w:sz w:val="24"/>
        </w:rPr>
        <w:t>5</w:t>
      </w:r>
      <w:r w:rsidRPr="008A1551">
        <w:rPr>
          <w:kern w:val="0"/>
          <w:sz w:val="24"/>
        </w:rPr>
        <w:t>月</w:t>
      </w:r>
      <w:r w:rsidRPr="008A1551">
        <w:rPr>
          <w:kern w:val="0"/>
          <w:sz w:val="24"/>
        </w:rPr>
        <w:t>25</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交银裕如纯债债券</w:t>
      </w:r>
      <w:r w:rsidRPr="008A1551">
        <w:rPr>
          <w:rFonts w:ascii="Times New Roman" w:hAnsi="Times New Roman"/>
          <w:color w:val="auto"/>
        </w:rPr>
        <w:t>C</w:t>
      </w:r>
    </w:p>
    <w:p w:rsidR="002C42E4" w:rsidRPr="008A1551" w:rsidRDefault="002C42E4" w:rsidP="009E1EA4">
      <w:pPr>
        <w:spacing w:before="29" w:line="288" w:lineRule="auto"/>
        <w:jc w:val="center"/>
        <w:rPr>
          <w:color w:val="000000"/>
          <w:sz w:val="24"/>
        </w:rPr>
      </w:pPr>
    </w:p>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956089" w:rsidRDefault="00336B1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956089">
        <w:tc>
          <w:tcPr>
            <w:tcW w:w="1033" w:type="dxa"/>
            <w:vAlign w:val="center"/>
          </w:tcPr>
          <w:p w:rsidR="00956089" w:rsidRDefault="00336B1D">
            <w:pPr>
              <w:jc w:val="center"/>
            </w:pPr>
            <w:r>
              <w:rPr>
                <w:color w:val="000000"/>
                <w:sz w:val="24"/>
              </w:rPr>
              <w:t>于海颖</w:t>
            </w:r>
          </w:p>
        </w:tc>
        <w:tc>
          <w:tcPr>
            <w:tcW w:w="1416" w:type="dxa"/>
            <w:vAlign w:val="center"/>
          </w:tcPr>
          <w:p w:rsidR="00956089" w:rsidRDefault="00336B1D">
            <w:pPr>
              <w:jc w:val="center"/>
            </w:pPr>
            <w:r>
              <w:rPr>
                <w:color w:val="000000"/>
                <w:sz w:val="24"/>
              </w:rPr>
              <w:t>交银增利债券、交银纯债债券发起、交银丰盈收益债券、交银丰晟收益债券、交银裕如纯债债券的基金经理，公司固定收益（公募）投资总监</w:t>
            </w:r>
          </w:p>
        </w:tc>
        <w:tc>
          <w:tcPr>
            <w:tcW w:w="1126" w:type="dxa"/>
            <w:vAlign w:val="center"/>
          </w:tcPr>
          <w:p w:rsidR="00956089" w:rsidRDefault="00336B1D">
            <w:pPr>
              <w:jc w:val="center"/>
            </w:pPr>
            <w:r>
              <w:rPr>
                <w:color w:val="000000"/>
                <w:sz w:val="24"/>
              </w:rPr>
              <w:t>2018-05-25</w:t>
            </w:r>
          </w:p>
        </w:tc>
        <w:tc>
          <w:tcPr>
            <w:tcW w:w="1192" w:type="dxa"/>
            <w:vAlign w:val="center"/>
          </w:tcPr>
          <w:p w:rsidR="00956089" w:rsidRDefault="00336B1D">
            <w:pPr>
              <w:jc w:val="center"/>
            </w:pPr>
            <w:r>
              <w:rPr>
                <w:color w:val="000000"/>
                <w:sz w:val="24"/>
              </w:rPr>
              <w:t>-</w:t>
            </w:r>
          </w:p>
        </w:tc>
        <w:tc>
          <w:tcPr>
            <w:tcW w:w="1169" w:type="dxa"/>
            <w:vAlign w:val="center"/>
          </w:tcPr>
          <w:p w:rsidR="00956089" w:rsidRDefault="00336B1D">
            <w:pPr>
              <w:jc w:val="center"/>
            </w:pPr>
            <w:r>
              <w:rPr>
                <w:color w:val="000000"/>
                <w:sz w:val="24"/>
              </w:rPr>
              <w:t>13</w:t>
            </w:r>
            <w:r>
              <w:rPr>
                <w:color w:val="000000"/>
                <w:sz w:val="24"/>
              </w:rPr>
              <w:t>年</w:t>
            </w:r>
          </w:p>
        </w:tc>
        <w:tc>
          <w:tcPr>
            <w:tcW w:w="3062" w:type="dxa"/>
            <w:vAlign w:val="center"/>
          </w:tcPr>
          <w:p w:rsidR="00956089" w:rsidRDefault="00336B1D">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956089">
        <w:tc>
          <w:tcPr>
            <w:tcW w:w="1033" w:type="dxa"/>
            <w:vAlign w:val="center"/>
          </w:tcPr>
          <w:p w:rsidR="00956089" w:rsidRDefault="00336B1D">
            <w:pPr>
              <w:jc w:val="center"/>
            </w:pPr>
            <w:r>
              <w:rPr>
                <w:color w:val="000000"/>
                <w:sz w:val="24"/>
              </w:rPr>
              <w:t>魏玉敏</w:t>
            </w:r>
          </w:p>
        </w:tc>
        <w:tc>
          <w:tcPr>
            <w:tcW w:w="1416" w:type="dxa"/>
            <w:vAlign w:val="center"/>
          </w:tcPr>
          <w:p w:rsidR="00956089" w:rsidRDefault="00336B1D">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126" w:type="dxa"/>
            <w:vAlign w:val="center"/>
          </w:tcPr>
          <w:p w:rsidR="00956089" w:rsidRDefault="00336B1D">
            <w:pPr>
              <w:jc w:val="center"/>
            </w:pPr>
            <w:r>
              <w:rPr>
                <w:color w:val="000000"/>
                <w:sz w:val="24"/>
              </w:rPr>
              <w:t>2018-08-29</w:t>
            </w:r>
          </w:p>
        </w:tc>
        <w:tc>
          <w:tcPr>
            <w:tcW w:w="1192" w:type="dxa"/>
            <w:vAlign w:val="center"/>
          </w:tcPr>
          <w:p w:rsidR="00956089" w:rsidRDefault="00336B1D">
            <w:pPr>
              <w:jc w:val="center"/>
            </w:pPr>
            <w:r>
              <w:rPr>
                <w:color w:val="000000"/>
                <w:sz w:val="24"/>
              </w:rPr>
              <w:t>-</w:t>
            </w:r>
          </w:p>
        </w:tc>
        <w:tc>
          <w:tcPr>
            <w:tcW w:w="1169" w:type="dxa"/>
            <w:vAlign w:val="center"/>
          </w:tcPr>
          <w:p w:rsidR="00956089" w:rsidRDefault="00336B1D">
            <w:pPr>
              <w:jc w:val="center"/>
            </w:pPr>
            <w:r>
              <w:rPr>
                <w:color w:val="000000"/>
                <w:sz w:val="24"/>
              </w:rPr>
              <w:t>7</w:t>
            </w:r>
            <w:r>
              <w:rPr>
                <w:color w:val="000000"/>
                <w:sz w:val="24"/>
              </w:rPr>
              <w:t>年</w:t>
            </w:r>
          </w:p>
        </w:tc>
        <w:tc>
          <w:tcPr>
            <w:tcW w:w="3062" w:type="dxa"/>
            <w:vAlign w:val="center"/>
          </w:tcPr>
          <w:p w:rsidR="00956089" w:rsidRDefault="00336B1D">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56089" w:rsidRDefault="00336B1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56089" w:rsidRDefault="00336B1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956089" w:rsidRDefault="00336B1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56089" w:rsidRDefault="00336B1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56089" w:rsidRDefault="00336B1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956089" w:rsidRDefault="00336B1D">
      <w:pPr>
        <w:spacing w:before="29" w:line="288" w:lineRule="auto"/>
        <w:ind w:firstLineChars="200" w:firstLine="480"/>
        <w:rPr>
          <w:color w:val="000000"/>
          <w:sz w:val="24"/>
        </w:rPr>
      </w:pPr>
      <w:r>
        <w:rPr>
          <w:color w:val="000000"/>
          <w:sz w:val="24"/>
        </w:rPr>
        <w:t>2019</w:t>
      </w:r>
      <w:r>
        <w:rPr>
          <w:color w:val="000000"/>
          <w:sz w:val="24"/>
        </w:rPr>
        <w:t>年上半年宏观经济和债券市场均处于震荡波动中，债券收益率呈现先上后下走势。今年年初以来债券市场的交易逻辑从去年的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基于对宏观经济的判断，结合市场收益率曲线形态变动调整了组合久期配置，组合以中短期利率债为主要配置，在二季度流动性分层明显的情况下，组合杠杆操作依然维持了较低的资金成本，为组合增厚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组合将继续关注市场情况，适时进行组合各券调仓，同时结合市场情况，灵活调整组合久期，以期增厚组合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956089" w:rsidRDefault="00336B1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56089" w:rsidRDefault="00336B1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本基金本报告期内连续二十个工作日以上出现基金份额持有人数量不满</w:t>
      </w:r>
      <w:r w:rsidRPr="008A1551">
        <w:rPr>
          <w:kern w:val="0"/>
          <w:sz w:val="24"/>
        </w:rPr>
        <w:t>200</w:t>
      </w:r>
      <w:r w:rsidRPr="008A1551">
        <w:rPr>
          <w:kern w:val="0"/>
          <w:sz w:val="24"/>
        </w:rPr>
        <w:t>人的情形，截至本报告期末，本基金基金份额持有人数量仍不满</w:t>
      </w:r>
      <w:r w:rsidRPr="008A1551">
        <w:rPr>
          <w:kern w:val="0"/>
          <w:sz w:val="24"/>
        </w:rPr>
        <w:t>200</w:t>
      </w:r>
      <w:r w:rsidRPr="008A1551">
        <w:rPr>
          <w:kern w:val="0"/>
          <w:sz w:val="24"/>
        </w:rPr>
        <w:t>人。</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托管人在对交银施罗德裕如纯债债券型证券投资基金的托管过程中，严格遵守《证券投资基金法》及其他法律法规和基金合同的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交银施罗德裕如纯债债券型证券投资基金的管理人交银施罗德基金管理有限公司在交银施罗德裕如纯债债券型证券投资基金的投资运作、基金资产净值计算、基金费用开支等问题上，不存在损害基金份额持有人利益的行为，在各重要方面的运作严格按照基金合同的规定进行。本报告期内，本基金实施利润分配的金额为</w:t>
      </w:r>
      <w:r w:rsidRPr="008A1551">
        <w:rPr>
          <w:color w:val="000000"/>
          <w:sz w:val="24"/>
        </w:rPr>
        <w:t>97,978,247.78</w:t>
      </w:r>
      <w:r w:rsidRPr="008A1551">
        <w:rPr>
          <w:color w:val="000000"/>
          <w:sz w:val="24"/>
        </w:rPr>
        <w:t>元。</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本托管人依法对交银施罗德基金管理有限公司编制和披露的交银施罗德裕如纯债债券型证券投资基金</w:t>
      </w:r>
      <w:r w:rsidRPr="008A1551">
        <w:rPr>
          <w:color w:val="000000"/>
          <w:sz w:val="24"/>
        </w:rPr>
        <w:t>2019</w:t>
      </w:r>
      <w:r w:rsidRPr="008A1551">
        <w:rPr>
          <w:color w:val="000000"/>
          <w:sz w:val="24"/>
        </w:rPr>
        <w:t>年半年度报告中财务指标、净值表现、利润分配情况、财务会计报告、投资组合报告等内容进行了</w:t>
      </w:r>
      <w:r w:rsidR="00256CF6">
        <w:rPr>
          <w:rFonts w:hint="eastAsia"/>
          <w:color w:val="000000"/>
          <w:sz w:val="24"/>
        </w:rPr>
        <w:t>复核</w:t>
      </w:r>
      <w:r w:rsidRPr="008A1551">
        <w:rPr>
          <w:color w:val="000000"/>
          <w:sz w:val="24"/>
        </w:rPr>
        <w:t>，以上内容真实、准确和完整。</w:t>
      </w:r>
    </w:p>
    <w:p w:rsidR="00647A34" w:rsidRPr="00256CF6" w:rsidRDefault="00647A34" w:rsidP="009E1EA4">
      <w:pPr>
        <w:spacing w:before="29" w:line="288" w:lineRule="auto"/>
        <w:ind w:firstLineChars="200" w:firstLine="480"/>
        <w:rPr>
          <w:color w:val="000000"/>
          <w:sz w:val="24"/>
        </w:rPr>
      </w:pPr>
      <w:bookmarkStart w:id="43" w:name="_GoBack"/>
      <w:bookmarkEnd w:id="43"/>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会计主体：交银施罗德裕如纯债债券型证券投资基金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953,834.65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1,600,201.12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2,741,281.66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41,665.13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5,610.83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4,264,471,000.00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3,027,564,400.00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4,264,471,000.00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3,027,564,400.00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 xml:space="preserve">6.4.7.4 </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74,101,950.50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70,106,984.55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4,342,309,731.94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3,099,277,196.50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614,023,452.98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169,070,626.39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839,475.78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619,745.69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279,825.24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206,581.90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49,518.01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40,961.26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69,699.29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255,031.40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96,819.96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249,350.00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615,358,791.26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170,442,296.64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3,659,998,747.13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2,838,519,986.25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66,952,193.55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90,314,913.61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3,726,950,940.68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2,928,834,899.86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4,342,309,731.94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3,099,277,196.50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1.0183</w:t>
      </w:r>
      <w:r w:rsidRPr="008A1551">
        <w:rPr>
          <w:kern w:val="0"/>
          <w:sz w:val="24"/>
        </w:rPr>
        <w:t>元，基金份额总额</w:t>
      </w:r>
      <w:r w:rsidRPr="008A1551">
        <w:rPr>
          <w:kern w:val="0"/>
          <w:sz w:val="24"/>
        </w:rPr>
        <w:t>3,659,998,747.13</w:t>
      </w:r>
      <w:r w:rsidRPr="008A1551">
        <w:rPr>
          <w:kern w:val="0"/>
          <w:sz w:val="24"/>
        </w:rPr>
        <w:t>份，其中</w:t>
      </w:r>
      <w:r w:rsidRPr="008A1551">
        <w:rPr>
          <w:kern w:val="0"/>
          <w:sz w:val="24"/>
        </w:rPr>
        <w:t>A</w:t>
      </w:r>
      <w:r w:rsidRPr="008A1551">
        <w:rPr>
          <w:kern w:val="0"/>
          <w:sz w:val="24"/>
        </w:rPr>
        <w:t>类基金份额</w:t>
      </w:r>
      <w:r w:rsidRPr="008A1551">
        <w:rPr>
          <w:kern w:val="0"/>
          <w:sz w:val="24"/>
        </w:rPr>
        <w:t>3,659,998,747.13</w:t>
      </w:r>
      <w:r w:rsidRPr="008A1551">
        <w:rPr>
          <w:kern w:val="0"/>
          <w:sz w:val="24"/>
        </w:rPr>
        <w:t>份，</w:t>
      </w:r>
      <w:r w:rsidRPr="008A1551">
        <w:rPr>
          <w:kern w:val="0"/>
          <w:sz w:val="24"/>
        </w:rPr>
        <w:t>C</w:t>
      </w:r>
      <w:r w:rsidRPr="008A1551">
        <w:rPr>
          <w:kern w:val="0"/>
          <w:sz w:val="24"/>
        </w:rPr>
        <w:t>类基金份额</w:t>
      </w:r>
      <w:r w:rsidRPr="008A1551">
        <w:rPr>
          <w:kern w:val="0"/>
          <w:sz w:val="24"/>
        </w:rPr>
        <w:t>0</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交银施罗德裕如纯债债券型证券投资基金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5</w:t>
            </w:r>
            <w:r w:rsidRPr="008A1551">
              <w:rPr>
                <w:rFonts w:ascii="Times New Roman" w:hAnsi="Times New Roman"/>
                <w:b/>
                <w:color w:val="000000"/>
              </w:rPr>
              <w:t>月</w:t>
            </w:r>
            <w:r w:rsidRPr="008A1551">
              <w:rPr>
                <w:rFonts w:ascii="Times New Roman" w:hAnsi="Times New Roman"/>
                <w:b/>
                <w:color w:val="000000"/>
              </w:rPr>
              <w:t>25</w:t>
            </w:r>
            <w:r w:rsidRPr="008A1551">
              <w:rPr>
                <w:rFonts w:ascii="Times New Roman" w:hAnsi="Times New Roman"/>
                <w:b/>
                <w:color w:val="000000"/>
              </w:rPr>
              <w:t>日（基金合同生效日）至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61,972,961.81</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72,163,270.10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71,943.62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72,091,326.48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3,045,438.52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3,045,438.52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-13,235,746.81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13,185,845.98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4,735,243.74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1,578,414.62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38,800.29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6,727,267.37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6,727,267.37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106,119.96</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48,787,115.83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48,787,115.83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交银施罗德裕如纯债债券型证券投资基金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2,838,519,986.25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90,314,913.61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2,928,834,899.86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48,787,115.83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48,787,115.83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821,478,760.88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25,828,411.89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847,307,172.77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1,985,999,853.39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63,992,769.39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2,049,992,622.78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-1,164,521,092.51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-38,164,357.50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-1,202,685,450.01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-97,978,247.78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-97,978,247.78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3,659,998,747.13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66,952,193.55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3,726,950,940.68</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956089" w:rsidRDefault="00336B1D">
      <w:pPr>
        <w:spacing w:before="29" w:line="288" w:lineRule="auto"/>
        <w:ind w:firstLineChars="200" w:firstLine="480"/>
        <w:rPr>
          <w:color w:val="000000"/>
          <w:sz w:val="24"/>
        </w:rPr>
      </w:pPr>
      <w:r>
        <w:rPr>
          <w:color w:val="000000"/>
          <w:sz w:val="24"/>
        </w:rPr>
        <w:t>交银施罗德裕如纯债债券型证券投资基金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693</w:t>
      </w:r>
      <w:r>
        <w:rPr>
          <w:color w:val="000000"/>
          <w:sz w:val="24"/>
        </w:rPr>
        <w:t>号《关于准予交银施罗德裕如纯债债券型证券投资基金注册的批复》核准，由交银施罗德基金管理有限公司依照《中华人民共和国证券投资基金法》和《交银施罗德裕如纯债债券型证券投资基金基金合同》负责公开募集。本基金为契约型开放式，存续期限不定，首次设立募集不包括认购资金利息共募集人民币</w:t>
      </w:r>
      <w:r>
        <w:rPr>
          <w:color w:val="000000"/>
          <w:sz w:val="24"/>
        </w:rPr>
        <w:t>210,006,326.79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0366</w:t>
      </w:r>
      <w:r>
        <w:rPr>
          <w:color w:val="000000"/>
          <w:sz w:val="24"/>
        </w:rPr>
        <w:t>号验资报告予以验证。经向中国证监会备案，《交银施罗德裕如纯债债券型证券投资基金基金合同》于</w:t>
      </w:r>
      <w:r>
        <w:rPr>
          <w:color w:val="000000"/>
          <w:sz w:val="24"/>
        </w:rPr>
        <w:t>2018</w:t>
      </w:r>
      <w:r>
        <w:rPr>
          <w:color w:val="000000"/>
          <w:sz w:val="24"/>
        </w:rPr>
        <w:t>年</w:t>
      </w:r>
      <w:r>
        <w:rPr>
          <w:color w:val="000000"/>
          <w:sz w:val="24"/>
        </w:rPr>
        <w:t>5</w:t>
      </w:r>
      <w:r>
        <w:rPr>
          <w:color w:val="000000"/>
          <w:sz w:val="24"/>
        </w:rPr>
        <w:t>月</w:t>
      </w:r>
      <w:r>
        <w:rPr>
          <w:color w:val="000000"/>
          <w:sz w:val="24"/>
        </w:rPr>
        <w:t>25</w:t>
      </w:r>
      <w:r>
        <w:rPr>
          <w:color w:val="000000"/>
          <w:sz w:val="24"/>
        </w:rPr>
        <w:t>日正式生效，基金合同生效日的基金份额总额为</w:t>
      </w:r>
      <w:r>
        <w:rPr>
          <w:color w:val="000000"/>
          <w:sz w:val="24"/>
        </w:rPr>
        <w:t>210,015,777.03</w:t>
      </w:r>
      <w:r>
        <w:rPr>
          <w:color w:val="000000"/>
          <w:sz w:val="24"/>
        </w:rPr>
        <w:t>份基金份额，其中认购资金利息折合</w:t>
      </w:r>
      <w:r>
        <w:rPr>
          <w:color w:val="000000"/>
          <w:sz w:val="24"/>
        </w:rPr>
        <w:t>9,450.24</w:t>
      </w:r>
      <w:r>
        <w:rPr>
          <w:color w:val="000000"/>
          <w:sz w:val="24"/>
        </w:rPr>
        <w:t>份基金份额。本基金的基金管理人为交银施罗德基金管理有限公司，基金托管人为浙商银行股份有限公司。</w:t>
      </w:r>
    </w:p>
    <w:p w:rsidR="00956089" w:rsidRDefault="00956089">
      <w:pPr>
        <w:spacing w:before="29" w:line="288" w:lineRule="auto"/>
        <w:ind w:firstLineChars="200" w:firstLine="480"/>
        <w:rPr>
          <w:color w:val="000000"/>
          <w:sz w:val="24"/>
        </w:rPr>
      </w:pPr>
    </w:p>
    <w:p w:rsidR="00956089" w:rsidRDefault="00336B1D">
      <w:pPr>
        <w:spacing w:before="29" w:line="288" w:lineRule="auto"/>
        <w:ind w:firstLineChars="200" w:firstLine="480"/>
        <w:rPr>
          <w:color w:val="000000"/>
          <w:sz w:val="24"/>
        </w:rPr>
      </w:pPr>
      <w:r>
        <w:rPr>
          <w:color w:val="000000"/>
          <w:sz w:val="24"/>
        </w:rPr>
        <w:t>根据《交银施罗德裕如纯债债券型证券投资基金基金合同》和《交银施罗德裕如纯债债券型证券投资基金招募说明书》，本基金根据认购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956089" w:rsidRDefault="00956089">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如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，其中现金不包括结算备付金、存出保证金、应收申购款等。本基金的业绩比较基准为中债综合全价指数收益率。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956089" w:rsidRDefault="00336B1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颁布的《证券投资基金会计核算业务指引》、《交银施罗德裕如纯债债券型证券投资基金基金合同》和在财务报表附注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956089" w:rsidRDefault="00956089">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956089" w:rsidRDefault="00336B1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56089" w:rsidRDefault="00956089">
      <w:pPr>
        <w:spacing w:before="29" w:line="288" w:lineRule="auto"/>
        <w:ind w:firstLineChars="200" w:firstLine="480"/>
        <w:rPr>
          <w:color w:val="000000"/>
          <w:sz w:val="24"/>
        </w:rPr>
      </w:pPr>
    </w:p>
    <w:p w:rsidR="00956089" w:rsidRDefault="00336B1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956089" w:rsidRDefault="00956089">
      <w:pPr>
        <w:spacing w:before="29" w:line="288" w:lineRule="auto"/>
        <w:ind w:firstLineChars="200" w:firstLine="480"/>
        <w:rPr>
          <w:color w:val="000000"/>
          <w:sz w:val="24"/>
        </w:rPr>
      </w:pPr>
    </w:p>
    <w:p w:rsidR="00956089" w:rsidRDefault="00336B1D">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956089" w:rsidRDefault="00956089">
      <w:pPr>
        <w:spacing w:before="29" w:line="288" w:lineRule="auto"/>
        <w:ind w:firstLineChars="200" w:firstLine="480"/>
        <w:rPr>
          <w:color w:val="000000"/>
          <w:sz w:val="24"/>
        </w:rPr>
      </w:pPr>
    </w:p>
    <w:p w:rsidR="00956089" w:rsidRDefault="00336B1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956089" w:rsidRDefault="00956089">
      <w:pPr>
        <w:spacing w:before="29" w:line="288" w:lineRule="auto"/>
        <w:ind w:firstLineChars="200" w:firstLine="480"/>
        <w:rPr>
          <w:color w:val="000000"/>
          <w:sz w:val="24"/>
        </w:rPr>
      </w:pPr>
    </w:p>
    <w:p w:rsidR="00956089" w:rsidRDefault="00336B1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的个人所得税。上述所得统一适用</w:t>
      </w:r>
      <w:r>
        <w:rPr>
          <w:color w:val="000000"/>
          <w:sz w:val="24"/>
        </w:rPr>
        <w:t>20%</w:t>
      </w:r>
      <w:r>
        <w:rPr>
          <w:color w:val="000000"/>
          <w:sz w:val="24"/>
        </w:rPr>
        <w:t>的税率计征个人所得税。</w:t>
      </w:r>
    </w:p>
    <w:p w:rsidR="00956089" w:rsidRDefault="00956089">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956089">
        <w:tc>
          <w:tcPr>
            <w:tcW w:w="5219" w:type="dxa"/>
            <w:vAlign w:val="center"/>
          </w:tcPr>
          <w:p w:rsidR="00956089" w:rsidRDefault="00336B1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56089" w:rsidRDefault="00336B1D">
            <w:pPr>
              <w:jc w:val="left"/>
            </w:pPr>
            <w:r>
              <w:rPr>
                <w:color w:val="000000"/>
                <w:sz w:val="24"/>
              </w:rPr>
              <w:t>基金管理人、基金销售机构</w:t>
            </w:r>
          </w:p>
        </w:tc>
      </w:tr>
      <w:tr w:rsidR="00956089">
        <w:tc>
          <w:tcPr>
            <w:tcW w:w="5219" w:type="dxa"/>
            <w:vAlign w:val="center"/>
          </w:tcPr>
          <w:p w:rsidR="00956089" w:rsidRDefault="00336B1D">
            <w:pPr>
              <w:jc w:val="left"/>
            </w:pPr>
            <w:r>
              <w:rPr>
                <w:color w:val="000000"/>
                <w:sz w:val="24"/>
              </w:rPr>
              <w:t>浙商银行股份有限公司</w:t>
            </w:r>
            <w:r>
              <w:rPr>
                <w:color w:val="000000"/>
                <w:sz w:val="24"/>
              </w:rPr>
              <w:t>(“</w:t>
            </w:r>
            <w:r>
              <w:rPr>
                <w:color w:val="000000"/>
                <w:sz w:val="24"/>
              </w:rPr>
              <w:t>浙商银行</w:t>
            </w:r>
            <w:r>
              <w:rPr>
                <w:color w:val="000000"/>
                <w:sz w:val="24"/>
              </w:rPr>
              <w:t>”)</w:t>
            </w:r>
          </w:p>
        </w:tc>
        <w:tc>
          <w:tcPr>
            <w:tcW w:w="3779" w:type="dxa"/>
            <w:vAlign w:val="center"/>
          </w:tcPr>
          <w:p w:rsidR="00956089" w:rsidRDefault="00336B1D">
            <w:pPr>
              <w:jc w:val="left"/>
            </w:pPr>
            <w:r>
              <w:rPr>
                <w:color w:val="000000"/>
                <w:sz w:val="24"/>
              </w:rPr>
              <w:t>基金托管人</w:t>
            </w:r>
          </w:p>
        </w:tc>
      </w:tr>
      <w:tr w:rsidR="00956089">
        <w:tc>
          <w:tcPr>
            <w:tcW w:w="5219" w:type="dxa"/>
            <w:vAlign w:val="center"/>
          </w:tcPr>
          <w:p w:rsidR="00956089" w:rsidRDefault="00336B1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56089" w:rsidRDefault="00336B1D">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5</w:t>
            </w:r>
            <w:r w:rsidRPr="008A1551">
              <w:rPr>
                <w:color w:val="000000"/>
                <w:sz w:val="24"/>
              </w:rPr>
              <w:t>月</w:t>
            </w:r>
            <w:r w:rsidRPr="008A1551">
              <w:rPr>
                <w:color w:val="000000"/>
                <w:sz w:val="24"/>
              </w:rPr>
              <w:t>25</w:t>
            </w:r>
            <w:r w:rsidRPr="008A1551">
              <w:rPr>
                <w:color w:val="000000"/>
                <w:sz w:val="24"/>
              </w:rPr>
              <w:t>日（基金合同生效日）至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4,735,243.74</w:t>
            </w:r>
          </w:p>
        </w:tc>
        <w:tc>
          <w:tcPr>
            <w:tcW w:w="2657" w:type="dxa"/>
            <w:vAlign w:val="center"/>
          </w:tcPr>
          <w:p w:rsidR="001548F9" w:rsidRPr="008A1551" w:rsidRDefault="001548F9" w:rsidP="009E1EA4">
            <w:pPr>
              <w:spacing w:before="29" w:line="288" w:lineRule="auto"/>
              <w:jc w:val="right"/>
              <w:rPr>
                <w:sz w:val="24"/>
              </w:rPr>
            </w:pPr>
            <w:r w:rsidRPr="008A1551">
              <w:rPr>
                <w:sz w:val="24"/>
              </w:rPr>
              <w:t>62,252.61</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15.27</w:t>
            </w:r>
          </w:p>
        </w:tc>
        <w:tc>
          <w:tcPr>
            <w:tcW w:w="2657" w:type="dxa"/>
            <w:vAlign w:val="center"/>
          </w:tcPr>
          <w:p w:rsidR="001548F9" w:rsidRPr="008A1551" w:rsidRDefault="001548F9" w:rsidP="009E1EA4">
            <w:pPr>
              <w:spacing w:before="29" w:line="288" w:lineRule="auto"/>
              <w:jc w:val="right"/>
              <w:rPr>
                <w:sz w:val="24"/>
              </w:rPr>
            </w:pPr>
            <w:r w:rsidRPr="008A1551">
              <w:rPr>
                <w:sz w:val="24"/>
              </w:rPr>
              <w:t>1.08</w:t>
            </w:r>
          </w:p>
        </w:tc>
      </w:tr>
    </w:tbl>
    <w:p w:rsidR="00956089" w:rsidRDefault="00336B1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0.30%/ </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5</w:t>
            </w:r>
            <w:r w:rsidRPr="008A1551">
              <w:rPr>
                <w:color w:val="000000"/>
                <w:sz w:val="24"/>
              </w:rPr>
              <w:t>月</w:t>
            </w:r>
            <w:r w:rsidRPr="008A1551">
              <w:rPr>
                <w:color w:val="000000"/>
                <w:sz w:val="24"/>
              </w:rPr>
              <w:t>25</w:t>
            </w:r>
            <w:r w:rsidRPr="008A1551">
              <w:rPr>
                <w:color w:val="000000"/>
                <w:sz w:val="24"/>
              </w:rPr>
              <w:t>日（基金合同生效日）至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1,578,414.62</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20,750.86</w:t>
            </w:r>
          </w:p>
        </w:tc>
      </w:tr>
    </w:tbl>
    <w:p w:rsidR="00956089" w:rsidRDefault="00336B1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 × 0.10%/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336B1D" w:rsidRPr="00F76FA7" w:rsidRDefault="00336B1D" w:rsidP="00336B1D">
      <w:pPr>
        <w:widowControl/>
        <w:spacing w:line="360" w:lineRule="auto"/>
        <w:jc w:val="left"/>
        <w:rPr>
          <w:kern w:val="0"/>
          <w:sz w:val="24"/>
        </w:rPr>
      </w:pPr>
      <w:r w:rsidRPr="00F76FA7">
        <w:rPr>
          <w:kern w:val="0"/>
          <w:sz w:val="24"/>
        </w:rPr>
        <w:t>本基金本报告期内无支付给各关联方的销售服务费。</w:t>
      </w:r>
    </w:p>
    <w:p w:rsidR="001548F9" w:rsidRPr="00336B1D"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5</w:t>
            </w:r>
            <w:r w:rsidRPr="008A1551">
              <w:rPr>
                <w:color w:val="000000"/>
                <w:sz w:val="24"/>
              </w:rPr>
              <w:t>月</w:t>
            </w:r>
            <w:r w:rsidRPr="008A1551">
              <w:rPr>
                <w:color w:val="000000"/>
                <w:sz w:val="24"/>
              </w:rPr>
              <w:t>25</w:t>
            </w:r>
            <w:r w:rsidRPr="008A1551">
              <w:rPr>
                <w:color w:val="000000"/>
                <w:sz w:val="24"/>
              </w:rPr>
              <w:t>日（基金合同生效日）至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956089">
        <w:tc>
          <w:tcPr>
            <w:tcW w:w="2692" w:type="dxa"/>
            <w:vAlign w:val="center"/>
          </w:tcPr>
          <w:p w:rsidR="00956089" w:rsidRDefault="00336B1D">
            <w:pPr>
              <w:jc w:val="left"/>
            </w:pPr>
            <w:r>
              <w:rPr>
                <w:sz w:val="24"/>
              </w:rPr>
              <w:t>浙商银行股份有限公司</w:t>
            </w:r>
          </w:p>
        </w:tc>
        <w:tc>
          <w:tcPr>
            <w:tcW w:w="1417" w:type="dxa"/>
            <w:vAlign w:val="center"/>
          </w:tcPr>
          <w:p w:rsidR="00956089" w:rsidRDefault="00336B1D">
            <w:pPr>
              <w:jc w:val="right"/>
            </w:pPr>
            <w:r>
              <w:rPr>
                <w:sz w:val="24"/>
              </w:rPr>
              <w:t>953,834.65</w:t>
            </w:r>
          </w:p>
        </w:tc>
        <w:tc>
          <w:tcPr>
            <w:tcW w:w="1736" w:type="dxa"/>
            <w:vAlign w:val="center"/>
          </w:tcPr>
          <w:p w:rsidR="00956089" w:rsidRDefault="00336B1D">
            <w:pPr>
              <w:jc w:val="right"/>
            </w:pPr>
            <w:r>
              <w:rPr>
                <w:sz w:val="24"/>
              </w:rPr>
              <w:t>54,289.34</w:t>
            </w:r>
          </w:p>
        </w:tc>
        <w:tc>
          <w:tcPr>
            <w:tcW w:w="1383" w:type="dxa"/>
            <w:vAlign w:val="center"/>
          </w:tcPr>
          <w:p w:rsidR="00956089" w:rsidRDefault="00336B1D">
            <w:pPr>
              <w:jc w:val="right"/>
            </w:pPr>
            <w:r>
              <w:rPr>
                <w:sz w:val="24"/>
              </w:rPr>
              <w:t>674,586.39</w:t>
            </w:r>
          </w:p>
        </w:tc>
        <w:tc>
          <w:tcPr>
            <w:tcW w:w="1770" w:type="dxa"/>
            <w:vAlign w:val="center"/>
          </w:tcPr>
          <w:p w:rsidR="00956089" w:rsidRDefault="00336B1D">
            <w:pPr>
              <w:jc w:val="right"/>
            </w:pPr>
            <w:r>
              <w:rPr>
                <w:sz w:val="24"/>
              </w:rPr>
              <w:t>19,042.79</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3" w:name="OLE_LINK189"/>
      <w:bookmarkStart w:id="54" w:name="OLE_LINK7"/>
      <w:bookmarkStart w:id="55" w:name="OLE_LINK6"/>
      <w:r w:rsidRPr="00207C2A">
        <w:rPr>
          <w:rFonts w:eastAsiaTheme="minorEastAsia" w:hint="eastAsia"/>
          <w:b/>
          <w:color w:val="000000" w:themeColor="text1"/>
          <w:sz w:val="24"/>
        </w:rPr>
        <w:t>其他关联交易事项的说明</w:t>
      </w:r>
      <w:bookmarkEnd w:id="53"/>
      <w:bookmarkEnd w:id="54"/>
      <w:bookmarkEnd w:id="55"/>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614,023,452.98</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956089">
        <w:tc>
          <w:tcPr>
            <w:tcW w:w="1276" w:type="dxa"/>
            <w:vAlign w:val="center"/>
          </w:tcPr>
          <w:p w:rsidR="00956089" w:rsidRDefault="00336B1D">
            <w:pPr>
              <w:jc w:val="center"/>
            </w:pPr>
            <w:r>
              <w:rPr>
                <w:color w:val="000000"/>
                <w:kern w:val="0"/>
                <w:sz w:val="24"/>
              </w:rPr>
              <w:t>180208</w:t>
            </w:r>
          </w:p>
        </w:tc>
        <w:tc>
          <w:tcPr>
            <w:tcW w:w="1843" w:type="dxa"/>
            <w:vAlign w:val="center"/>
          </w:tcPr>
          <w:p w:rsidR="00956089" w:rsidRDefault="00336B1D">
            <w:pPr>
              <w:jc w:val="center"/>
            </w:pPr>
            <w:r>
              <w:rPr>
                <w:color w:val="000000"/>
                <w:kern w:val="0"/>
                <w:sz w:val="24"/>
              </w:rPr>
              <w:t>18</w:t>
            </w:r>
            <w:r>
              <w:rPr>
                <w:color w:val="000000"/>
                <w:kern w:val="0"/>
                <w:sz w:val="24"/>
              </w:rPr>
              <w:t>国开</w:t>
            </w:r>
            <w:r>
              <w:rPr>
                <w:color w:val="000000"/>
                <w:kern w:val="0"/>
                <w:sz w:val="24"/>
              </w:rPr>
              <w:t>08</w:t>
            </w:r>
          </w:p>
        </w:tc>
        <w:tc>
          <w:tcPr>
            <w:tcW w:w="1559" w:type="dxa"/>
            <w:vAlign w:val="center"/>
          </w:tcPr>
          <w:p w:rsidR="00956089" w:rsidRDefault="00336B1D">
            <w:pPr>
              <w:jc w:val="center"/>
            </w:pPr>
            <w:r>
              <w:rPr>
                <w:color w:val="000000"/>
                <w:kern w:val="0"/>
                <w:sz w:val="24"/>
              </w:rPr>
              <w:t>2019-07-01</w:t>
            </w:r>
          </w:p>
        </w:tc>
        <w:tc>
          <w:tcPr>
            <w:tcW w:w="1058" w:type="dxa"/>
            <w:vAlign w:val="center"/>
          </w:tcPr>
          <w:p w:rsidR="00956089" w:rsidRDefault="00336B1D">
            <w:pPr>
              <w:jc w:val="right"/>
            </w:pPr>
            <w:r>
              <w:rPr>
                <w:color w:val="000000"/>
                <w:kern w:val="0"/>
                <w:sz w:val="24"/>
              </w:rPr>
              <w:t>101.76</w:t>
            </w:r>
          </w:p>
        </w:tc>
        <w:tc>
          <w:tcPr>
            <w:tcW w:w="1434" w:type="dxa"/>
            <w:vAlign w:val="center"/>
          </w:tcPr>
          <w:p w:rsidR="00956089" w:rsidRDefault="00336B1D">
            <w:pPr>
              <w:jc w:val="right"/>
            </w:pPr>
            <w:r>
              <w:rPr>
                <w:color w:val="000000"/>
                <w:kern w:val="0"/>
                <w:sz w:val="24"/>
              </w:rPr>
              <w:t>6,420,000</w:t>
            </w:r>
          </w:p>
        </w:tc>
        <w:tc>
          <w:tcPr>
            <w:tcW w:w="1828" w:type="dxa"/>
            <w:vAlign w:val="center"/>
          </w:tcPr>
          <w:p w:rsidR="00956089" w:rsidRDefault="00336B1D">
            <w:pPr>
              <w:jc w:val="right"/>
            </w:pPr>
            <w:r>
              <w:rPr>
                <w:color w:val="000000"/>
                <w:kern w:val="0"/>
                <w:sz w:val="24"/>
              </w:rPr>
              <w:t>653,299,200.00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6,420,000</w:t>
            </w:r>
          </w:p>
        </w:tc>
        <w:tc>
          <w:tcPr>
            <w:tcW w:w="1828" w:type="dxa"/>
            <w:vAlign w:val="center"/>
          </w:tcPr>
          <w:p w:rsidR="001548F9" w:rsidRPr="008A1551" w:rsidRDefault="001548F9" w:rsidP="009E1EA4">
            <w:pPr>
              <w:spacing w:before="29" w:line="288" w:lineRule="auto"/>
              <w:jc w:val="right"/>
              <w:rPr>
                <w:sz w:val="24"/>
              </w:rPr>
            </w:pPr>
            <w:r w:rsidRPr="008A1551">
              <w:rPr>
                <w:sz w:val="24"/>
              </w:rPr>
              <w:t>653,299,200.00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4,264,471,000.00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98.21</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4,264,471,000.00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98.21</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3,695,116.31</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0.09</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74,143,615.63</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1.71</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4,342,309,731.94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188,974,000.00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5.07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4,075,497,000.00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109.35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4,075,497,000.00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109.35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4,264,471,000.00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114.42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956089">
        <w:tc>
          <w:tcPr>
            <w:tcW w:w="1320" w:type="dxa"/>
            <w:vAlign w:val="center"/>
          </w:tcPr>
          <w:p w:rsidR="00956089" w:rsidRDefault="00336B1D">
            <w:pPr>
              <w:jc w:val="center"/>
            </w:pPr>
            <w:r>
              <w:rPr>
                <w:color w:val="000000"/>
                <w:sz w:val="24"/>
              </w:rPr>
              <w:t>1</w:t>
            </w:r>
          </w:p>
        </w:tc>
        <w:tc>
          <w:tcPr>
            <w:tcW w:w="1382" w:type="dxa"/>
            <w:vAlign w:val="center"/>
          </w:tcPr>
          <w:p w:rsidR="00956089" w:rsidRDefault="00336B1D">
            <w:pPr>
              <w:jc w:val="center"/>
            </w:pPr>
            <w:r>
              <w:rPr>
                <w:color w:val="000000"/>
                <w:sz w:val="24"/>
              </w:rPr>
              <w:t>180208</w:t>
            </w:r>
          </w:p>
        </w:tc>
        <w:tc>
          <w:tcPr>
            <w:tcW w:w="1353" w:type="dxa"/>
            <w:vAlign w:val="center"/>
          </w:tcPr>
          <w:p w:rsidR="00956089" w:rsidRDefault="00336B1D">
            <w:pPr>
              <w:jc w:val="center"/>
            </w:pPr>
            <w:r>
              <w:rPr>
                <w:color w:val="000000"/>
                <w:sz w:val="24"/>
              </w:rPr>
              <w:t>18</w:t>
            </w:r>
            <w:r>
              <w:rPr>
                <w:color w:val="000000"/>
                <w:sz w:val="24"/>
              </w:rPr>
              <w:t>国开</w:t>
            </w:r>
            <w:r>
              <w:rPr>
                <w:color w:val="000000"/>
                <w:sz w:val="24"/>
              </w:rPr>
              <w:t>08</w:t>
            </w:r>
          </w:p>
        </w:tc>
        <w:tc>
          <w:tcPr>
            <w:tcW w:w="1505" w:type="dxa"/>
            <w:vAlign w:val="center"/>
          </w:tcPr>
          <w:p w:rsidR="00956089" w:rsidRDefault="00336B1D">
            <w:pPr>
              <w:jc w:val="right"/>
            </w:pPr>
            <w:r>
              <w:rPr>
                <w:color w:val="000000"/>
                <w:sz w:val="24"/>
              </w:rPr>
              <w:t>9,000,000</w:t>
            </w:r>
          </w:p>
        </w:tc>
        <w:tc>
          <w:tcPr>
            <w:tcW w:w="1737" w:type="dxa"/>
            <w:vAlign w:val="center"/>
          </w:tcPr>
          <w:p w:rsidR="00956089" w:rsidRDefault="00336B1D">
            <w:pPr>
              <w:jc w:val="right"/>
            </w:pPr>
            <w:r>
              <w:rPr>
                <w:color w:val="000000"/>
                <w:sz w:val="24"/>
              </w:rPr>
              <w:t>915,840,000.00</w:t>
            </w:r>
          </w:p>
        </w:tc>
        <w:tc>
          <w:tcPr>
            <w:tcW w:w="1701" w:type="dxa"/>
            <w:vAlign w:val="center"/>
          </w:tcPr>
          <w:p w:rsidR="00956089" w:rsidRDefault="00336B1D">
            <w:pPr>
              <w:jc w:val="right"/>
            </w:pPr>
            <w:r>
              <w:rPr>
                <w:color w:val="000000"/>
                <w:sz w:val="24"/>
              </w:rPr>
              <w:t>24.57</w:t>
            </w:r>
          </w:p>
        </w:tc>
      </w:tr>
      <w:tr w:rsidR="00956089">
        <w:tc>
          <w:tcPr>
            <w:tcW w:w="1320" w:type="dxa"/>
            <w:vAlign w:val="center"/>
          </w:tcPr>
          <w:p w:rsidR="00956089" w:rsidRDefault="00336B1D">
            <w:pPr>
              <w:jc w:val="center"/>
            </w:pPr>
            <w:r>
              <w:rPr>
                <w:color w:val="000000"/>
                <w:sz w:val="24"/>
              </w:rPr>
              <w:t>2</w:t>
            </w:r>
          </w:p>
        </w:tc>
        <w:tc>
          <w:tcPr>
            <w:tcW w:w="1382" w:type="dxa"/>
            <w:vAlign w:val="center"/>
          </w:tcPr>
          <w:p w:rsidR="00956089" w:rsidRDefault="00336B1D">
            <w:pPr>
              <w:jc w:val="center"/>
            </w:pPr>
            <w:r>
              <w:rPr>
                <w:color w:val="000000"/>
                <w:sz w:val="24"/>
              </w:rPr>
              <w:t>180204</w:t>
            </w:r>
          </w:p>
        </w:tc>
        <w:tc>
          <w:tcPr>
            <w:tcW w:w="1353" w:type="dxa"/>
            <w:vAlign w:val="center"/>
          </w:tcPr>
          <w:p w:rsidR="00956089" w:rsidRDefault="00336B1D">
            <w:pPr>
              <w:jc w:val="center"/>
            </w:pPr>
            <w:r>
              <w:rPr>
                <w:color w:val="000000"/>
                <w:sz w:val="24"/>
              </w:rPr>
              <w:t>18</w:t>
            </w:r>
            <w:r>
              <w:rPr>
                <w:color w:val="000000"/>
                <w:sz w:val="24"/>
              </w:rPr>
              <w:t>国开</w:t>
            </w:r>
            <w:r>
              <w:rPr>
                <w:color w:val="000000"/>
                <w:sz w:val="24"/>
              </w:rPr>
              <w:t>04</w:t>
            </w:r>
          </w:p>
        </w:tc>
        <w:tc>
          <w:tcPr>
            <w:tcW w:w="1505" w:type="dxa"/>
            <w:vAlign w:val="center"/>
          </w:tcPr>
          <w:p w:rsidR="00956089" w:rsidRDefault="00336B1D">
            <w:pPr>
              <w:jc w:val="right"/>
            </w:pPr>
            <w:r>
              <w:rPr>
                <w:color w:val="000000"/>
                <w:sz w:val="24"/>
              </w:rPr>
              <w:t>6,500,000</w:t>
            </w:r>
          </w:p>
        </w:tc>
        <w:tc>
          <w:tcPr>
            <w:tcW w:w="1737" w:type="dxa"/>
            <w:vAlign w:val="center"/>
          </w:tcPr>
          <w:p w:rsidR="00956089" w:rsidRDefault="00336B1D">
            <w:pPr>
              <w:jc w:val="right"/>
            </w:pPr>
            <w:r>
              <w:rPr>
                <w:color w:val="000000"/>
                <w:sz w:val="24"/>
              </w:rPr>
              <w:t>679,185,000.00</w:t>
            </w:r>
          </w:p>
        </w:tc>
        <w:tc>
          <w:tcPr>
            <w:tcW w:w="1701" w:type="dxa"/>
            <w:vAlign w:val="center"/>
          </w:tcPr>
          <w:p w:rsidR="00956089" w:rsidRDefault="00336B1D">
            <w:pPr>
              <w:jc w:val="right"/>
            </w:pPr>
            <w:r>
              <w:rPr>
                <w:color w:val="000000"/>
                <w:sz w:val="24"/>
              </w:rPr>
              <w:t>18.22</w:t>
            </w:r>
          </w:p>
        </w:tc>
      </w:tr>
      <w:tr w:rsidR="00956089">
        <w:tc>
          <w:tcPr>
            <w:tcW w:w="1320" w:type="dxa"/>
            <w:vAlign w:val="center"/>
          </w:tcPr>
          <w:p w:rsidR="00956089" w:rsidRDefault="00336B1D">
            <w:pPr>
              <w:jc w:val="center"/>
            </w:pPr>
            <w:r>
              <w:rPr>
                <w:color w:val="000000"/>
                <w:sz w:val="24"/>
              </w:rPr>
              <w:t>3</w:t>
            </w:r>
          </w:p>
        </w:tc>
        <w:tc>
          <w:tcPr>
            <w:tcW w:w="1382" w:type="dxa"/>
            <w:vAlign w:val="center"/>
          </w:tcPr>
          <w:p w:rsidR="00956089" w:rsidRDefault="00336B1D">
            <w:pPr>
              <w:jc w:val="center"/>
            </w:pPr>
            <w:r>
              <w:rPr>
                <w:color w:val="000000"/>
                <w:sz w:val="24"/>
              </w:rPr>
              <w:t>180212</w:t>
            </w:r>
          </w:p>
        </w:tc>
        <w:tc>
          <w:tcPr>
            <w:tcW w:w="1353" w:type="dxa"/>
            <w:vAlign w:val="center"/>
          </w:tcPr>
          <w:p w:rsidR="00956089" w:rsidRDefault="00336B1D">
            <w:pPr>
              <w:jc w:val="center"/>
            </w:pPr>
            <w:r>
              <w:rPr>
                <w:color w:val="000000"/>
                <w:sz w:val="24"/>
              </w:rPr>
              <w:t>18</w:t>
            </w:r>
            <w:r>
              <w:rPr>
                <w:color w:val="000000"/>
                <w:sz w:val="24"/>
              </w:rPr>
              <w:t>国开</w:t>
            </w:r>
            <w:r>
              <w:rPr>
                <w:color w:val="000000"/>
                <w:sz w:val="24"/>
              </w:rPr>
              <w:t>12</w:t>
            </w:r>
          </w:p>
        </w:tc>
        <w:tc>
          <w:tcPr>
            <w:tcW w:w="1505" w:type="dxa"/>
            <w:vAlign w:val="center"/>
          </w:tcPr>
          <w:p w:rsidR="00956089" w:rsidRDefault="00336B1D">
            <w:pPr>
              <w:jc w:val="right"/>
            </w:pPr>
            <w:r>
              <w:rPr>
                <w:color w:val="000000"/>
                <w:sz w:val="24"/>
              </w:rPr>
              <w:t>6,000,000</w:t>
            </w:r>
          </w:p>
        </w:tc>
        <w:tc>
          <w:tcPr>
            <w:tcW w:w="1737" w:type="dxa"/>
            <w:vAlign w:val="center"/>
          </w:tcPr>
          <w:p w:rsidR="00956089" w:rsidRDefault="00336B1D">
            <w:pPr>
              <w:jc w:val="right"/>
            </w:pPr>
            <w:r>
              <w:rPr>
                <w:color w:val="000000"/>
                <w:sz w:val="24"/>
              </w:rPr>
              <w:t>606,720,000.00</w:t>
            </w:r>
          </w:p>
        </w:tc>
        <w:tc>
          <w:tcPr>
            <w:tcW w:w="1701" w:type="dxa"/>
            <w:vAlign w:val="center"/>
          </w:tcPr>
          <w:p w:rsidR="00956089" w:rsidRDefault="00336B1D">
            <w:pPr>
              <w:jc w:val="right"/>
            </w:pPr>
            <w:r>
              <w:rPr>
                <w:color w:val="000000"/>
                <w:sz w:val="24"/>
              </w:rPr>
              <w:t>16.28</w:t>
            </w:r>
          </w:p>
        </w:tc>
      </w:tr>
      <w:tr w:rsidR="00956089">
        <w:tc>
          <w:tcPr>
            <w:tcW w:w="1320" w:type="dxa"/>
            <w:vAlign w:val="center"/>
          </w:tcPr>
          <w:p w:rsidR="00956089" w:rsidRDefault="00336B1D">
            <w:pPr>
              <w:jc w:val="center"/>
            </w:pPr>
            <w:r>
              <w:rPr>
                <w:color w:val="000000"/>
                <w:sz w:val="24"/>
              </w:rPr>
              <w:t>4</w:t>
            </w:r>
          </w:p>
        </w:tc>
        <w:tc>
          <w:tcPr>
            <w:tcW w:w="1382" w:type="dxa"/>
            <w:vAlign w:val="center"/>
          </w:tcPr>
          <w:p w:rsidR="00956089" w:rsidRDefault="00336B1D">
            <w:pPr>
              <w:jc w:val="center"/>
            </w:pPr>
            <w:r>
              <w:rPr>
                <w:color w:val="000000"/>
                <w:sz w:val="24"/>
              </w:rPr>
              <w:t>170209</w:t>
            </w:r>
          </w:p>
        </w:tc>
        <w:tc>
          <w:tcPr>
            <w:tcW w:w="1353" w:type="dxa"/>
            <w:vAlign w:val="center"/>
          </w:tcPr>
          <w:p w:rsidR="00956089" w:rsidRDefault="00336B1D">
            <w:pPr>
              <w:jc w:val="center"/>
            </w:pPr>
            <w:r>
              <w:rPr>
                <w:color w:val="000000"/>
                <w:sz w:val="24"/>
              </w:rPr>
              <w:t>17</w:t>
            </w:r>
            <w:r>
              <w:rPr>
                <w:color w:val="000000"/>
                <w:sz w:val="24"/>
              </w:rPr>
              <w:t>国开</w:t>
            </w:r>
            <w:r>
              <w:rPr>
                <w:color w:val="000000"/>
                <w:sz w:val="24"/>
              </w:rPr>
              <w:t>09</w:t>
            </w:r>
          </w:p>
        </w:tc>
        <w:tc>
          <w:tcPr>
            <w:tcW w:w="1505" w:type="dxa"/>
            <w:vAlign w:val="center"/>
          </w:tcPr>
          <w:p w:rsidR="00956089" w:rsidRDefault="00336B1D">
            <w:pPr>
              <w:jc w:val="right"/>
            </w:pPr>
            <w:r>
              <w:rPr>
                <w:color w:val="000000"/>
                <w:sz w:val="24"/>
              </w:rPr>
              <w:t>3,300,000</w:t>
            </w:r>
          </w:p>
        </w:tc>
        <w:tc>
          <w:tcPr>
            <w:tcW w:w="1737" w:type="dxa"/>
            <w:vAlign w:val="center"/>
          </w:tcPr>
          <w:p w:rsidR="00956089" w:rsidRDefault="00336B1D">
            <w:pPr>
              <w:jc w:val="right"/>
            </w:pPr>
            <w:r>
              <w:rPr>
                <w:color w:val="000000"/>
                <w:sz w:val="24"/>
              </w:rPr>
              <w:t>334,620,000.00</w:t>
            </w:r>
          </w:p>
        </w:tc>
        <w:tc>
          <w:tcPr>
            <w:tcW w:w="1701" w:type="dxa"/>
            <w:vAlign w:val="center"/>
          </w:tcPr>
          <w:p w:rsidR="00956089" w:rsidRDefault="00336B1D">
            <w:pPr>
              <w:jc w:val="right"/>
            </w:pPr>
            <w:r>
              <w:rPr>
                <w:color w:val="000000"/>
                <w:sz w:val="24"/>
              </w:rPr>
              <w:t>8.98</w:t>
            </w:r>
          </w:p>
        </w:tc>
      </w:tr>
      <w:tr w:rsidR="00956089">
        <w:tc>
          <w:tcPr>
            <w:tcW w:w="1320" w:type="dxa"/>
            <w:vAlign w:val="center"/>
          </w:tcPr>
          <w:p w:rsidR="00956089" w:rsidRDefault="00336B1D">
            <w:pPr>
              <w:jc w:val="center"/>
            </w:pPr>
            <w:r>
              <w:rPr>
                <w:color w:val="000000"/>
                <w:sz w:val="24"/>
              </w:rPr>
              <w:t>5</w:t>
            </w:r>
          </w:p>
        </w:tc>
        <w:tc>
          <w:tcPr>
            <w:tcW w:w="1382" w:type="dxa"/>
            <w:vAlign w:val="center"/>
          </w:tcPr>
          <w:p w:rsidR="00956089" w:rsidRDefault="00336B1D">
            <w:pPr>
              <w:jc w:val="center"/>
            </w:pPr>
            <w:r>
              <w:rPr>
                <w:color w:val="000000"/>
                <w:sz w:val="24"/>
              </w:rPr>
              <w:t>180203</w:t>
            </w:r>
          </w:p>
        </w:tc>
        <w:tc>
          <w:tcPr>
            <w:tcW w:w="1353" w:type="dxa"/>
            <w:vAlign w:val="center"/>
          </w:tcPr>
          <w:p w:rsidR="00956089" w:rsidRDefault="00336B1D">
            <w:pPr>
              <w:jc w:val="center"/>
            </w:pPr>
            <w:r>
              <w:rPr>
                <w:color w:val="000000"/>
                <w:sz w:val="24"/>
              </w:rPr>
              <w:t>18</w:t>
            </w:r>
            <w:r>
              <w:rPr>
                <w:color w:val="000000"/>
                <w:sz w:val="24"/>
              </w:rPr>
              <w:t>国开</w:t>
            </w:r>
            <w:r>
              <w:rPr>
                <w:color w:val="000000"/>
                <w:sz w:val="24"/>
              </w:rPr>
              <w:t>03</w:t>
            </w:r>
          </w:p>
        </w:tc>
        <w:tc>
          <w:tcPr>
            <w:tcW w:w="1505" w:type="dxa"/>
            <w:vAlign w:val="center"/>
          </w:tcPr>
          <w:p w:rsidR="00956089" w:rsidRDefault="00336B1D">
            <w:pPr>
              <w:jc w:val="right"/>
            </w:pPr>
            <w:r>
              <w:rPr>
                <w:color w:val="000000"/>
                <w:sz w:val="24"/>
              </w:rPr>
              <w:t>3,200,000</w:t>
            </w:r>
          </w:p>
        </w:tc>
        <w:tc>
          <w:tcPr>
            <w:tcW w:w="1737" w:type="dxa"/>
            <w:vAlign w:val="center"/>
          </w:tcPr>
          <w:p w:rsidR="00956089" w:rsidRDefault="00336B1D">
            <w:pPr>
              <w:jc w:val="right"/>
            </w:pPr>
            <w:r>
              <w:rPr>
                <w:color w:val="000000"/>
                <w:sz w:val="24"/>
              </w:rPr>
              <w:t>328,320,000.00</w:t>
            </w:r>
          </w:p>
        </w:tc>
        <w:tc>
          <w:tcPr>
            <w:tcW w:w="1701" w:type="dxa"/>
            <w:vAlign w:val="center"/>
          </w:tcPr>
          <w:p w:rsidR="00956089" w:rsidRDefault="00336B1D">
            <w:pPr>
              <w:jc w:val="right"/>
            </w:pPr>
            <w:r>
              <w:rPr>
                <w:color w:val="000000"/>
                <w:sz w:val="24"/>
              </w:rPr>
              <w:t>8.81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41,665.13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74,101,950.50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74,143,615.63</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交银裕如纯债债券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19,162,297.11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3,659,974,568.64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24,178.49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交银裕如纯债债券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19,162,297.11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3,659,974,568.64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24,178.49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交银裕如纯债债券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1,181.72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交银裕如纯债债券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1,181.72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交银裕如纯债债券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交银裕如纯债债券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交银裕如纯债债券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交银裕如纯债债券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交银裕如纯债债券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交银裕如纯债债券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2018</w:t>
            </w:r>
            <w:r w:rsidRPr="008A1551">
              <w:rPr>
                <w:sz w:val="24"/>
              </w:rPr>
              <w:t>年</w:t>
            </w:r>
            <w:r w:rsidRPr="008A1551">
              <w:rPr>
                <w:sz w:val="24"/>
              </w:rPr>
              <w:t>5</w:t>
            </w:r>
            <w:r w:rsidRPr="008A1551">
              <w:rPr>
                <w:sz w:val="24"/>
              </w:rPr>
              <w:t>月</w:t>
            </w:r>
            <w:r w:rsidRPr="008A1551">
              <w:rPr>
                <w:sz w:val="24"/>
              </w:rPr>
              <w:t>25</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210,015,777.03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2,838,519,986.25</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1,985,999,853.39</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1,164,521,092.51</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3,659,998,747.13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bl>
    <w:p w:rsidR="00956089" w:rsidRDefault="00336B1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56089" w:rsidRDefault="00336B1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56089" w:rsidRDefault="00336B1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56089" w:rsidRDefault="00336B1D">
      <w:pPr>
        <w:tabs>
          <w:tab w:val="left" w:pos="426"/>
        </w:tabs>
        <w:spacing w:before="29" w:line="288" w:lineRule="auto"/>
        <w:jc w:val="left"/>
        <w:rPr>
          <w:kern w:val="0"/>
          <w:sz w:val="24"/>
        </w:rPr>
      </w:pPr>
      <w:r>
        <w:rPr>
          <w:kern w:val="0"/>
          <w:sz w:val="24"/>
        </w:rPr>
        <w:t>基金管理人及其高级管理人员本报告期内未受监管部门稽查或处罚。</w:t>
      </w:r>
    </w:p>
    <w:p w:rsidR="00956089" w:rsidRDefault="00336B1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956089">
        <w:tc>
          <w:tcPr>
            <w:tcW w:w="1559" w:type="dxa"/>
            <w:vAlign w:val="center"/>
          </w:tcPr>
          <w:p w:rsidR="00956089" w:rsidRDefault="00336B1D">
            <w:pPr>
              <w:jc w:val="center"/>
            </w:pPr>
            <w:r>
              <w:rPr>
                <w:color w:val="000000"/>
                <w:sz w:val="24"/>
              </w:rPr>
              <w:t>国盛证券有限责任公司</w:t>
            </w:r>
          </w:p>
        </w:tc>
        <w:tc>
          <w:tcPr>
            <w:tcW w:w="779" w:type="dxa"/>
            <w:vAlign w:val="center"/>
          </w:tcPr>
          <w:p w:rsidR="00956089" w:rsidRDefault="00336B1D">
            <w:pPr>
              <w:jc w:val="center"/>
            </w:pPr>
            <w:r>
              <w:rPr>
                <w:color w:val="000000"/>
                <w:sz w:val="24"/>
              </w:rPr>
              <w:t>2</w:t>
            </w:r>
          </w:p>
        </w:tc>
        <w:tc>
          <w:tcPr>
            <w:tcW w:w="1800" w:type="dxa"/>
            <w:vAlign w:val="center"/>
          </w:tcPr>
          <w:p w:rsidR="00956089" w:rsidRDefault="00336B1D">
            <w:pPr>
              <w:jc w:val="right"/>
            </w:pPr>
            <w:r>
              <w:rPr>
                <w:color w:val="000000"/>
                <w:sz w:val="24"/>
              </w:rPr>
              <w:t>-</w:t>
            </w:r>
          </w:p>
        </w:tc>
        <w:tc>
          <w:tcPr>
            <w:tcW w:w="1080" w:type="dxa"/>
            <w:vAlign w:val="center"/>
          </w:tcPr>
          <w:p w:rsidR="00956089" w:rsidRDefault="00336B1D">
            <w:pPr>
              <w:jc w:val="right"/>
            </w:pPr>
            <w:r>
              <w:rPr>
                <w:color w:val="000000"/>
                <w:sz w:val="24"/>
              </w:rPr>
              <w:t>-</w:t>
            </w:r>
          </w:p>
        </w:tc>
        <w:tc>
          <w:tcPr>
            <w:tcW w:w="1620" w:type="dxa"/>
            <w:vAlign w:val="center"/>
          </w:tcPr>
          <w:p w:rsidR="00956089" w:rsidRDefault="00336B1D">
            <w:pPr>
              <w:jc w:val="right"/>
            </w:pPr>
            <w:r>
              <w:rPr>
                <w:color w:val="000000"/>
                <w:sz w:val="24"/>
              </w:rPr>
              <w:t>-</w:t>
            </w:r>
          </w:p>
        </w:tc>
        <w:tc>
          <w:tcPr>
            <w:tcW w:w="1080" w:type="dxa"/>
            <w:vAlign w:val="center"/>
          </w:tcPr>
          <w:p w:rsidR="00956089" w:rsidRDefault="00336B1D">
            <w:pPr>
              <w:jc w:val="right"/>
            </w:pPr>
            <w:r>
              <w:rPr>
                <w:color w:val="000000"/>
                <w:sz w:val="24"/>
              </w:rPr>
              <w:t>-</w:t>
            </w:r>
          </w:p>
        </w:tc>
        <w:tc>
          <w:tcPr>
            <w:tcW w:w="1080" w:type="dxa"/>
            <w:vAlign w:val="center"/>
          </w:tcPr>
          <w:p w:rsidR="00956089" w:rsidRDefault="00336B1D">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956089">
        <w:tc>
          <w:tcPr>
            <w:tcW w:w="2437" w:type="dxa"/>
            <w:vAlign w:val="center"/>
          </w:tcPr>
          <w:p w:rsidR="00956089" w:rsidRDefault="00336B1D">
            <w:r>
              <w:rPr>
                <w:sz w:val="24"/>
              </w:rPr>
              <w:t>国盛证券有限责任公司</w:t>
            </w:r>
          </w:p>
        </w:tc>
        <w:tc>
          <w:tcPr>
            <w:tcW w:w="1092" w:type="dxa"/>
            <w:vAlign w:val="center"/>
          </w:tcPr>
          <w:p w:rsidR="00956089" w:rsidRDefault="00336B1D">
            <w:pPr>
              <w:jc w:val="right"/>
            </w:pPr>
            <w:r>
              <w:rPr>
                <w:sz w:val="24"/>
              </w:rPr>
              <w:t>253,157,485.21</w:t>
            </w:r>
          </w:p>
        </w:tc>
        <w:tc>
          <w:tcPr>
            <w:tcW w:w="1093" w:type="dxa"/>
            <w:vAlign w:val="center"/>
          </w:tcPr>
          <w:p w:rsidR="00956089" w:rsidRDefault="00336B1D">
            <w:pPr>
              <w:jc w:val="right"/>
            </w:pPr>
            <w:r>
              <w:rPr>
                <w:sz w:val="24"/>
              </w:rPr>
              <w:t>100.00%</w:t>
            </w:r>
          </w:p>
        </w:tc>
        <w:tc>
          <w:tcPr>
            <w:tcW w:w="1093" w:type="dxa"/>
            <w:vAlign w:val="center"/>
          </w:tcPr>
          <w:p w:rsidR="00956089" w:rsidRDefault="00336B1D">
            <w:pPr>
              <w:jc w:val="right"/>
            </w:pPr>
            <w:r>
              <w:rPr>
                <w:sz w:val="24"/>
              </w:rPr>
              <w:t>1,438,400,000.00</w:t>
            </w:r>
          </w:p>
        </w:tc>
        <w:tc>
          <w:tcPr>
            <w:tcW w:w="1093" w:type="dxa"/>
            <w:vAlign w:val="center"/>
          </w:tcPr>
          <w:p w:rsidR="00956089" w:rsidRDefault="00336B1D">
            <w:pPr>
              <w:jc w:val="right"/>
            </w:pPr>
            <w:r>
              <w:rPr>
                <w:sz w:val="24"/>
              </w:rPr>
              <w:t>100.00%</w:t>
            </w:r>
          </w:p>
        </w:tc>
        <w:tc>
          <w:tcPr>
            <w:tcW w:w="1093" w:type="dxa"/>
            <w:vAlign w:val="center"/>
          </w:tcPr>
          <w:p w:rsidR="00956089" w:rsidRDefault="00336B1D">
            <w:pPr>
              <w:jc w:val="right"/>
            </w:pPr>
            <w:r>
              <w:rPr>
                <w:sz w:val="24"/>
              </w:rPr>
              <w:t>-</w:t>
            </w:r>
          </w:p>
        </w:tc>
        <w:tc>
          <w:tcPr>
            <w:tcW w:w="1097" w:type="dxa"/>
            <w:vAlign w:val="center"/>
          </w:tcPr>
          <w:p w:rsidR="00956089" w:rsidRDefault="00336B1D">
            <w:pPr>
              <w:jc w:val="right"/>
            </w:pPr>
            <w:r>
              <w:rPr>
                <w:sz w:val="24"/>
              </w:rPr>
              <w:t>-</w:t>
            </w:r>
          </w:p>
        </w:tc>
      </w:tr>
    </w:tbl>
    <w:p w:rsidR="00956089" w:rsidRDefault="00336B1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56089" w:rsidRDefault="00336B1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56089">
        <w:tc>
          <w:tcPr>
            <w:tcW w:w="993" w:type="dxa"/>
            <w:vMerge w:val="restart"/>
          </w:tcPr>
          <w:p w:rsidR="00956089" w:rsidRDefault="00956089"/>
          <w:p w:rsidR="00956089" w:rsidRDefault="00336B1D">
            <w:r>
              <w:rPr>
                <w:rFonts w:ascii="宋体" w:hAnsi="宋体" w:hint="eastAsia"/>
                <w:bCs/>
                <w:color w:val="000000"/>
                <w:kern w:val="0"/>
                <w:szCs w:val="21"/>
              </w:rPr>
              <w:t>机构</w:t>
            </w:r>
          </w:p>
        </w:tc>
        <w:tc>
          <w:tcPr>
            <w:tcW w:w="992" w:type="dxa"/>
            <w:vAlign w:val="center"/>
          </w:tcPr>
          <w:p w:rsidR="00956089" w:rsidRDefault="00336B1D">
            <w:pPr>
              <w:jc w:val="center"/>
            </w:pPr>
            <w:r>
              <w:rPr>
                <w:rFonts w:ascii="宋体" w:hAnsi="宋体"/>
                <w:color w:val="000000"/>
                <w:kern w:val="0"/>
                <w:szCs w:val="21"/>
              </w:rPr>
              <w:t>1</w:t>
            </w:r>
          </w:p>
        </w:tc>
        <w:tc>
          <w:tcPr>
            <w:tcW w:w="1843" w:type="dxa"/>
            <w:vAlign w:val="center"/>
          </w:tcPr>
          <w:p w:rsidR="00956089" w:rsidRDefault="00336B1D">
            <w:pPr>
              <w:jc w:val="center"/>
            </w:pPr>
            <w:r>
              <w:rPr>
                <w:rFonts w:ascii="宋体" w:hAnsi="宋体"/>
                <w:color w:val="000000"/>
                <w:kern w:val="0"/>
                <w:szCs w:val="21"/>
              </w:rPr>
              <w:t>2019/1/1-2019/6/30</w:t>
            </w:r>
          </w:p>
        </w:tc>
        <w:tc>
          <w:tcPr>
            <w:tcW w:w="851" w:type="dxa"/>
            <w:vAlign w:val="center"/>
          </w:tcPr>
          <w:p w:rsidR="00956089" w:rsidRDefault="00336B1D">
            <w:pPr>
              <w:jc w:val="center"/>
            </w:pPr>
            <w:r>
              <w:rPr>
                <w:rFonts w:ascii="宋体" w:hAnsi="宋体"/>
                <w:color w:val="000000"/>
                <w:kern w:val="0"/>
                <w:szCs w:val="21"/>
              </w:rPr>
              <w:t>779,027,014.65</w:t>
            </w:r>
          </w:p>
        </w:tc>
        <w:tc>
          <w:tcPr>
            <w:tcW w:w="850" w:type="dxa"/>
            <w:vAlign w:val="center"/>
          </w:tcPr>
          <w:p w:rsidR="00956089" w:rsidRDefault="00336B1D">
            <w:pPr>
              <w:jc w:val="center"/>
            </w:pPr>
            <w:r>
              <w:rPr>
                <w:rFonts w:ascii="宋体" w:hAnsi="宋体"/>
                <w:color w:val="000000"/>
                <w:kern w:val="0"/>
                <w:szCs w:val="21"/>
              </w:rPr>
              <w:t>-</w:t>
            </w:r>
          </w:p>
        </w:tc>
        <w:tc>
          <w:tcPr>
            <w:tcW w:w="1134" w:type="dxa"/>
            <w:vAlign w:val="center"/>
          </w:tcPr>
          <w:p w:rsidR="00956089" w:rsidRDefault="00336B1D">
            <w:pPr>
              <w:jc w:val="center"/>
            </w:pPr>
            <w:r>
              <w:rPr>
                <w:rFonts w:ascii="宋体" w:hAnsi="宋体"/>
                <w:color w:val="000000"/>
                <w:kern w:val="0"/>
                <w:szCs w:val="21"/>
              </w:rPr>
              <w:t>-</w:t>
            </w:r>
          </w:p>
        </w:tc>
        <w:tc>
          <w:tcPr>
            <w:tcW w:w="1419" w:type="dxa"/>
            <w:vAlign w:val="center"/>
          </w:tcPr>
          <w:p w:rsidR="00956089" w:rsidRDefault="00336B1D">
            <w:pPr>
              <w:jc w:val="center"/>
            </w:pPr>
            <w:r>
              <w:rPr>
                <w:rFonts w:ascii="宋体" w:hAnsi="宋体"/>
                <w:color w:val="000000"/>
                <w:kern w:val="0"/>
                <w:szCs w:val="21"/>
              </w:rPr>
              <w:t>779,027,014.65</w:t>
            </w:r>
          </w:p>
        </w:tc>
        <w:tc>
          <w:tcPr>
            <w:tcW w:w="1130" w:type="dxa"/>
            <w:vAlign w:val="center"/>
          </w:tcPr>
          <w:p w:rsidR="00956089" w:rsidRDefault="00336B1D">
            <w:pPr>
              <w:jc w:val="center"/>
            </w:pPr>
            <w:r>
              <w:rPr>
                <w:rFonts w:ascii="宋体" w:hAnsi="宋体"/>
                <w:color w:val="000000"/>
                <w:kern w:val="0"/>
                <w:szCs w:val="21"/>
              </w:rPr>
              <w:t>21.28%</w:t>
            </w:r>
          </w:p>
        </w:tc>
      </w:tr>
      <w:tr w:rsidR="00956089">
        <w:tc>
          <w:tcPr>
            <w:tcW w:w="993" w:type="dxa"/>
            <w:vMerge/>
          </w:tcPr>
          <w:p w:rsidR="00956089" w:rsidRDefault="00956089"/>
        </w:tc>
        <w:tc>
          <w:tcPr>
            <w:tcW w:w="992" w:type="dxa"/>
            <w:vAlign w:val="center"/>
          </w:tcPr>
          <w:p w:rsidR="00956089" w:rsidRDefault="00336B1D">
            <w:pPr>
              <w:jc w:val="center"/>
            </w:pPr>
            <w:r>
              <w:rPr>
                <w:rFonts w:ascii="宋体" w:hAnsi="宋体"/>
                <w:color w:val="000000"/>
                <w:kern w:val="0"/>
                <w:szCs w:val="21"/>
              </w:rPr>
              <w:t>2</w:t>
            </w:r>
          </w:p>
        </w:tc>
        <w:tc>
          <w:tcPr>
            <w:tcW w:w="1843" w:type="dxa"/>
            <w:vAlign w:val="center"/>
          </w:tcPr>
          <w:p w:rsidR="00956089" w:rsidRDefault="00336B1D">
            <w:pPr>
              <w:jc w:val="center"/>
            </w:pPr>
            <w:r>
              <w:rPr>
                <w:rFonts w:ascii="宋体" w:hAnsi="宋体"/>
                <w:color w:val="000000"/>
                <w:kern w:val="0"/>
                <w:szCs w:val="21"/>
              </w:rPr>
              <w:t>2019/1/1-2019/6/30</w:t>
            </w:r>
          </w:p>
        </w:tc>
        <w:tc>
          <w:tcPr>
            <w:tcW w:w="851" w:type="dxa"/>
            <w:vAlign w:val="center"/>
          </w:tcPr>
          <w:p w:rsidR="00956089" w:rsidRDefault="00336B1D">
            <w:pPr>
              <w:jc w:val="center"/>
            </w:pPr>
            <w:r>
              <w:rPr>
                <w:rFonts w:ascii="宋体" w:hAnsi="宋体"/>
                <w:color w:val="000000"/>
                <w:kern w:val="0"/>
                <w:szCs w:val="21"/>
              </w:rPr>
              <w:t>291,884,607.90</w:t>
            </w:r>
          </w:p>
        </w:tc>
        <w:tc>
          <w:tcPr>
            <w:tcW w:w="850" w:type="dxa"/>
            <w:vAlign w:val="center"/>
          </w:tcPr>
          <w:p w:rsidR="00956089" w:rsidRDefault="00336B1D">
            <w:pPr>
              <w:jc w:val="center"/>
            </w:pPr>
            <w:r>
              <w:rPr>
                <w:rFonts w:ascii="宋体" w:hAnsi="宋体"/>
                <w:color w:val="000000"/>
                <w:kern w:val="0"/>
                <w:szCs w:val="21"/>
              </w:rPr>
              <w:t>383,471,383.38</w:t>
            </w:r>
          </w:p>
        </w:tc>
        <w:tc>
          <w:tcPr>
            <w:tcW w:w="1134" w:type="dxa"/>
            <w:vAlign w:val="center"/>
          </w:tcPr>
          <w:p w:rsidR="00956089" w:rsidRDefault="00336B1D">
            <w:pPr>
              <w:jc w:val="center"/>
            </w:pPr>
            <w:r>
              <w:rPr>
                <w:rFonts w:ascii="宋体" w:hAnsi="宋体"/>
                <w:color w:val="000000"/>
                <w:kern w:val="0"/>
                <w:szCs w:val="21"/>
              </w:rPr>
              <w:t>-</w:t>
            </w:r>
          </w:p>
        </w:tc>
        <w:tc>
          <w:tcPr>
            <w:tcW w:w="1419" w:type="dxa"/>
            <w:vAlign w:val="center"/>
          </w:tcPr>
          <w:p w:rsidR="00956089" w:rsidRDefault="00336B1D">
            <w:pPr>
              <w:jc w:val="center"/>
            </w:pPr>
            <w:r>
              <w:rPr>
                <w:rFonts w:ascii="宋体" w:hAnsi="宋体"/>
                <w:color w:val="000000"/>
                <w:kern w:val="0"/>
                <w:szCs w:val="21"/>
              </w:rPr>
              <w:t>675,355,991.28</w:t>
            </w:r>
          </w:p>
        </w:tc>
        <w:tc>
          <w:tcPr>
            <w:tcW w:w="1130" w:type="dxa"/>
            <w:vAlign w:val="center"/>
          </w:tcPr>
          <w:p w:rsidR="00956089" w:rsidRDefault="00336B1D">
            <w:pPr>
              <w:jc w:val="center"/>
            </w:pPr>
            <w:r>
              <w:rPr>
                <w:rFonts w:ascii="宋体" w:hAnsi="宋体"/>
                <w:color w:val="000000"/>
                <w:kern w:val="0"/>
                <w:szCs w:val="21"/>
              </w:rPr>
              <w:t>18.45%</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3196F" w:rsidRDefault="0083196F"/>
    <w:sectPr w:rsidR="0083196F" w:rsidSect="00937AC9">
      <w:footerReference w:type="even" r:id="rId14"/>
      <w:footerReference w:type="default" r:id="rId15"/>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256CF6">
      <w:rPr>
        <w:noProof/>
        <w:kern w:val="0"/>
        <w:szCs w:val="21"/>
      </w:rPr>
      <w:t>11</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256CF6">
      <w:rPr>
        <w:noProof/>
        <w:kern w:val="0"/>
        <w:szCs w:val="21"/>
      </w:rPr>
      <w:t>27</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交银施罗德裕如纯债债券型证券投资基金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CF6"/>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B1D"/>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196F"/>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2E9"/>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089"/>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docId w15:val="{5751F1A5-560C-45FB-8DEA-DAD6BED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27</Pages>
  <Words>2765</Words>
  <Characters>15766</Characters>
  <Application>Microsoft Office Word</Application>
  <DocSecurity>0</DocSecurity>
  <Lines>131</Lines>
  <Paragraphs>36</Paragraphs>
  <ScaleCrop>false</ScaleCrop>
  <Company/>
  <LinksUpToDate>false</LinksUpToDate>
  <CharactersWithSpaces>18495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665</cp:revision>
  <cp:lastPrinted>2007-07-19T00:46:00Z</cp:lastPrinted>
  <dcterms:created xsi:type="dcterms:W3CDTF">2013-08-19T07:43:00Z</dcterms:created>
  <dcterms:modified xsi:type="dcterms:W3CDTF">2019-08-26T07:59:00Z</dcterms:modified>
</cp:coreProperties>
</file>