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交银施罗德瑞鑫定期开放灵活配置混合型证券投资基金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招商银行股份有限公司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交银瑞鑫定期开放灵活配置混合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003900</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003900</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2016年12月14日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招商银行股份有限公司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300,207,664.50</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50%×沪深300指数收益率+50%×中债综合全价指数收益率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10,187,704.74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13,267,105.24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0.0442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3.96%</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0.1347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348,717,480.31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1.1616</w:t>
            </w:r>
          </w:p>
        </w:tc>
      </w:tr>
    </w:tbl>
    <w:bookmarkEnd w:id="14"/>
    <w:bookmarkEnd w:id="15"/>
    <w:p>
      <w:pPr>
        <w:tabs>
          <w:tab w:pos="426" w:val="left"/>
        </w:tabs>
        <w:spacing w:before="29" w:line="288" w:lineRule="auto"/>
        <w:jc w:val="left"/>
        <w:rPr>
          <w:kern w:val="0"/>
          <w:sz w:val="24"/>
        </w:rPr>
      </w:pPr>
      <w:r>
        <w:rPr>
          <w:kern w:val="0"/>
          <w:sz w:val="24"/>
        </w:rPr>
        <w:t>注：1、上述基金业绩指标不包括持有人认购或交易基金的各项费用，计入费用后的实际收益水平要低于所列数字；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1.83%</w:t>
            </w:r>
          </w:p>
        </w:tc>
        <w:tc>
          <w:tcPr>
            <w:vAlign w:val="center"/>
          </w:tcPr>
          <w:p>
            <w:pPr>
              <w:jc w:val="center"/>
            </w:pPr>
            <w:r>
              <w:rPr>
                <w:color w:val="000000"/>
                <w:sz w:val="24"/>
              </w:rPr>
              <w:t>0.19%</w:t>
            </w:r>
          </w:p>
        </w:tc>
        <w:tc>
          <w:tcPr>
            <w:vAlign w:val="center"/>
          </w:tcPr>
          <w:p>
            <w:pPr>
              <w:jc w:val="center"/>
            </w:pPr>
            <w:r>
              <w:rPr>
                <w:color w:val="000000"/>
                <w:sz w:val="24"/>
              </w:rPr>
              <w:t>2.84%</w:t>
            </w:r>
          </w:p>
        </w:tc>
        <w:tc>
          <w:tcPr>
            <w:vAlign w:val="center"/>
          </w:tcPr>
          <w:p>
            <w:pPr>
              <w:jc w:val="center"/>
            </w:pPr>
            <w:r>
              <w:rPr>
                <w:color w:val="000000"/>
                <w:sz w:val="24"/>
              </w:rPr>
              <w:t>0.57%</w:t>
            </w:r>
          </w:p>
        </w:tc>
        <w:tc>
          <w:tcPr>
            <w:vAlign w:val="center"/>
          </w:tcPr>
          <w:p>
            <w:pPr>
              <w:jc w:val="center"/>
            </w:pPr>
            <w:r>
              <w:rPr>
                <w:color w:val="000000"/>
                <w:sz w:val="24"/>
              </w:rPr>
              <w:t>-1.01%</w:t>
            </w:r>
          </w:p>
        </w:tc>
        <w:tc>
          <w:tcPr>
            <w:vAlign w:val="center"/>
          </w:tcPr>
          <w:p>
            <w:pPr>
              <w:jc w:val="center"/>
            </w:pPr>
            <w:r>
              <w:rPr>
                <w:color w:val="000000"/>
                <w:sz w:val="24"/>
              </w:rPr>
              <w:t>-0.38%</w:t>
            </w:r>
          </w:p>
        </w:tc>
      </w:tr>
      <w:tr>
        <w:tc>
          <w:tcPr>
            <w:vAlign w:val="center"/>
          </w:tcPr>
          <w:p>
            <w:pPr>
              <w:jc w:val="left"/>
            </w:pPr>
            <w:r>
              <w:rPr>
                <w:color w:val="000000"/>
                <w:sz w:val="24"/>
              </w:rPr>
              <w:t>过去三个月</w:t>
            </w:r>
          </w:p>
        </w:tc>
        <w:tc>
          <w:tcPr>
            <w:vAlign w:val="center"/>
          </w:tcPr>
          <w:p>
            <w:pPr>
              <w:jc w:val="center"/>
            </w:pPr>
            <w:r>
              <w:rPr>
                <w:color w:val="000000"/>
                <w:sz w:val="24"/>
              </w:rPr>
              <w:t>1.74%</w:t>
            </w:r>
          </w:p>
        </w:tc>
        <w:tc>
          <w:tcPr>
            <w:vAlign w:val="center"/>
          </w:tcPr>
          <w:p>
            <w:pPr>
              <w:jc w:val="center"/>
            </w:pPr>
            <w:r>
              <w:rPr>
                <w:color w:val="000000"/>
                <w:sz w:val="24"/>
              </w:rPr>
              <w:t>0.15%</w:t>
            </w:r>
          </w:p>
        </w:tc>
        <w:tc>
          <w:tcPr>
            <w:vAlign w:val="center"/>
          </w:tcPr>
          <w:p>
            <w:pPr>
              <w:jc w:val="center"/>
            </w:pPr>
            <w:r>
              <w:rPr>
                <w:color w:val="000000"/>
                <w:sz w:val="24"/>
              </w:rPr>
              <w:t>-0.54%</w:t>
            </w:r>
          </w:p>
        </w:tc>
        <w:tc>
          <w:tcPr>
            <w:vAlign w:val="center"/>
          </w:tcPr>
          <w:p>
            <w:pPr>
              <w:jc w:val="center"/>
            </w:pPr>
            <w:r>
              <w:rPr>
                <w:color w:val="000000"/>
                <w:sz w:val="24"/>
              </w:rPr>
              <w:t>0.75%</w:t>
            </w:r>
          </w:p>
        </w:tc>
        <w:tc>
          <w:tcPr>
            <w:vAlign w:val="center"/>
          </w:tcPr>
          <w:p>
            <w:pPr>
              <w:jc w:val="center"/>
            </w:pPr>
            <w:r>
              <w:rPr>
                <w:color w:val="000000"/>
                <w:sz w:val="24"/>
              </w:rPr>
              <w:t>2.28%</w:t>
            </w:r>
          </w:p>
        </w:tc>
        <w:tc>
          <w:tcPr>
            <w:vAlign w:val="center"/>
          </w:tcPr>
          <w:p>
            <w:pPr>
              <w:jc w:val="center"/>
            </w:pPr>
            <w:r>
              <w:rPr>
                <w:color w:val="000000"/>
                <w:sz w:val="24"/>
              </w:rPr>
              <w:t>-0.60%</w:t>
            </w:r>
          </w:p>
        </w:tc>
      </w:tr>
      <w:tr>
        <w:tc>
          <w:tcPr>
            <w:vAlign w:val="center"/>
          </w:tcPr>
          <w:p>
            <w:pPr>
              <w:jc w:val="left"/>
            </w:pPr>
            <w:r>
              <w:rPr>
                <w:color w:val="000000"/>
                <w:sz w:val="24"/>
              </w:rPr>
              <w:t>过去六个月</w:t>
            </w:r>
          </w:p>
        </w:tc>
        <w:tc>
          <w:tcPr>
            <w:vAlign w:val="center"/>
          </w:tcPr>
          <w:p>
            <w:pPr>
              <w:jc w:val="center"/>
            </w:pPr>
            <w:r>
              <w:rPr>
                <w:color w:val="000000"/>
                <w:sz w:val="24"/>
              </w:rPr>
              <w:t>3.96%</w:t>
            </w:r>
          </w:p>
        </w:tc>
        <w:tc>
          <w:tcPr>
            <w:vAlign w:val="center"/>
          </w:tcPr>
          <w:p>
            <w:pPr>
              <w:jc w:val="center"/>
            </w:pPr>
            <w:r>
              <w:rPr>
                <w:color w:val="000000"/>
                <w:sz w:val="24"/>
              </w:rPr>
              <w:t>0.13%</w:t>
            </w:r>
          </w:p>
        </w:tc>
        <w:tc>
          <w:tcPr>
            <w:vAlign w:val="center"/>
          </w:tcPr>
          <w:p>
            <w:pPr>
              <w:jc w:val="center"/>
            </w:pPr>
            <w:r>
              <w:rPr>
                <w:color w:val="000000"/>
                <w:sz w:val="24"/>
              </w:rPr>
              <w:t>13.28%</w:t>
            </w:r>
          </w:p>
        </w:tc>
        <w:tc>
          <w:tcPr>
            <w:vAlign w:val="center"/>
          </w:tcPr>
          <w:p>
            <w:pPr>
              <w:jc w:val="center"/>
            </w:pPr>
            <w:r>
              <w:rPr>
                <w:color w:val="000000"/>
                <w:sz w:val="24"/>
              </w:rPr>
              <w:t>0.77%</w:t>
            </w:r>
          </w:p>
        </w:tc>
        <w:tc>
          <w:tcPr>
            <w:vAlign w:val="center"/>
          </w:tcPr>
          <w:p>
            <w:pPr>
              <w:jc w:val="center"/>
            </w:pPr>
            <w:r>
              <w:rPr>
                <w:color w:val="000000"/>
                <w:sz w:val="24"/>
              </w:rPr>
              <w:t>-9.32%</w:t>
            </w:r>
          </w:p>
        </w:tc>
        <w:tc>
          <w:tcPr>
            <w:vAlign w:val="center"/>
          </w:tcPr>
          <w:p>
            <w:pPr>
              <w:jc w:val="center"/>
            </w:pPr>
            <w:r>
              <w:rPr>
                <w:color w:val="000000"/>
                <w:sz w:val="24"/>
              </w:rPr>
              <w:t>-0.64%</w:t>
            </w:r>
          </w:p>
        </w:tc>
      </w:tr>
      <w:tr>
        <w:tc>
          <w:tcPr>
            <w:vAlign w:val="center"/>
          </w:tcPr>
          <w:p>
            <w:pPr>
              <w:jc w:val="left"/>
            </w:pPr>
            <w:r>
              <w:rPr>
                <w:color w:val="000000"/>
                <w:sz w:val="24"/>
              </w:rPr>
              <w:t>过去一年</w:t>
            </w:r>
          </w:p>
        </w:tc>
        <w:tc>
          <w:tcPr>
            <w:vAlign w:val="center"/>
          </w:tcPr>
          <w:p>
            <w:pPr>
              <w:jc w:val="center"/>
            </w:pPr>
            <w:r>
              <w:rPr>
                <w:color w:val="000000"/>
                <w:sz w:val="24"/>
              </w:rPr>
              <w:t>3.22%</w:t>
            </w:r>
          </w:p>
        </w:tc>
        <w:tc>
          <w:tcPr>
            <w:vAlign w:val="center"/>
          </w:tcPr>
          <w:p>
            <w:pPr>
              <w:jc w:val="center"/>
            </w:pPr>
            <w:r>
              <w:rPr>
                <w:color w:val="000000"/>
                <w:sz w:val="24"/>
              </w:rPr>
              <w:t>0.22%</w:t>
            </w:r>
          </w:p>
        </w:tc>
        <w:tc>
          <w:tcPr>
            <w:vAlign w:val="center"/>
          </w:tcPr>
          <w:p>
            <w:pPr>
              <w:jc w:val="center"/>
            </w:pPr>
            <w:r>
              <w:rPr>
                <w:color w:val="000000"/>
                <w:sz w:val="24"/>
              </w:rPr>
              <w:t>6.62%</w:t>
            </w:r>
          </w:p>
        </w:tc>
        <w:tc>
          <w:tcPr>
            <w:vAlign w:val="center"/>
          </w:tcPr>
          <w:p>
            <w:pPr>
              <w:jc w:val="center"/>
            </w:pPr>
            <w:r>
              <w:rPr>
                <w:color w:val="000000"/>
                <w:sz w:val="24"/>
              </w:rPr>
              <w:t>0.76%</w:t>
            </w:r>
          </w:p>
        </w:tc>
        <w:tc>
          <w:tcPr>
            <w:vAlign w:val="center"/>
          </w:tcPr>
          <w:p>
            <w:pPr>
              <w:jc w:val="center"/>
            </w:pPr>
            <w:r>
              <w:rPr>
                <w:color w:val="000000"/>
                <w:sz w:val="24"/>
              </w:rPr>
              <w:t>-3.40%</w:t>
            </w:r>
          </w:p>
        </w:tc>
        <w:tc>
          <w:tcPr>
            <w:vAlign w:val="center"/>
          </w:tcPr>
          <w:p>
            <w:pPr>
              <w:jc w:val="center"/>
            </w:pPr>
            <w:r>
              <w:rPr>
                <w:color w:val="000000"/>
                <w:sz w:val="24"/>
              </w:rPr>
              <w:t>-0.54%</w:t>
            </w:r>
          </w:p>
        </w:tc>
      </w:tr>
      <w:tr>
        <w:tc>
          <w:tcPr>
            <w:vAlign w:val="center"/>
          </w:tcPr>
          <w:p>
            <w:pPr>
              <w:jc w:val="left"/>
            </w:pPr>
            <w:r>
              <w:rPr>
                <w:color w:val="000000"/>
                <w:sz w:val="24"/>
              </w:rPr>
              <w:t>自基金合同生效至今</w:t>
            </w:r>
          </w:p>
        </w:tc>
        <w:tc>
          <w:tcPr>
            <w:vAlign w:val="center"/>
          </w:tcPr>
          <w:p>
            <w:pPr>
              <w:jc w:val="center"/>
            </w:pPr>
            <w:r>
              <w:rPr>
                <w:color w:val="000000"/>
                <w:sz w:val="24"/>
              </w:rPr>
              <w:t>16.16%</w:t>
            </w:r>
          </w:p>
        </w:tc>
        <w:tc>
          <w:tcPr>
            <w:vAlign w:val="center"/>
          </w:tcPr>
          <w:p>
            <w:pPr>
              <w:jc w:val="center"/>
            </w:pPr>
            <w:r>
              <w:rPr>
                <w:color w:val="000000"/>
                <w:sz w:val="24"/>
              </w:rPr>
              <w:t>0.20%</w:t>
            </w:r>
          </w:p>
        </w:tc>
        <w:tc>
          <w:tcPr>
            <w:vAlign w:val="center"/>
          </w:tcPr>
          <w:p>
            <w:pPr>
              <w:jc w:val="center"/>
            </w:pPr>
            <w:r>
              <w:rPr>
                <w:color w:val="000000"/>
                <w:sz w:val="24"/>
              </w:rPr>
              <w:t>7.86%</w:t>
            </w:r>
          </w:p>
        </w:tc>
        <w:tc>
          <w:tcPr>
            <w:vAlign w:val="center"/>
          </w:tcPr>
          <w:p>
            <w:pPr>
              <w:jc w:val="center"/>
            </w:pPr>
            <w:r>
              <w:rPr>
                <w:color w:val="000000"/>
                <w:sz w:val="24"/>
              </w:rPr>
              <w:t>0.58%</w:t>
            </w:r>
          </w:p>
        </w:tc>
        <w:tc>
          <w:tcPr>
            <w:vAlign w:val="center"/>
          </w:tcPr>
          <w:p>
            <w:pPr>
              <w:jc w:val="center"/>
            </w:pPr>
            <w:r>
              <w:rPr>
                <w:color w:val="000000"/>
                <w:sz w:val="24"/>
              </w:rPr>
              <w:t>8.30%</w:t>
            </w:r>
          </w:p>
        </w:tc>
        <w:tc>
          <w:tcPr>
            <w:vAlign w:val="center"/>
          </w:tcPr>
          <w:p>
            <w:pPr>
              <w:jc w:val="center"/>
            </w:pPr>
            <w:r>
              <w:rPr>
                <w:color w:val="000000"/>
                <w:sz w:val="24"/>
              </w:rPr>
              <w:t>-0.38%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注：本基金的业绩比较基准为50%×沪深300指数收益率+50%×中债综合全价指数收益率，每日进行再平衡过程。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交银施罗德瑞鑫定期开放灵活配置混合型证券投资基金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2016年12月14日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2016-12-14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2019-06-27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r>
        <w:tc>
          <w:tcPr>
            <w:vAlign w:val="center"/>
          </w:tcPr>
          <w:p>
            <w:pPr>
              <w:jc w:val="center"/>
            </w:pPr>
            <w:r>
              <w:rPr>
                <w:color w:val="000000"/>
                <w:sz w:val="24"/>
              </w:rPr>
              <w:t>季参平</w:t>
            </w:r>
          </w:p>
        </w:tc>
        <w:tc>
          <w:tcPr>
            <w:vAlign w:val="center"/>
          </w:tcPr>
          <w:p>
            <w:pPr>
              <w:jc w:val="center"/>
            </w:pPr>
            <w:r>
              <w:rPr>
                <w:color w:val="000000"/>
                <w:sz w:val="24"/>
              </w:rPr>
              <w:t>交银货币、交银理财21天债券、交银理财60天债券、交银现金宝货币、交银活期通货币、交银天利宝货币、交银裕隆纯债债券、交银天鑫宝货币、交银天益宝货币、交银天运宝货币的基金经理助理</w:t>
            </w:r>
          </w:p>
        </w:tc>
        <w:tc>
          <w:tcPr>
            <w:vAlign w:val="center"/>
          </w:tcPr>
          <w:p>
            <w:pPr>
              <w:jc w:val="center"/>
            </w:pPr>
            <w:r>
              <w:rPr>
                <w:color w:val="000000"/>
                <w:sz w:val="24"/>
              </w:rPr>
              <w:t>2017-09-19</w:t>
            </w:r>
          </w:p>
        </w:tc>
        <w:tc>
          <w:tcPr>
            <w:vAlign w:val="center"/>
          </w:tcPr>
          <w:p>
            <w:pPr>
              <w:jc w:val="center"/>
            </w:pPr>
            <w:r>
              <w:rPr>
                <w:color w:val="000000"/>
                <w:sz w:val="24"/>
              </w:rPr>
              <w:t>2019-06-27</w:t>
            </w:r>
          </w:p>
        </w:tc>
        <w:tc>
          <w:tcPr>
            <w:vAlign w:val="center"/>
          </w:tcPr>
          <w:p>
            <w:pPr>
              <w:jc w:val="center"/>
            </w:pPr>
            <w:r>
              <w:rPr>
                <w:color w:val="000000"/>
                <w:sz w:val="24"/>
              </w:rPr>
              <w:t>7年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2017年9月19日至2018年7月18日担任交银施罗德瑞利定期开放灵活配置混合型证券投资基金的基金经理助理。2017年9月19日至2018年11月16日担任交银施罗德瑞景定期开放灵活配置混合型证券投资基金的基金经理助理。2018年6月28日至2018年12月7日担任交银施罗德卓越回报灵活配置混合型证券投资基金的基金经理助理。2017年9月19日至2019年6月26日担任交银施罗德瑞鑫定期开放灵活配置混合型证券投资基金的基金经理助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权益市场年初受益于社融向上拐点确立及流动性宽松，普遍上行，小盘股涨幅更为明显。至三月底，多数板块估值相对偏高。在经济增速环比回落，中美贸易争端再度演绎等事件影响下，大盘自四月中下旬震荡下行。行业层面看，部分消费及金融有一定绝对收益，TMT及强周期等板块表现偏弱。</w:t>
      </w:r>
    </w:p>
    <w:p w:rsidP="00AC6DDA" w:rsidR="00C02A8F" w:rsidRDefault="00C02A8F" w:rsidRPr="005C672D">
      <w:pPr>
        <w:spacing w:before="29" w:line="288" w:lineRule="auto"/>
        <w:ind w:firstLine="480" w:firstLineChars="200"/>
        <w:rPr>
          <w:color w:val="000000"/>
          <w:sz w:val="24"/>
        </w:rPr>
      </w:pPr>
      <w:r w:rsidRPr="005C672D">
        <w:rPr>
          <w:color w:val="000000"/>
          <w:sz w:val="24"/>
        </w:rPr>
        <w:t>组合策略方面，组合债券部分维持信用套息思路，重点关注信用债的配置价值，维持中性偏高杠杆和适度久期。权益部分，组合积极关注一级市场投资机会，并在权益市场回调后适度增配盈利较为稳定，估值接近历史底部的权益持仓，以期增厚组合收益。</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继续积极关注权益市场一级投资机会，同时密切跟踪个股业绩和行业景气变化，通过行业轮动及个股精选，控制组合回撤，努力为投资人取得稳定业绩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pPr>
        <w:spacing w:before="29" w:line="288" w:lineRule="auto"/>
        <w:ind w:firstLine="480" w:firstLineChars="200"/>
        <w:rPr>
          <w:color w:val="000000"/>
          <w:sz w:val="24"/>
        </w:rPr>
      </w:pPr>
      <w:r>
        <w:rPr>
          <w:color w:val="000000"/>
          <w:sz w:val="24"/>
        </w:rPr>
        <w:t>招商银行根据法律法规、托管协议约定的投资监督条款，对托管产品的投资行为进行监督，并根据监管要求履行报告义务。</w:t>
      </w:r>
    </w:p>
    <w:p>
      <w:pPr>
        <w:spacing w:before="29" w:line="288" w:lineRule="auto"/>
        <w:ind w:firstLine="480" w:firstLineChars="20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P="00AC6DDA" w:rsidR="001548F9" w:rsidRDefault="001548F9" w:rsidRPr="005C672D">
      <w:pPr>
        <w:spacing w:before="29" w:line="288" w:lineRule="auto"/>
        <w:ind w:firstLine="480" w:firstLineChars="200"/>
        <w:rPr>
          <w:color w:val="000000"/>
          <w:sz w:val="24"/>
        </w:rPr>
      </w:pPr>
      <w:r w:rsidRPr="005C672D">
        <w:rPr>
          <w:color w:val="000000"/>
          <w:sz w:val="24"/>
        </w:rPr>
        <w:t>本半年度报告中利润分配情况真实、准确。</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本半年度报告中财务指标、净值表现、财务会计报告、投资组合报告内容真实、准确，不存在虚假记载、误导性陈述或者重大遗漏。</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交银施罗德瑞鑫定期开放灵活配置混合型证券投资基金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829,904.17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20,765,229.01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20,297,197.22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537,706.14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46,487.45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7,861.38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530,327,500.19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395,417,993.64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81,948,306.19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58,322,993.64</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448,379,194.00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337,095,000.00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7,818,523.82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5,395,933.15</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559,319,612.85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422,124,723.32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210,000,000.00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86,200,000.00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190,900.67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169,942.06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171,649.06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28,323.67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28,608.17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61,925.26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46,174.10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54,220.92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22,764.68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79,705.50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96,819.96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129,300.00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210,602,132.54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86,678,201.51</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300,207,664.50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300,204,259.10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48,509,815.81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35,242,262.71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348,717,480.31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335,446,521.81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559,319,612.85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422,124,723.32</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报告截止日2019年6月30日，基金份额净值1.1616元，基金份额总额300,207,664.50份。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17,206,043.61</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10,493,433.24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8,525,924.52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7,113,640.41</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129,007.97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59,954.56</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8,396,916.55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7,004,683.00</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49,002.85</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5,600,718.59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6,157,879.33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3,589,325.73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6,095,204.74</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1,160,119.85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-490,281.01</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851,273.01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552,955.60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3,079,400.50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-2,778,086.50</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3,938,938.37</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2,389,631.00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1,014,866.05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996,350.54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169,144.35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166,058.44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177,238.49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51,819.12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2,438,482.86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1,024,838.85</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2,438,482.86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1,024,838.85</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25,533.44</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8,904.09</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113,673.18</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141,659.96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13,267,105.24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8,103,802.24</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13,267,105.24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8,103,802.24</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300,204,259.10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35,242,262.71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335,446,521.81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13,267,105.24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13,267,105.24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3,405.40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447.86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3,853.26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17,587.25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2,213.08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19,800.33</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-14,181.85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-1,765.22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-15,947.07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300,207,664.50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48,509,815.81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348,717,480.31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300,022,602.93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29,531,091.20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329,553,694.13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8,103,802.24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8,103,802.24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8,932.78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1,061.22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9,994.00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8,932.78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1,061.22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9,994.00</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300,031,535.71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37,635,954.66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337,667,490.37</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瑞鑫定期开放灵活配置混合型证券投资基金(以下简称“本基金”)经中国证券监督管理委员会(以下简称“中国证监会”)证监许可[2016]2697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300,022,839.97元，业经普华永道中天会计师事务所(特殊普通合伙)普华永道中天验字(2016)第1600号验资报告予以验证。经向中国证监会备案，《交银施罗德瑞鑫定期开放灵活配置混合型证券投资基金基金合同》于2016年12月14日正式生效，基金合同生效日的基金份额总额为300,022,842.52份基金份额，其中认购资金利息折合2.55份基金份额。本基金的基金管理人为交银施罗德基金管理有限公司，基金托管人为招商银行股份有限公司。</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含)起或者每一个开放期结束之日次日(含)起至6个月后月度对日的前一日。本基金在封闭期内不办理申购与赎回业务，也不上市交易。本基金自封闭期结束之日的下一个工作日起进入开放期，期间可以办理申购及/或赎回业务。本基金每个开放期办理申购或赎回业务的时间分别至少为5个工作日最长不超过20个工作日，基金管理人最迟应于开放期开始的2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其中现金不包括结算备付金、存出保证金和应收申购款等；在封闭期内，本基金不受上述5%的限制，但每个交易日日终在扣除股指期货合约需缴纳的交易保证金后，应当保持不低于交易保证金一倍的现金。本基金的业绩比较基准为：50%×沪深300指数收益率+50%×中债综合全价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瑞鑫定期开放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招商银行股份有限公司(“招商银行”)</w:t>
            </w:r>
          </w:p>
        </w:tc>
        <w:tc>
          <w:tcPr>
            <w:vAlign w:val="center"/>
          </w:tcPr>
          <w:p>
            <w:pPr>
              <w:jc w:val="left"/>
            </w:pPr>
            <w:r>
              <w:rPr>
                <w:color w:val="000000"/>
                <w:sz w:val="24"/>
              </w:rPr>
              <w:t>基金托管人</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1,014,866.05</w:t>
            </w:r>
          </w:p>
        </w:tc>
        <w:tc>
          <w:tcPr>
            <w:tcW w:type="dxa" w:w="2657"/>
            <w:vAlign w:val="center"/>
          </w:tcPr>
          <w:p w:rsidP="00AC6DDA" w:rsidR="001548F9" w:rsidRDefault="001548F9" w:rsidRPr="005C672D">
            <w:pPr>
              <w:spacing w:before="29" w:line="288" w:lineRule="auto"/>
              <w:jc w:val="right"/>
              <w:rPr>
                <w:sz w:val="24"/>
              </w:rPr>
            </w:pPr>
            <w:r w:rsidRPr="005C672D">
              <w:rPr>
                <w:sz w:val="24"/>
              </w:rPr>
              <w:t>996,350.54</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58.52</w:t>
            </w:r>
          </w:p>
        </w:tc>
        <w:tc>
          <w:tcPr>
            <w:tcW w:type="dxa" w:w="2657"/>
            <w:vAlign w:val="center"/>
          </w:tcPr>
          <w:p w:rsidP="00AC6DDA" w:rsidR="001548F9" w:rsidRDefault="001548F9" w:rsidRPr="005C672D">
            <w:pPr>
              <w:spacing w:before="29" w:line="288" w:lineRule="auto"/>
              <w:jc w:val="right"/>
              <w:rPr>
                <w:sz w:val="24"/>
              </w:rPr>
            </w:pPr>
            <w:r w:rsidRPr="005C672D">
              <w:rPr>
                <w:sz w:val="24"/>
              </w:rPr>
              <w:t>-</w:t>
            </w:r>
          </w:p>
        </w:tc>
      </w:tr>
    </w:tbl>
    <w:p>
      <w:pPr>
        <w:tabs>
          <w:tab w:pos="426" w:val="left"/>
        </w:tabs>
        <w:spacing w:before="29" w:line="288" w:lineRule="auto"/>
        <w:jc w:val="left"/>
        <w:rPr>
          <w:kern w:val="0"/>
          <w:sz w:val="24"/>
        </w:rPr>
      </w:pPr>
      <w:r>
        <w:rPr>
          <w:kern w:val="0"/>
          <w:sz w:val="24"/>
        </w:rPr>
        <w:t>注：支付基金管理人的管理人报酬按前一日基金资产净值0.60%的年费率计提，逐日累计至每月月底，按月支付。其计算公式为：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日管理人报酬＝前一日基金资产净值×0.60%÷当年天数。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169,144.35</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166,058.44</w:t>
            </w:r>
          </w:p>
        </w:tc>
      </w:tr>
    </w:tbl>
    <w:p>
      <w:pPr>
        <w:tabs>
          <w:tab w:pos="426" w:val="left"/>
        </w:tabs>
        <w:spacing w:before="29" w:line="288" w:lineRule="auto"/>
        <w:jc w:val="left"/>
        <w:rPr>
          <w:kern w:val="0"/>
          <w:sz w:val="24"/>
        </w:rPr>
      </w:pPr>
      <w:r>
        <w:rPr>
          <w:kern w:val="0"/>
          <w:sz w:val="24"/>
        </w:rPr>
        <w:t>注：支付基金托管人的托管费按前一日基金资产净值0.10%的年费率计提，逐日累计至每月月底，按月支付。其计算公式为：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日托管费＝前一日基金资产净值×0.10%÷当年天数。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招商银行股份有限公司</w:t>
            </w:r>
          </w:p>
        </w:tc>
        <w:tc>
          <w:tcPr>
            <w:vAlign w:val="center"/>
          </w:tcPr>
          <w:p>
            <w:pPr>
              <w:jc w:val="right"/>
            </w:pPr>
            <w:r>
              <w:rPr>
                <w:sz w:val="24"/>
              </w:rPr>
              <w:t>829,904.17</w:t>
            </w:r>
          </w:p>
        </w:tc>
        <w:tc>
          <w:tcPr>
            <w:vAlign w:val="center"/>
          </w:tcPr>
          <w:p>
            <w:pPr>
              <w:jc w:val="right"/>
            </w:pPr>
            <w:r>
              <w:rPr>
                <w:sz w:val="24"/>
              </w:rPr>
              <w:t>9,633.59</w:t>
            </w:r>
          </w:p>
        </w:tc>
        <w:tc>
          <w:tcPr>
            <w:vAlign w:val="center"/>
          </w:tcPr>
          <w:p>
            <w:pPr>
              <w:jc w:val="right"/>
            </w:pPr>
            <w:r>
              <w:rPr>
                <w:sz w:val="24"/>
              </w:rPr>
              <w:t>504,871.54</w:t>
            </w:r>
          </w:p>
        </w:tc>
        <w:tc>
          <w:tcPr>
            <w:vAlign w:val="center"/>
          </w:tcPr>
          <w:p>
            <w:pPr>
              <w:jc w:val="right"/>
            </w:pPr>
            <w:r>
              <w:rPr>
                <w:sz w:val="24"/>
              </w:rPr>
              <w:t>5,120.99</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r w:rsidR="00D63DBA" w:rsidRPr="005C672D">
        <w:rPr>
          <w:b/>
          <w:bCs/>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本基金本报告期末无从事银行间市场债券正回购交易形成的卖出回购证券款余额。</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
      </w:r>
      <w:r w:rsidRPr="005C672D">
        <w:rPr>
          <w:b/>
          <w:bCs/>
          <w:color w:val="000000"/>
          <w:kern w:val="0"/>
          <w:sz w:val="24"/>
        </w:rPr>
        <w:t xml:space="preserve">6.4.9.3.2 </w:t>
      </w:r>
      <w:r w:rsidRPr="005C672D">
        <w:rPr>
          <w:b/>
          <w:bCs/>
          <w:color w:val="000000"/>
          <w:sz w:val="24"/>
        </w:rPr>
        <w:t>交易所市场债券正回购</w:t>
      </w:r>
      <w:r w:rsidR="00D63DBA" w:rsidRPr="005C672D">
        <w:rPr>
          <w:b/>
          <w:bCs/>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截至本报告期末2019年6月30日止，本基金从事证券交易所债券正回购交易形成的卖出回购证券款余额210,000,000.00元，于2019年7月1日到期。该类交易要求本基金转入质押库的债券，按证券交易所规定的比例折算为标准券后，不低于债券回购交易的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81,948,306.19</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14.65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81,948,306.19</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14.65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448,379,194.00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448,379,194.00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21,127,101.39</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3.78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7,865,011.27</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1.41</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559,319,612.85</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211,349.25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0.06</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25,177,107.28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7.22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6,694,357.12</w:t>
            </w:r>
          </w:p>
        </w:tc>
        <w:tc>
          <w:tcPr>
            <w:tcW w:type="dxa" w:w="2160"/>
            <w:vAlign w:val="center"/>
          </w:tcPr>
          <w:p w:rsidP="00AC6DDA" w:rsidR="001548F9" w:rsidRDefault="001548F9" w:rsidRPr="005C672D">
            <w:pPr>
              <w:spacing w:before="29" w:line="288" w:lineRule="auto"/>
              <w:jc w:val="right"/>
              <w:rPr>
                <w:sz w:val="24"/>
              </w:rPr>
            </w:pPr>
            <w:r w:rsidRPr="005C672D">
              <w:rPr>
                <w:sz w:val="24"/>
              </w:rPr>
              <w:t>1.92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1,355,000.00</w:t>
            </w:r>
          </w:p>
        </w:tc>
        <w:tc>
          <w:tcPr>
            <w:tcW w:type="dxa" w:w="2160"/>
            <w:vAlign w:val="center"/>
          </w:tcPr>
          <w:p w:rsidP="00AC6DDA" w:rsidR="001548F9" w:rsidRDefault="001548F9" w:rsidRPr="005C672D">
            <w:pPr>
              <w:spacing w:before="29" w:line="288" w:lineRule="auto"/>
              <w:jc w:val="right"/>
              <w:rPr>
                <w:sz w:val="24"/>
              </w:rPr>
            </w:pPr>
            <w:r w:rsidRPr="005C672D">
              <w:rPr>
                <w:sz w:val="24"/>
              </w:rPr>
              <w:t>0.39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41,263,949.94</w:t>
            </w:r>
          </w:p>
        </w:tc>
        <w:tc>
          <w:tcPr>
            <w:tcW w:type="dxa" w:w="2160"/>
            <w:vAlign w:val="center"/>
          </w:tcPr>
          <w:p w:rsidP="00AC6DDA" w:rsidR="001548F9" w:rsidRDefault="001548F9" w:rsidRPr="005C672D">
            <w:pPr>
              <w:spacing w:before="29" w:line="288" w:lineRule="auto"/>
              <w:jc w:val="right"/>
              <w:rPr>
                <w:sz w:val="24"/>
              </w:rPr>
            </w:pPr>
            <w:r w:rsidRPr="005C672D">
              <w:rPr>
                <w:sz w:val="24"/>
              </w:rPr>
              <w:t>11.83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7,223,436.00</w:t>
            </w:r>
          </w:p>
        </w:tc>
        <w:tc>
          <w:tcPr>
            <w:tcW w:type="dxa" w:w="2160"/>
            <w:vAlign w:val="center"/>
          </w:tcPr>
          <w:p w:rsidP="00AC6DDA" w:rsidR="001548F9" w:rsidRDefault="001548F9" w:rsidRPr="005C672D">
            <w:pPr>
              <w:spacing w:before="29" w:line="288" w:lineRule="auto"/>
              <w:jc w:val="right"/>
              <w:rPr>
                <w:sz w:val="24"/>
              </w:rPr>
            </w:pPr>
            <w:r w:rsidRPr="005C672D">
              <w:rPr>
                <w:sz w:val="24"/>
              </w:rPr>
              <w:t>2.07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81,948,306.19</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23.50</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3,475,300</w:t>
            </w:r>
          </w:p>
        </w:tc>
        <w:tc>
          <w:tcPr>
            <w:vAlign w:val="center"/>
          </w:tcPr>
          <w:p>
            <w:pPr>
              <w:jc w:val="right"/>
            </w:pPr>
            <w:r>
              <w:rPr>
                <w:color w:val="000000"/>
                <w:sz w:val="24"/>
              </w:rPr>
              <w:t>12,511,080.00</w:t>
            </w:r>
          </w:p>
        </w:tc>
        <w:tc>
          <w:tcPr>
            <w:vAlign w:val="center"/>
          </w:tcPr>
          <w:p>
            <w:pPr>
              <w:jc w:val="right"/>
            </w:pPr>
            <w:r>
              <w:rPr>
                <w:color w:val="000000"/>
                <w:sz w:val="24"/>
              </w:rPr>
              <w:t>3.59</w:t>
            </w:r>
          </w:p>
        </w:tc>
      </w:tr>
      <w:tr>
        <w:tc>
          <w:tcPr>
            <w:vAlign w:val="center"/>
          </w:tcPr>
          <w:p>
            <w:pPr>
              <w:jc w:val="center"/>
            </w:pPr>
            <w:r>
              <w:rPr>
                <w:color w:val="000000"/>
                <w:sz w:val="24"/>
              </w:rPr>
              <w:t>2</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2,000,000</w:t>
            </w:r>
          </w:p>
        </w:tc>
        <w:tc>
          <w:tcPr>
            <w:vAlign w:val="center"/>
          </w:tcPr>
          <w:p>
            <w:pPr>
              <w:jc w:val="right"/>
            </w:pPr>
            <w:r>
              <w:rPr>
                <w:color w:val="000000"/>
                <w:sz w:val="24"/>
              </w:rPr>
              <w:t>11,780,000.00</w:t>
            </w:r>
          </w:p>
        </w:tc>
        <w:tc>
          <w:tcPr>
            <w:vAlign w:val="center"/>
          </w:tcPr>
          <w:p>
            <w:pPr>
              <w:jc w:val="right"/>
            </w:pPr>
            <w:r>
              <w:rPr>
                <w:color w:val="000000"/>
                <w:sz w:val="24"/>
              </w:rPr>
              <w:t>3.38</w:t>
            </w:r>
          </w:p>
        </w:tc>
      </w:tr>
      <w:tr>
        <w:tc>
          <w:tcPr>
            <w:vAlign w:val="center"/>
          </w:tcPr>
          <w:p>
            <w:pPr>
              <w:jc w:val="center"/>
            </w:pPr>
            <w:r>
              <w:rPr>
                <w:color w:val="000000"/>
                <w:sz w:val="24"/>
              </w:rPr>
              <w:t>3</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200,000</w:t>
            </w:r>
          </w:p>
        </w:tc>
        <w:tc>
          <w:tcPr>
            <w:vAlign w:val="center"/>
          </w:tcPr>
          <w:p>
            <w:pPr>
              <w:jc w:val="right"/>
            </w:pPr>
            <w:r>
              <w:rPr>
                <w:color w:val="000000"/>
                <w:sz w:val="24"/>
              </w:rPr>
              <w:t>7,302,000.00</w:t>
            </w:r>
          </w:p>
        </w:tc>
        <w:tc>
          <w:tcPr>
            <w:vAlign w:val="center"/>
          </w:tcPr>
          <w:p>
            <w:pPr>
              <w:jc w:val="right"/>
            </w:pPr>
            <w:r>
              <w:rPr>
                <w:color w:val="000000"/>
                <w:sz w:val="24"/>
              </w:rPr>
              <w:t>2.09</w:t>
            </w:r>
          </w:p>
        </w:tc>
      </w:tr>
      <w:tr>
        <w:tc>
          <w:tcPr>
            <w:vAlign w:val="center"/>
          </w:tcPr>
          <w:p>
            <w:pPr>
              <w:jc w:val="center"/>
            </w:pPr>
            <w:r>
              <w:rPr>
                <w:color w:val="000000"/>
                <w:sz w:val="24"/>
              </w:rPr>
              <w:t>4</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566,100</w:t>
            </w:r>
          </w:p>
        </w:tc>
        <w:tc>
          <w:tcPr>
            <w:vAlign w:val="center"/>
          </w:tcPr>
          <w:p>
            <w:pPr>
              <w:jc w:val="right"/>
            </w:pPr>
            <w:r>
              <w:rPr>
                <w:color w:val="000000"/>
                <w:sz w:val="24"/>
              </w:rPr>
              <w:t>7,223,436.00</w:t>
            </w:r>
          </w:p>
        </w:tc>
        <w:tc>
          <w:tcPr>
            <w:vAlign w:val="center"/>
          </w:tcPr>
          <w:p>
            <w:pPr>
              <w:jc w:val="right"/>
            </w:pPr>
            <w:r>
              <w:rPr>
                <w:color w:val="000000"/>
                <w:sz w:val="24"/>
              </w:rPr>
              <w:t>2.07</w:t>
            </w:r>
          </w:p>
        </w:tc>
      </w:tr>
      <w:tr>
        <w:tc>
          <w:tcPr>
            <w:vAlign w:val="center"/>
          </w:tcPr>
          <w:p>
            <w:pPr>
              <w:jc w:val="center"/>
            </w:pPr>
            <w:r>
              <w:rPr>
                <w:color w:val="000000"/>
                <w:sz w:val="24"/>
              </w:rPr>
              <w:t>5</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79,904</w:t>
            </w:r>
          </w:p>
        </w:tc>
        <w:tc>
          <w:tcPr>
            <w:vAlign w:val="center"/>
          </w:tcPr>
          <w:p>
            <w:pPr>
              <w:jc w:val="right"/>
            </w:pPr>
            <w:r>
              <w:rPr>
                <w:color w:val="000000"/>
                <w:sz w:val="24"/>
              </w:rPr>
              <w:t>6,694,357.12</w:t>
            </w:r>
          </w:p>
        </w:tc>
        <w:tc>
          <w:tcPr>
            <w:vAlign w:val="center"/>
          </w:tcPr>
          <w:p>
            <w:pPr>
              <w:jc w:val="right"/>
            </w:pPr>
            <w:r>
              <w:rPr>
                <w:color w:val="000000"/>
                <w:sz w:val="24"/>
              </w:rPr>
              <w:t>1.92</w:t>
            </w:r>
          </w:p>
        </w:tc>
      </w:tr>
      <w:tr>
        <w:tc>
          <w:tcPr>
            <w:vAlign w:val="center"/>
          </w:tcPr>
          <w:p>
            <w:pPr>
              <w:jc w:val="center"/>
            </w:pPr>
            <w:r>
              <w:rPr>
                <w:color w:val="000000"/>
                <w:sz w:val="24"/>
              </w:rPr>
              <w:t>6</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100,000</w:t>
            </w:r>
          </w:p>
        </w:tc>
        <w:tc>
          <w:tcPr>
            <w:vAlign w:val="center"/>
          </w:tcPr>
          <w:p>
            <w:pPr>
              <w:jc w:val="right"/>
            </w:pPr>
            <w:r>
              <w:rPr>
                <w:color w:val="000000"/>
                <w:sz w:val="24"/>
              </w:rPr>
              <w:t>5,503,000.00</w:t>
            </w:r>
          </w:p>
        </w:tc>
        <w:tc>
          <w:tcPr>
            <w:vAlign w:val="center"/>
          </w:tcPr>
          <w:p>
            <w:pPr>
              <w:jc w:val="right"/>
            </w:pPr>
            <w:r>
              <w:rPr>
                <w:color w:val="000000"/>
                <w:sz w:val="24"/>
              </w:rPr>
              <w:t>1.58</w:t>
            </w:r>
          </w:p>
        </w:tc>
      </w:tr>
      <w:tr>
        <w:tc>
          <w:tcPr>
            <w:vAlign w:val="center"/>
          </w:tcPr>
          <w:p>
            <w:pPr>
              <w:jc w:val="center"/>
            </w:pPr>
            <w:r>
              <w:rPr>
                <w:color w:val="000000"/>
                <w:sz w:val="24"/>
              </w:rPr>
              <w:t>7</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4,532,000.00</w:t>
            </w:r>
          </w:p>
        </w:tc>
        <w:tc>
          <w:tcPr>
            <w:vAlign w:val="center"/>
          </w:tcPr>
          <w:p>
            <w:pPr>
              <w:jc w:val="right"/>
            </w:pPr>
            <w:r>
              <w:rPr>
                <w:color w:val="000000"/>
                <w:sz w:val="24"/>
              </w:rPr>
              <w:t>1.30</w:t>
            </w:r>
          </w:p>
        </w:tc>
      </w:tr>
      <w:tr>
        <w:tc>
          <w:tcPr>
            <w:vAlign w:val="center"/>
          </w:tcPr>
          <w:p>
            <w:pPr>
              <w:jc w:val="center"/>
            </w:pPr>
            <w:r>
              <w:rPr>
                <w:color w:val="000000"/>
                <w:sz w:val="24"/>
              </w:rPr>
              <w:t>8</w:t>
            </w:r>
          </w:p>
        </w:tc>
        <w:tc>
          <w:tcPr>
            <w:vAlign w:val="center"/>
          </w:tcPr>
          <w:p>
            <w:pPr>
              <w:jc w:val="center"/>
            </w:pPr>
            <w:r>
              <w:rPr>
                <w:color w:val="000000"/>
                <w:sz w:val="24"/>
              </w:rPr>
              <w:t>600741</w:t>
            </w:r>
          </w:p>
        </w:tc>
        <w:tc>
          <w:tcPr>
            <w:vAlign w:val="center"/>
          </w:tcPr>
          <w:p>
            <w:pPr>
              <w:jc w:val="center"/>
            </w:pPr>
            <w:r>
              <w:rPr>
                <w:color w:val="000000"/>
                <w:sz w:val="24"/>
              </w:rPr>
              <w:t>华域汽车</w:t>
            </w:r>
          </w:p>
        </w:tc>
        <w:tc>
          <w:tcPr>
            <w:vAlign w:val="center"/>
          </w:tcPr>
          <w:p>
            <w:pPr>
              <w:jc w:val="right"/>
            </w:pPr>
            <w:r>
              <w:rPr>
                <w:color w:val="000000"/>
                <w:sz w:val="24"/>
              </w:rPr>
              <w:t>200,000</w:t>
            </w:r>
          </w:p>
        </w:tc>
        <w:tc>
          <w:tcPr>
            <w:vAlign w:val="center"/>
          </w:tcPr>
          <w:p>
            <w:pPr>
              <w:jc w:val="right"/>
            </w:pPr>
            <w:r>
              <w:rPr>
                <w:color w:val="000000"/>
                <w:sz w:val="24"/>
              </w:rPr>
              <w:t>4,320,000.00</w:t>
            </w:r>
          </w:p>
        </w:tc>
        <w:tc>
          <w:tcPr>
            <w:vAlign w:val="center"/>
          </w:tcPr>
          <w:p>
            <w:pPr>
              <w:jc w:val="right"/>
            </w:pPr>
            <w:r>
              <w:rPr>
                <w:color w:val="000000"/>
                <w:sz w:val="24"/>
              </w:rPr>
              <w:t>1.24</w:t>
            </w:r>
          </w:p>
        </w:tc>
      </w:tr>
      <w:tr>
        <w:tc>
          <w:tcPr>
            <w:vAlign w:val="center"/>
          </w:tcPr>
          <w:p>
            <w:pPr>
              <w:jc w:val="center"/>
            </w:pPr>
            <w:r>
              <w:rPr>
                <w:color w:val="000000"/>
                <w:sz w:val="24"/>
              </w:rPr>
              <w:t>9</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300,000</w:t>
            </w:r>
          </w:p>
        </w:tc>
        <w:tc>
          <w:tcPr>
            <w:vAlign w:val="center"/>
          </w:tcPr>
          <w:p>
            <w:pPr>
              <w:jc w:val="right"/>
            </w:pPr>
            <w:r>
              <w:rPr>
                <w:color w:val="000000"/>
                <w:sz w:val="24"/>
              </w:rPr>
              <w:t>4,134,000.00</w:t>
            </w:r>
          </w:p>
        </w:tc>
        <w:tc>
          <w:tcPr>
            <w:vAlign w:val="center"/>
          </w:tcPr>
          <w:p>
            <w:pPr>
              <w:jc w:val="right"/>
            </w:pPr>
            <w:r>
              <w:rPr>
                <w:color w:val="000000"/>
                <w:sz w:val="24"/>
              </w:rPr>
              <w:t>1.19</w:t>
            </w:r>
          </w:p>
        </w:tc>
      </w:tr>
      <w:tr>
        <w:tc>
          <w:tcPr>
            <w:vAlign w:val="center"/>
          </w:tcPr>
          <w:p>
            <w:pPr>
              <w:jc w:val="center"/>
            </w:pPr>
            <w:r>
              <w:rPr>
                <w:color w:val="000000"/>
                <w:sz w:val="24"/>
              </w:rPr>
              <w:t>10</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160,000</w:t>
            </w:r>
          </w:p>
        </w:tc>
        <w:tc>
          <w:tcPr>
            <w:vAlign w:val="center"/>
          </w:tcPr>
          <w:p>
            <w:pPr>
              <w:jc w:val="right"/>
            </w:pPr>
            <w:r>
              <w:rPr>
                <w:color w:val="000000"/>
                <w:sz w:val="24"/>
              </w:rPr>
              <w:t>4,080,000.00</w:t>
            </w:r>
          </w:p>
        </w:tc>
        <w:tc>
          <w:tcPr>
            <w:vAlign w:val="center"/>
          </w:tcPr>
          <w:p>
            <w:pPr>
              <w:jc w:val="right"/>
            </w:pPr>
            <w:r>
              <w:rPr>
                <w:color w:val="000000"/>
                <w:sz w:val="24"/>
              </w:rPr>
              <w:t>1.17</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601288</w:t>
            </w:r>
          </w:p>
        </w:tc>
        <w:tc>
          <w:tcPr>
            <w:vAlign w:val="center"/>
          </w:tcPr>
          <w:p>
            <w:pPr>
              <w:jc w:val="center"/>
            </w:pPr>
            <w:r>
              <w:rPr>
                <w:sz w:val="24"/>
              </w:rPr>
              <w:t>农业银行</w:t>
            </w:r>
          </w:p>
        </w:tc>
        <w:tc>
          <w:tcPr>
            <w:vAlign w:val="center"/>
          </w:tcPr>
          <w:p>
            <w:pPr>
              <w:jc w:val="right"/>
            </w:pPr>
            <w:r>
              <w:rPr>
                <w:sz w:val="24"/>
              </w:rPr>
              <w:t>13,164,845.00</w:t>
            </w:r>
          </w:p>
        </w:tc>
        <w:tc>
          <w:tcPr>
            <w:vAlign w:val="center"/>
          </w:tcPr>
          <w:p>
            <w:pPr>
              <w:jc w:val="right"/>
            </w:pPr>
            <w:r>
              <w:rPr>
                <w:sz w:val="24"/>
              </w:rPr>
              <w:t>3.92</w:t>
            </w:r>
          </w:p>
        </w:tc>
      </w:tr>
      <w:tr>
        <w:tc>
          <w:tcPr>
            <w:vAlign w:val="center"/>
          </w:tcPr>
          <w:p>
            <w:pPr>
              <w:jc w:val="center"/>
            </w:pPr>
            <w:r>
              <w:rPr>
                <w:sz w:val="24"/>
              </w:rPr>
              <w:t>2</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11,338,400.00</w:t>
            </w:r>
          </w:p>
        </w:tc>
        <w:tc>
          <w:tcPr>
            <w:vAlign w:val="center"/>
          </w:tcPr>
          <w:p>
            <w:pPr>
              <w:jc w:val="right"/>
            </w:pPr>
            <w:r>
              <w:rPr>
                <w:sz w:val="24"/>
              </w:rPr>
              <w:t>3.38</w:t>
            </w:r>
          </w:p>
        </w:tc>
      </w:tr>
      <w:tr>
        <w:tc>
          <w:tcPr>
            <w:vAlign w:val="center"/>
          </w:tcPr>
          <w:p>
            <w:pPr>
              <w:jc w:val="center"/>
            </w:pPr>
            <w:r>
              <w:rPr>
                <w:sz w:val="24"/>
              </w:rPr>
              <w:t>3</w:t>
            </w:r>
          </w:p>
        </w:tc>
        <w:tc>
          <w:tcPr>
            <w:vAlign w:val="center"/>
          </w:tcPr>
          <w:p>
            <w:pPr>
              <w:jc w:val="center"/>
            </w:pPr>
            <w:r>
              <w:rPr>
                <w:sz w:val="24"/>
              </w:rPr>
              <w:t>601601</w:t>
            </w:r>
          </w:p>
        </w:tc>
        <w:tc>
          <w:tcPr>
            <w:vAlign w:val="center"/>
          </w:tcPr>
          <w:p>
            <w:pPr>
              <w:jc w:val="center"/>
            </w:pPr>
            <w:r>
              <w:rPr>
                <w:sz w:val="24"/>
              </w:rPr>
              <w:t>中国太保</w:t>
            </w:r>
          </w:p>
        </w:tc>
        <w:tc>
          <w:tcPr>
            <w:vAlign w:val="center"/>
          </w:tcPr>
          <w:p>
            <w:pPr>
              <w:jc w:val="right"/>
            </w:pPr>
            <w:r>
              <w:rPr>
                <w:sz w:val="24"/>
              </w:rPr>
              <w:t>7,007,918.00</w:t>
            </w:r>
          </w:p>
        </w:tc>
        <w:tc>
          <w:tcPr>
            <w:vAlign w:val="center"/>
          </w:tcPr>
          <w:p>
            <w:pPr>
              <w:jc w:val="right"/>
            </w:pPr>
            <w:r>
              <w:rPr>
                <w:sz w:val="24"/>
              </w:rPr>
              <w:t>2.09</w:t>
            </w:r>
          </w:p>
        </w:tc>
      </w:tr>
      <w:tr>
        <w:tc>
          <w:tcPr>
            <w:vAlign w:val="center"/>
          </w:tcPr>
          <w:p>
            <w:pPr>
              <w:jc w:val="center"/>
            </w:pPr>
            <w:r>
              <w:rPr>
                <w:sz w:val="24"/>
              </w:rPr>
              <w:t>4</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6,036,233.14</w:t>
            </w:r>
          </w:p>
        </w:tc>
        <w:tc>
          <w:tcPr>
            <w:vAlign w:val="center"/>
          </w:tcPr>
          <w:p>
            <w:pPr>
              <w:jc w:val="right"/>
            </w:pPr>
            <w:r>
              <w:rPr>
                <w:sz w:val="24"/>
              </w:rPr>
              <w:t>1.80</w:t>
            </w:r>
          </w:p>
        </w:tc>
      </w:tr>
      <w:tr>
        <w:tc>
          <w:tcPr>
            <w:vAlign w:val="center"/>
          </w:tcPr>
          <w:p>
            <w:pPr>
              <w:jc w:val="center"/>
            </w:pPr>
            <w:r>
              <w:rPr>
                <w:sz w:val="24"/>
              </w:rPr>
              <w:t>5</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5,167,619.00</w:t>
            </w:r>
          </w:p>
        </w:tc>
        <w:tc>
          <w:tcPr>
            <w:vAlign w:val="center"/>
          </w:tcPr>
          <w:p>
            <w:pPr>
              <w:jc w:val="right"/>
            </w:pPr>
            <w:r>
              <w:rPr>
                <w:sz w:val="24"/>
              </w:rPr>
              <w:t>1.54</w:t>
            </w:r>
          </w:p>
        </w:tc>
      </w:tr>
      <w:tr>
        <w:tc>
          <w:tcPr>
            <w:vAlign w:val="center"/>
          </w:tcPr>
          <w:p>
            <w:pPr>
              <w:jc w:val="center"/>
            </w:pPr>
            <w:r>
              <w:rPr>
                <w:sz w:val="24"/>
              </w:rPr>
              <w:t>6</w:t>
            </w:r>
          </w:p>
        </w:tc>
        <w:tc>
          <w:tcPr>
            <w:vAlign w:val="center"/>
          </w:tcPr>
          <w:p>
            <w:pPr>
              <w:jc w:val="center"/>
            </w:pPr>
            <w:r>
              <w:rPr>
                <w:sz w:val="24"/>
              </w:rPr>
              <w:t>600009</w:t>
            </w:r>
          </w:p>
        </w:tc>
        <w:tc>
          <w:tcPr>
            <w:vAlign w:val="center"/>
          </w:tcPr>
          <w:p>
            <w:pPr>
              <w:jc w:val="center"/>
            </w:pPr>
            <w:r>
              <w:rPr>
                <w:sz w:val="24"/>
              </w:rPr>
              <w:t>上海机场</w:t>
            </w:r>
          </w:p>
        </w:tc>
        <w:tc>
          <w:tcPr>
            <w:vAlign w:val="center"/>
          </w:tcPr>
          <w:p>
            <w:pPr>
              <w:jc w:val="right"/>
            </w:pPr>
            <w:r>
              <w:rPr>
                <w:sz w:val="24"/>
              </w:rPr>
              <w:t>4,446,757.00</w:t>
            </w:r>
          </w:p>
        </w:tc>
        <w:tc>
          <w:tcPr>
            <w:vAlign w:val="center"/>
          </w:tcPr>
          <w:p>
            <w:pPr>
              <w:jc w:val="right"/>
            </w:pPr>
            <w:r>
              <w:rPr>
                <w:sz w:val="24"/>
              </w:rPr>
              <w:t>1.33</w:t>
            </w:r>
          </w:p>
        </w:tc>
      </w:tr>
      <w:tr>
        <w:tc>
          <w:tcPr>
            <w:vAlign w:val="center"/>
          </w:tcPr>
          <w:p>
            <w:pPr>
              <w:jc w:val="center"/>
            </w:pPr>
            <w:r>
              <w:rPr>
                <w:sz w:val="24"/>
              </w:rPr>
              <w:t>7</w:t>
            </w:r>
          </w:p>
        </w:tc>
        <w:tc>
          <w:tcPr>
            <w:vAlign w:val="center"/>
          </w:tcPr>
          <w:p>
            <w:pPr>
              <w:jc w:val="center"/>
            </w:pPr>
            <w:r>
              <w:rPr>
                <w:sz w:val="24"/>
              </w:rPr>
              <w:t>600741</w:t>
            </w:r>
          </w:p>
        </w:tc>
        <w:tc>
          <w:tcPr>
            <w:vAlign w:val="center"/>
          </w:tcPr>
          <w:p>
            <w:pPr>
              <w:jc w:val="center"/>
            </w:pPr>
            <w:r>
              <w:rPr>
                <w:sz w:val="24"/>
              </w:rPr>
              <w:t>华域汽车</w:t>
            </w:r>
          </w:p>
        </w:tc>
        <w:tc>
          <w:tcPr>
            <w:vAlign w:val="center"/>
          </w:tcPr>
          <w:p>
            <w:pPr>
              <w:jc w:val="right"/>
            </w:pPr>
            <w:r>
              <w:rPr>
                <w:sz w:val="24"/>
              </w:rPr>
              <w:t>4,209,241.41</w:t>
            </w:r>
          </w:p>
        </w:tc>
        <w:tc>
          <w:tcPr>
            <w:vAlign w:val="center"/>
          </w:tcPr>
          <w:p>
            <w:pPr>
              <w:jc w:val="right"/>
            </w:pPr>
            <w:r>
              <w:rPr>
                <w:sz w:val="24"/>
              </w:rPr>
              <w:t>1.25</w:t>
            </w:r>
          </w:p>
        </w:tc>
      </w:tr>
      <w:tr>
        <w:tc>
          <w:tcPr>
            <w:vAlign w:val="center"/>
          </w:tcPr>
          <w:p>
            <w:pPr>
              <w:jc w:val="center"/>
            </w:pPr>
            <w:r>
              <w:rPr>
                <w:sz w:val="24"/>
              </w:rPr>
              <w:t>8</w:t>
            </w:r>
          </w:p>
        </w:tc>
        <w:tc>
          <w:tcPr>
            <w:vAlign w:val="center"/>
          </w:tcPr>
          <w:p>
            <w:pPr>
              <w:jc w:val="center"/>
            </w:pPr>
            <w:r>
              <w:rPr>
                <w:sz w:val="24"/>
              </w:rPr>
              <w:t>000001</w:t>
            </w:r>
          </w:p>
        </w:tc>
        <w:tc>
          <w:tcPr>
            <w:vAlign w:val="center"/>
          </w:tcPr>
          <w:p>
            <w:pPr>
              <w:jc w:val="center"/>
            </w:pPr>
            <w:r>
              <w:rPr>
                <w:sz w:val="24"/>
              </w:rPr>
              <w:t>平安银行</w:t>
            </w:r>
          </w:p>
        </w:tc>
        <w:tc>
          <w:tcPr>
            <w:vAlign w:val="center"/>
          </w:tcPr>
          <w:p>
            <w:pPr>
              <w:jc w:val="right"/>
            </w:pPr>
            <w:r>
              <w:rPr>
                <w:sz w:val="24"/>
              </w:rPr>
              <w:t>4,000,000.00</w:t>
            </w:r>
          </w:p>
        </w:tc>
        <w:tc>
          <w:tcPr>
            <w:vAlign w:val="center"/>
          </w:tcPr>
          <w:p>
            <w:pPr>
              <w:jc w:val="right"/>
            </w:pPr>
            <w:r>
              <w:rPr>
                <w:sz w:val="24"/>
              </w:rPr>
              <w:t>1.19</w:t>
            </w:r>
          </w:p>
        </w:tc>
      </w:tr>
      <w:tr>
        <w:tc>
          <w:tcPr>
            <w:vAlign w:val="center"/>
          </w:tcPr>
          <w:p>
            <w:pPr>
              <w:jc w:val="center"/>
            </w:pPr>
            <w:r>
              <w:rPr>
                <w:sz w:val="24"/>
              </w:rPr>
              <w:t>9</w:t>
            </w:r>
          </w:p>
        </w:tc>
        <w:tc>
          <w:tcPr>
            <w:vAlign w:val="center"/>
          </w:tcPr>
          <w:p>
            <w:pPr>
              <w:jc w:val="center"/>
            </w:pPr>
            <w:r>
              <w:rPr>
                <w:sz w:val="24"/>
              </w:rPr>
              <w:t>600104</w:t>
            </w:r>
          </w:p>
        </w:tc>
        <w:tc>
          <w:tcPr>
            <w:vAlign w:val="center"/>
          </w:tcPr>
          <w:p>
            <w:pPr>
              <w:jc w:val="center"/>
            </w:pPr>
            <w:r>
              <w:rPr>
                <w:sz w:val="24"/>
              </w:rPr>
              <w:t>上汽集团</w:t>
            </w:r>
          </w:p>
        </w:tc>
        <w:tc>
          <w:tcPr>
            <w:vAlign w:val="center"/>
          </w:tcPr>
          <w:p>
            <w:pPr>
              <w:jc w:val="right"/>
            </w:pPr>
            <w:r>
              <w:rPr>
                <w:sz w:val="24"/>
              </w:rPr>
              <w:t>3,946,472.00</w:t>
            </w:r>
          </w:p>
        </w:tc>
        <w:tc>
          <w:tcPr>
            <w:vAlign w:val="center"/>
          </w:tcPr>
          <w:p>
            <w:pPr>
              <w:jc w:val="right"/>
            </w:pPr>
            <w:r>
              <w:rPr>
                <w:sz w:val="24"/>
              </w:rPr>
              <w:t>1.18</w:t>
            </w:r>
          </w:p>
        </w:tc>
      </w:tr>
      <w:tr>
        <w:tc>
          <w:tcPr>
            <w:vAlign w:val="center"/>
          </w:tcPr>
          <w:p>
            <w:pPr>
              <w:jc w:val="center"/>
            </w:pPr>
            <w:r>
              <w:rPr>
                <w:sz w:val="24"/>
              </w:rPr>
              <w:t>10</w:t>
            </w:r>
          </w:p>
        </w:tc>
        <w:tc>
          <w:tcPr>
            <w:vAlign w:val="center"/>
          </w:tcPr>
          <w:p>
            <w:pPr>
              <w:jc w:val="center"/>
            </w:pPr>
            <w:r>
              <w:rPr>
                <w:sz w:val="24"/>
              </w:rPr>
              <w:t>000538</w:t>
            </w:r>
          </w:p>
        </w:tc>
        <w:tc>
          <w:tcPr>
            <w:vAlign w:val="center"/>
          </w:tcPr>
          <w:p>
            <w:pPr>
              <w:jc w:val="center"/>
            </w:pPr>
            <w:r>
              <w:rPr>
                <w:sz w:val="24"/>
              </w:rPr>
              <w:t>云南白药</w:t>
            </w:r>
          </w:p>
        </w:tc>
        <w:tc>
          <w:tcPr>
            <w:vAlign w:val="center"/>
          </w:tcPr>
          <w:p>
            <w:pPr>
              <w:jc w:val="right"/>
            </w:pPr>
            <w:r>
              <w:rPr>
                <w:sz w:val="24"/>
              </w:rPr>
              <w:t>3,032,920.00</w:t>
            </w:r>
          </w:p>
        </w:tc>
        <w:tc>
          <w:tcPr>
            <w:vAlign w:val="center"/>
          </w:tcPr>
          <w:p>
            <w:pPr>
              <w:jc w:val="right"/>
            </w:pPr>
            <w:r>
              <w:rPr>
                <w:sz w:val="24"/>
              </w:rPr>
              <w:t>0.90</w:t>
            </w:r>
          </w:p>
        </w:tc>
      </w:tr>
      <w:tr>
        <w:tc>
          <w:tcPr>
            <w:vAlign w:val="center"/>
          </w:tcPr>
          <w:p>
            <w:pPr>
              <w:jc w:val="center"/>
            </w:pPr>
            <w:r>
              <w:rPr>
                <w:sz w:val="24"/>
              </w:rPr>
              <w:t>11</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2,734,025.30</w:t>
            </w:r>
          </w:p>
        </w:tc>
        <w:tc>
          <w:tcPr>
            <w:vAlign w:val="center"/>
          </w:tcPr>
          <w:p>
            <w:pPr>
              <w:jc w:val="right"/>
            </w:pPr>
            <w:r>
              <w:rPr>
                <w:sz w:val="24"/>
              </w:rPr>
              <w:t>0.82</w:t>
            </w:r>
          </w:p>
        </w:tc>
      </w:tr>
      <w:tr>
        <w:tc>
          <w:tcPr>
            <w:vAlign w:val="center"/>
          </w:tcPr>
          <w:p>
            <w:pPr>
              <w:jc w:val="center"/>
            </w:pPr>
            <w:r>
              <w:rPr>
                <w:sz w:val="24"/>
              </w:rPr>
              <w:t>12</w:t>
            </w:r>
          </w:p>
        </w:tc>
        <w:tc>
          <w:tcPr>
            <w:vAlign w:val="center"/>
          </w:tcPr>
          <w:p>
            <w:pPr>
              <w:jc w:val="center"/>
            </w:pPr>
            <w:r>
              <w:rPr>
                <w:sz w:val="24"/>
              </w:rPr>
              <w:t>002555</w:t>
            </w:r>
          </w:p>
        </w:tc>
        <w:tc>
          <w:tcPr>
            <w:vAlign w:val="center"/>
          </w:tcPr>
          <w:p>
            <w:pPr>
              <w:jc w:val="center"/>
            </w:pPr>
            <w:r>
              <w:rPr>
                <w:sz w:val="24"/>
              </w:rPr>
              <w:t>三七互娱</w:t>
            </w:r>
          </w:p>
        </w:tc>
        <w:tc>
          <w:tcPr>
            <w:vAlign w:val="center"/>
          </w:tcPr>
          <w:p>
            <w:pPr>
              <w:jc w:val="right"/>
            </w:pPr>
            <w:r>
              <w:rPr>
                <w:sz w:val="24"/>
              </w:rPr>
              <w:t>1,003,842.00</w:t>
            </w:r>
          </w:p>
        </w:tc>
        <w:tc>
          <w:tcPr>
            <w:vAlign w:val="center"/>
          </w:tcPr>
          <w:p>
            <w:pPr>
              <w:jc w:val="right"/>
            </w:pPr>
            <w:r>
              <w:rPr>
                <w:sz w:val="24"/>
              </w:rPr>
              <w:t>0.30</w:t>
            </w:r>
          </w:p>
        </w:tc>
      </w:tr>
      <w:tr>
        <w:tc>
          <w:tcPr>
            <w:vAlign w:val="center"/>
          </w:tcPr>
          <w:p>
            <w:pPr>
              <w:jc w:val="center"/>
            </w:pPr>
            <w:r>
              <w:rPr>
                <w:sz w:val="24"/>
              </w:rPr>
              <w:t>13</w:t>
            </w:r>
          </w:p>
        </w:tc>
        <w:tc>
          <w:tcPr>
            <w:vAlign w:val="center"/>
          </w:tcPr>
          <w:p>
            <w:pPr>
              <w:jc w:val="center"/>
            </w:pPr>
            <w:r>
              <w:rPr>
                <w:sz w:val="24"/>
              </w:rPr>
              <w:t>600989</w:t>
            </w:r>
          </w:p>
        </w:tc>
        <w:tc>
          <w:tcPr>
            <w:vAlign w:val="center"/>
          </w:tcPr>
          <w:p>
            <w:pPr>
              <w:jc w:val="center"/>
            </w:pPr>
            <w:r>
              <w:rPr>
                <w:sz w:val="24"/>
              </w:rPr>
              <w:t>宝丰能源</w:t>
            </w:r>
          </w:p>
        </w:tc>
        <w:tc>
          <w:tcPr>
            <w:vAlign w:val="center"/>
          </w:tcPr>
          <w:p>
            <w:pPr>
              <w:jc w:val="right"/>
            </w:pPr>
            <w:r>
              <w:rPr>
                <w:sz w:val="24"/>
              </w:rPr>
              <w:t>270,838.72</w:t>
            </w:r>
          </w:p>
        </w:tc>
        <w:tc>
          <w:tcPr>
            <w:vAlign w:val="center"/>
          </w:tcPr>
          <w:p>
            <w:pPr>
              <w:jc w:val="right"/>
            </w:pPr>
            <w:r>
              <w:rPr>
                <w:sz w:val="24"/>
              </w:rPr>
              <w:t>0.08</w:t>
            </w:r>
          </w:p>
        </w:tc>
      </w:tr>
      <w:tr>
        <w:tc>
          <w:tcPr>
            <w:vAlign w:val="center"/>
          </w:tcPr>
          <w:p>
            <w:pPr>
              <w:jc w:val="center"/>
            </w:pPr>
            <w:r>
              <w:rPr>
                <w:sz w:val="24"/>
              </w:rPr>
              <w:t>14</w:t>
            </w:r>
          </w:p>
        </w:tc>
        <w:tc>
          <w:tcPr>
            <w:vAlign w:val="center"/>
          </w:tcPr>
          <w:p>
            <w:pPr>
              <w:jc w:val="center"/>
            </w:pPr>
            <w:r>
              <w:rPr>
                <w:sz w:val="24"/>
              </w:rPr>
              <w:t>600968</w:t>
            </w:r>
          </w:p>
        </w:tc>
        <w:tc>
          <w:tcPr>
            <w:vAlign w:val="center"/>
          </w:tcPr>
          <w:p>
            <w:pPr>
              <w:jc w:val="center"/>
            </w:pPr>
            <w:r>
              <w:rPr>
                <w:sz w:val="24"/>
              </w:rPr>
              <w:t>海油发展</w:t>
            </w:r>
          </w:p>
        </w:tc>
        <w:tc>
          <w:tcPr>
            <w:vAlign w:val="center"/>
          </w:tcPr>
          <w:p>
            <w:pPr>
              <w:jc w:val="right"/>
            </w:pPr>
            <w:r>
              <w:rPr>
                <w:sz w:val="24"/>
              </w:rPr>
              <w:t>121,451.40</w:t>
            </w:r>
          </w:p>
        </w:tc>
        <w:tc>
          <w:tcPr>
            <w:vAlign w:val="center"/>
          </w:tcPr>
          <w:p>
            <w:pPr>
              <w:jc w:val="right"/>
            </w:pPr>
            <w:r>
              <w:rPr>
                <w:sz w:val="24"/>
              </w:rPr>
              <w:t>0.04</w:t>
            </w:r>
          </w:p>
        </w:tc>
      </w:tr>
      <w:tr>
        <w:tc>
          <w:tcPr>
            <w:vAlign w:val="center"/>
          </w:tcPr>
          <w:p>
            <w:pPr>
              <w:jc w:val="center"/>
            </w:pPr>
            <w:r>
              <w:rPr>
                <w:sz w:val="24"/>
              </w:rPr>
              <w:t>15</w:t>
            </w:r>
          </w:p>
        </w:tc>
        <w:tc>
          <w:tcPr>
            <w:vAlign w:val="center"/>
          </w:tcPr>
          <w:p>
            <w:pPr>
              <w:jc w:val="center"/>
            </w:pPr>
            <w:r>
              <w:rPr>
                <w:sz w:val="24"/>
              </w:rPr>
              <w:t>601298</w:t>
            </w:r>
          </w:p>
        </w:tc>
        <w:tc>
          <w:tcPr>
            <w:vAlign w:val="center"/>
          </w:tcPr>
          <w:p>
            <w:pPr>
              <w:jc w:val="center"/>
            </w:pPr>
            <w:r>
              <w:rPr>
                <w:sz w:val="24"/>
              </w:rPr>
              <w:t>青岛港</w:t>
            </w:r>
          </w:p>
        </w:tc>
        <w:tc>
          <w:tcPr>
            <w:vAlign w:val="center"/>
          </w:tcPr>
          <w:p>
            <w:pPr>
              <w:jc w:val="right"/>
            </w:pPr>
            <w:r>
              <w:rPr>
                <w:sz w:val="24"/>
              </w:rPr>
              <w:t>109,487.50</w:t>
            </w:r>
          </w:p>
        </w:tc>
        <w:tc>
          <w:tcPr>
            <w:vAlign w:val="center"/>
          </w:tcPr>
          <w:p>
            <w:pPr>
              <w:jc w:val="right"/>
            </w:pPr>
            <w:r>
              <w:rPr>
                <w:sz w:val="24"/>
              </w:rPr>
              <w:t>0.03</w:t>
            </w:r>
          </w:p>
        </w:tc>
      </w:tr>
      <w:tr>
        <w:tc>
          <w:tcPr>
            <w:vAlign w:val="center"/>
          </w:tcPr>
          <w:p>
            <w:pPr>
              <w:jc w:val="center"/>
            </w:pPr>
            <w:r>
              <w:rPr>
                <w:sz w:val="24"/>
              </w:rPr>
              <w:t>16</w:t>
            </w:r>
          </w:p>
        </w:tc>
        <w:tc>
          <w:tcPr>
            <w:vAlign w:val="center"/>
          </w:tcPr>
          <w:p>
            <w:pPr>
              <w:jc w:val="center"/>
            </w:pPr>
            <w:r>
              <w:rPr>
                <w:sz w:val="24"/>
              </w:rPr>
              <w:t>600928</w:t>
            </w:r>
          </w:p>
        </w:tc>
        <w:tc>
          <w:tcPr>
            <w:vAlign w:val="center"/>
          </w:tcPr>
          <w:p>
            <w:pPr>
              <w:jc w:val="center"/>
            </w:pPr>
            <w:r>
              <w:rPr>
                <w:sz w:val="24"/>
              </w:rPr>
              <w:t>西安银行</w:t>
            </w:r>
          </w:p>
        </w:tc>
        <w:tc>
          <w:tcPr>
            <w:vAlign w:val="center"/>
          </w:tcPr>
          <w:p>
            <w:pPr>
              <w:jc w:val="right"/>
            </w:pPr>
            <w:r>
              <w:rPr>
                <w:sz w:val="24"/>
              </w:rPr>
              <w:t>90,684.36</w:t>
            </w:r>
          </w:p>
        </w:tc>
        <w:tc>
          <w:tcPr>
            <w:vAlign w:val="center"/>
          </w:tcPr>
          <w:p>
            <w:pPr>
              <w:jc w:val="right"/>
            </w:pPr>
            <w:r>
              <w:rPr>
                <w:sz w:val="24"/>
              </w:rPr>
              <w:t>0.03</w:t>
            </w:r>
          </w:p>
        </w:tc>
      </w:tr>
      <w:tr>
        <w:tc>
          <w:tcPr>
            <w:vAlign w:val="center"/>
          </w:tcPr>
          <w:p>
            <w:pPr>
              <w:jc w:val="center"/>
            </w:pPr>
            <w:r>
              <w:rPr>
                <w:sz w:val="24"/>
              </w:rPr>
              <w:t>17</w:t>
            </w:r>
          </w:p>
        </w:tc>
        <w:tc>
          <w:tcPr>
            <w:vAlign w:val="center"/>
          </w:tcPr>
          <w:p>
            <w:pPr>
              <w:jc w:val="center"/>
            </w:pPr>
            <w:r>
              <w:rPr>
                <w:sz w:val="24"/>
              </w:rPr>
              <w:t>002958</w:t>
            </w:r>
          </w:p>
        </w:tc>
        <w:tc>
          <w:tcPr>
            <w:vAlign w:val="center"/>
          </w:tcPr>
          <w:p>
            <w:pPr>
              <w:jc w:val="center"/>
            </w:pPr>
            <w:r>
              <w:rPr>
                <w:sz w:val="24"/>
              </w:rPr>
              <w:t>青农商行</w:t>
            </w:r>
          </w:p>
        </w:tc>
        <w:tc>
          <w:tcPr>
            <w:vAlign w:val="center"/>
          </w:tcPr>
          <w:p>
            <w:pPr>
              <w:jc w:val="right"/>
            </w:pPr>
            <w:r>
              <w:rPr>
                <w:sz w:val="24"/>
              </w:rPr>
              <w:t>70,092.00</w:t>
            </w:r>
          </w:p>
        </w:tc>
        <w:tc>
          <w:tcPr>
            <w:vAlign w:val="center"/>
          </w:tcPr>
          <w:p>
            <w:pPr>
              <w:jc w:val="right"/>
            </w:pPr>
            <w:r>
              <w:rPr>
                <w:sz w:val="24"/>
              </w:rPr>
              <w:t>0.02</w:t>
            </w:r>
          </w:p>
        </w:tc>
      </w:tr>
      <w:tr>
        <w:tc>
          <w:tcPr>
            <w:vAlign w:val="center"/>
          </w:tcPr>
          <w:p>
            <w:pPr>
              <w:jc w:val="center"/>
            </w:pPr>
            <w:r>
              <w:rPr>
                <w:sz w:val="24"/>
              </w:rPr>
              <w:t>18</w:t>
            </w:r>
          </w:p>
        </w:tc>
        <w:tc>
          <w:tcPr>
            <w:vAlign w:val="center"/>
          </w:tcPr>
          <w:p>
            <w:pPr>
              <w:jc w:val="center"/>
            </w:pPr>
            <w:r>
              <w:rPr>
                <w:sz w:val="24"/>
              </w:rPr>
              <w:t>603379</w:t>
            </w:r>
          </w:p>
        </w:tc>
        <w:tc>
          <w:tcPr>
            <w:vAlign w:val="center"/>
          </w:tcPr>
          <w:p>
            <w:pPr>
              <w:jc w:val="center"/>
            </w:pPr>
            <w:r>
              <w:rPr>
                <w:sz w:val="24"/>
              </w:rPr>
              <w:t>三美股份</w:t>
            </w:r>
          </w:p>
        </w:tc>
        <w:tc>
          <w:tcPr>
            <w:vAlign w:val="center"/>
          </w:tcPr>
          <w:p>
            <w:pPr>
              <w:jc w:val="right"/>
            </w:pPr>
            <w:r>
              <w:rPr>
                <w:sz w:val="24"/>
              </w:rPr>
              <w:t>66,546.36</w:t>
            </w:r>
          </w:p>
        </w:tc>
        <w:tc>
          <w:tcPr>
            <w:vAlign w:val="center"/>
          </w:tcPr>
          <w:p>
            <w:pPr>
              <w:jc w:val="right"/>
            </w:pPr>
            <w:r>
              <w:rPr>
                <w:sz w:val="24"/>
              </w:rPr>
              <w:t>0.02</w:t>
            </w:r>
          </w:p>
        </w:tc>
      </w:tr>
      <w:tr>
        <w:tc>
          <w:tcPr>
            <w:vAlign w:val="center"/>
          </w:tcPr>
          <w:p>
            <w:pPr>
              <w:jc w:val="center"/>
            </w:pPr>
            <w:r>
              <w:rPr>
                <w:sz w:val="24"/>
              </w:rPr>
              <w:t>19</w:t>
            </w:r>
          </w:p>
        </w:tc>
        <w:tc>
          <w:tcPr>
            <w:vAlign w:val="center"/>
          </w:tcPr>
          <w:p>
            <w:pPr>
              <w:jc w:val="center"/>
            </w:pPr>
            <w:r>
              <w:rPr>
                <w:sz w:val="24"/>
              </w:rPr>
              <w:t>002955</w:t>
            </w:r>
          </w:p>
        </w:tc>
        <w:tc>
          <w:tcPr>
            <w:vAlign w:val="center"/>
          </w:tcPr>
          <w:p>
            <w:pPr>
              <w:jc w:val="center"/>
            </w:pPr>
            <w:r>
              <w:rPr>
                <w:sz w:val="24"/>
              </w:rPr>
              <w:t>鸿合科技</w:t>
            </w:r>
          </w:p>
        </w:tc>
        <w:tc>
          <w:tcPr>
            <w:vAlign w:val="center"/>
          </w:tcPr>
          <w:p>
            <w:pPr>
              <w:jc w:val="right"/>
            </w:pPr>
            <w:r>
              <w:rPr>
                <w:sz w:val="24"/>
              </w:rPr>
              <w:t>58,070.28</w:t>
            </w:r>
          </w:p>
        </w:tc>
        <w:tc>
          <w:tcPr>
            <w:vAlign w:val="center"/>
          </w:tcPr>
          <w:p>
            <w:pPr>
              <w:jc w:val="right"/>
            </w:pPr>
            <w:r>
              <w:rPr>
                <w:sz w:val="24"/>
              </w:rPr>
              <w:t>0.02</w:t>
            </w:r>
          </w:p>
        </w:tc>
      </w:tr>
      <w:tr>
        <w:tc>
          <w:tcPr>
            <w:vAlign w:val="center"/>
          </w:tcPr>
          <w:p>
            <w:pPr>
              <w:jc w:val="center"/>
            </w:pPr>
            <w:r>
              <w:rPr>
                <w:sz w:val="24"/>
              </w:rPr>
              <w:t>20</w:t>
            </w:r>
          </w:p>
        </w:tc>
        <w:tc>
          <w:tcPr>
            <w:vAlign w:val="center"/>
          </w:tcPr>
          <w:p>
            <w:pPr>
              <w:jc w:val="center"/>
            </w:pPr>
            <w:r>
              <w:rPr>
                <w:sz w:val="24"/>
              </w:rPr>
              <w:t>300770</w:t>
            </w:r>
          </w:p>
        </w:tc>
        <w:tc>
          <w:tcPr>
            <w:vAlign w:val="center"/>
          </w:tcPr>
          <w:p>
            <w:pPr>
              <w:jc w:val="center"/>
            </w:pPr>
            <w:r>
              <w:rPr>
                <w:sz w:val="24"/>
              </w:rPr>
              <w:t>新媒股份</w:t>
            </w:r>
          </w:p>
        </w:tc>
        <w:tc>
          <w:tcPr>
            <w:vAlign w:val="center"/>
          </w:tcPr>
          <w:p>
            <w:pPr>
              <w:jc w:val="right"/>
            </w:pPr>
            <w:r>
              <w:rPr>
                <w:sz w:val="24"/>
              </w:rPr>
              <w:t>45,972.07</w:t>
            </w:r>
          </w:p>
        </w:tc>
        <w:tc>
          <w:tcPr>
            <w:vAlign w:val="center"/>
          </w:tcPr>
          <w:p>
            <w:pPr>
              <w:jc w:val="right"/>
            </w:pPr>
            <w:r>
              <w:rPr>
                <w:sz w:val="24"/>
              </w:rPr>
              <w:t>0.01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8,118,513.00</w:t>
            </w:r>
          </w:p>
        </w:tc>
        <w:tc>
          <w:tcPr>
            <w:vAlign w:val="center"/>
          </w:tcPr>
          <w:p>
            <w:pPr>
              <w:jc w:val="right"/>
            </w:pPr>
            <w:r>
              <w:rPr>
                <w:rFonts w:ascii="Times New Roman" w:hAnsi="Times New Roman"/>
                <w:kern w:val="2"/>
              </w:rPr>
              <w:t>2.42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5,876,094.00</w:t>
            </w:r>
          </w:p>
        </w:tc>
        <w:tc>
          <w:tcPr>
            <w:vAlign w:val="center"/>
          </w:tcPr>
          <w:p>
            <w:pPr>
              <w:jc w:val="right"/>
            </w:pPr>
            <w:r>
              <w:rPr>
                <w:rFonts w:ascii="Times New Roman" w:hAnsi="Times New Roman"/>
                <w:kern w:val="2"/>
              </w:rPr>
              <w:t>1.75</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4,473,302.00</w:t>
            </w:r>
          </w:p>
        </w:tc>
        <w:tc>
          <w:tcPr>
            <w:vAlign w:val="center"/>
          </w:tcPr>
          <w:p>
            <w:pPr>
              <w:jc w:val="right"/>
            </w:pPr>
            <w:r>
              <w:rPr>
                <w:rFonts w:ascii="Times New Roman" w:hAnsi="Times New Roman"/>
                <w:kern w:val="2"/>
              </w:rPr>
              <w:t>1.33</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601939</w:t>
            </w:r>
          </w:p>
        </w:tc>
        <w:tc>
          <w:tcPr>
            <w:vAlign w:val="center"/>
          </w:tcPr>
          <w:p>
            <w:pPr>
              <w:jc w:val="center"/>
            </w:pPr>
            <w:r>
              <w:rPr>
                <w:rFonts w:ascii="Times New Roman" w:hAnsi="Times New Roman"/>
                <w:kern w:val="2"/>
              </w:rPr>
              <w:t>建设银行</w:t>
            </w:r>
          </w:p>
        </w:tc>
        <w:tc>
          <w:tcPr>
            <w:vAlign w:val="center"/>
          </w:tcPr>
          <w:p>
            <w:pPr>
              <w:jc w:val="right"/>
            </w:pPr>
            <w:r>
              <w:rPr>
                <w:rFonts w:ascii="Times New Roman" w:hAnsi="Times New Roman"/>
                <w:kern w:val="2"/>
              </w:rPr>
              <w:t>3,742,050.00</w:t>
            </w:r>
          </w:p>
        </w:tc>
        <w:tc>
          <w:tcPr>
            <w:vAlign w:val="center"/>
          </w:tcPr>
          <w:p>
            <w:pPr>
              <w:jc w:val="right"/>
            </w:pPr>
            <w:r>
              <w:rPr>
                <w:rFonts w:ascii="Times New Roman" w:hAnsi="Times New Roman"/>
                <w:kern w:val="2"/>
              </w:rPr>
              <w:t>1.12</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601088</w:t>
            </w:r>
          </w:p>
        </w:tc>
        <w:tc>
          <w:tcPr>
            <w:vAlign w:val="center"/>
          </w:tcPr>
          <w:p>
            <w:pPr>
              <w:jc w:val="center"/>
            </w:pPr>
            <w:r>
              <w:rPr>
                <w:rFonts w:ascii="Times New Roman" w:hAnsi="Times New Roman"/>
                <w:kern w:val="2"/>
              </w:rPr>
              <w:t>中国神华</w:t>
            </w:r>
          </w:p>
        </w:tc>
        <w:tc>
          <w:tcPr>
            <w:vAlign w:val="center"/>
          </w:tcPr>
          <w:p>
            <w:pPr>
              <w:jc w:val="right"/>
            </w:pPr>
            <w:r>
              <w:rPr>
                <w:rFonts w:ascii="Times New Roman" w:hAnsi="Times New Roman"/>
                <w:kern w:val="2"/>
              </w:rPr>
              <w:t>3,532,508.46</w:t>
            </w:r>
          </w:p>
        </w:tc>
        <w:tc>
          <w:tcPr>
            <w:vAlign w:val="center"/>
          </w:tcPr>
          <w:p>
            <w:pPr>
              <w:jc w:val="right"/>
            </w:pPr>
            <w:r>
              <w:rPr>
                <w:rFonts w:ascii="Times New Roman" w:hAnsi="Times New Roman"/>
                <w:kern w:val="2"/>
              </w:rPr>
              <w:t>1.05</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3,342,619.03</w:t>
            </w:r>
          </w:p>
        </w:tc>
        <w:tc>
          <w:tcPr>
            <w:vAlign w:val="center"/>
          </w:tcPr>
          <w:p>
            <w:pPr>
              <w:jc w:val="right"/>
            </w:pPr>
            <w:r>
              <w:rPr>
                <w:rFonts w:ascii="Times New Roman" w:hAnsi="Times New Roman"/>
                <w:kern w:val="2"/>
              </w:rPr>
              <w:t>1.00</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601668</w:t>
            </w:r>
          </w:p>
        </w:tc>
        <w:tc>
          <w:tcPr>
            <w:vAlign w:val="center"/>
          </w:tcPr>
          <w:p>
            <w:pPr>
              <w:jc w:val="center"/>
            </w:pPr>
            <w:r>
              <w:rPr>
                <w:rFonts w:ascii="Times New Roman" w:hAnsi="Times New Roman"/>
                <w:kern w:val="2"/>
              </w:rPr>
              <w:t>中国建筑</w:t>
            </w:r>
          </w:p>
        </w:tc>
        <w:tc>
          <w:tcPr>
            <w:vAlign w:val="center"/>
          </w:tcPr>
          <w:p>
            <w:pPr>
              <w:jc w:val="right"/>
            </w:pPr>
            <w:r>
              <w:rPr>
                <w:rFonts w:ascii="Times New Roman" w:hAnsi="Times New Roman"/>
                <w:kern w:val="2"/>
              </w:rPr>
              <w:t>2,777,905.30</w:t>
            </w:r>
          </w:p>
        </w:tc>
        <w:tc>
          <w:tcPr>
            <w:vAlign w:val="center"/>
          </w:tcPr>
          <w:p>
            <w:pPr>
              <w:jc w:val="right"/>
            </w:pPr>
            <w:r>
              <w:rPr>
                <w:rFonts w:ascii="Times New Roman" w:hAnsi="Times New Roman"/>
                <w:kern w:val="2"/>
              </w:rPr>
              <w:t>0.83</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2,727,991.00</w:t>
            </w:r>
          </w:p>
        </w:tc>
        <w:tc>
          <w:tcPr>
            <w:vAlign w:val="center"/>
          </w:tcPr>
          <w:p>
            <w:pPr>
              <w:jc w:val="right"/>
            </w:pPr>
            <w:r>
              <w:rPr>
                <w:rFonts w:ascii="Times New Roman" w:hAnsi="Times New Roman"/>
                <w:kern w:val="2"/>
              </w:rPr>
              <w:t>0.81</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2,650,875.00</w:t>
            </w:r>
          </w:p>
        </w:tc>
        <w:tc>
          <w:tcPr>
            <w:vAlign w:val="center"/>
          </w:tcPr>
          <w:p>
            <w:pPr>
              <w:jc w:val="right"/>
            </w:pPr>
            <w:r>
              <w:rPr>
                <w:rFonts w:ascii="Times New Roman" w:hAnsi="Times New Roman"/>
                <w:kern w:val="2"/>
              </w:rPr>
              <w:t>0.79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601186</w:t>
            </w:r>
          </w:p>
        </w:tc>
        <w:tc>
          <w:tcPr>
            <w:vAlign w:val="center"/>
          </w:tcPr>
          <w:p>
            <w:pPr>
              <w:jc w:val="center"/>
            </w:pPr>
            <w:r>
              <w:rPr>
                <w:rFonts w:ascii="Times New Roman" w:hAnsi="Times New Roman"/>
                <w:kern w:val="2"/>
              </w:rPr>
              <w:t>中国铁建</w:t>
            </w:r>
          </w:p>
        </w:tc>
        <w:tc>
          <w:tcPr>
            <w:vAlign w:val="center"/>
          </w:tcPr>
          <w:p>
            <w:pPr>
              <w:jc w:val="right"/>
            </w:pPr>
            <w:r>
              <w:rPr>
                <w:rFonts w:ascii="Times New Roman" w:hAnsi="Times New Roman"/>
                <w:kern w:val="2"/>
              </w:rPr>
              <w:t>2,259,503.00</w:t>
            </w:r>
          </w:p>
        </w:tc>
        <w:tc>
          <w:tcPr>
            <w:vAlign w:val="center"/>
          </w:tcPr>
          <w:p>
            <w:pPr>
              <w:jc w:val="right"/>
            </w:pPr>
            <w:r>
              <w:rPr>
                <w:rFonts w:ascii="Times New Roman" w:hAnsi="Times New Roman"/>
                <w:kern w:val="2"/>
              </w:rPr>
              <w:t>0.67</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2,010,600.00</w:t>
            </w:r>
          </w:p>
        </w:tc>
        <w:tc>
          <w:tcPr>
            <w:vAlign w:val="center"/>
          </w:tcPr>
          <w:p>
            <w:pPr>
              <w:jc w:val="right"/>
            </w:pPr>
            <w:r>
              <w:rPr>
                <w:rFonts w:ascii="Times New Roman" w:hAnsi="Times New Roman"/>
                <w:kern w:val="2"/>
              </w:rPr>
              <w:t>0.60</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600436</w:t>
            </w:r>
          </w:p>
        </w:tc>
        <w:tc>
          <w:tcPr>
            <w:vAlign w:val="center"/>
          </w:tcPr>
          <w:p>
            <w:pPr>
              <w:jc w:val="center"/>
            </w:pPr>
            <w:r>
              <w:rPr>
                <w:rFonts w:ascii="Times New Roman" w:hAnsi="Times New Roman"/>
                <w:kern w:val="2"/>
              </w:rPr>
              <w:t>片仔癀</w:t>
            </w:r>
          </w:p>
        </w:tc>
        <w:tc>
          <w:tcPr>
            <w:vAlign w:val="center"/>
          </w:tcPr>
          <w:p>
            <w:pPr>
              <w:jc w:val="right"/>
            </w:pPr>
            <w:r>
              <w:rPr>
                <w:rFonts w:ascii="Times New Roman" w:hAnsi="Times New Roman"/>
                <w:kern w:val="2"/>
              </w:rPr>
              <w:t>1,630,581.00</w:t>
            </w:r>
          </w:p>
        </w:tc>
        <w:tc>
          <w:tcPr>
            <w:vAlign w:val="center"/>
          </w:tcPr>
          <w:p>
            <w:pPr>
              <w:jc w:val="right"/>
            </w:pPr>
            <w:r>
              <w:rPr>
                <w:rFonts w:ascii="Times New Roman" w:hAnsi="Times New Roman"/>
                <w:kern w:val="2"/>
              </w:rPr>
              <w:t>0.49</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1,589,295.00</w:t>
            </w:r>
          </w:p>
        </w:tc>
        <w:tc>
          <w:tcPr>
            <w:vAlign w:val="center"/>
          </w:tcPr>
          <w:p>
            <w:pPr>
              <w:jc w:val="right"/>
            </w:pPr>
            <w:r>
              <w:rPr>
                <w:rFonts w:ascii="Times New Roman" w:hAnsi="Times New Roman"/>
                <w:kern w:val="2"/>
              </w:rPr>
              <w:t>0.47</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海尔智家</w:t>
            </w:r>
          </w:p>
        </w:tc>
        <w:tc>
          <w:tcPr>
            <w:vAlign w:val="center"/>
          </w:tcPr>
          <w:p>
            <w:pPr>
              <w:jc w:val="right"/>
            </w:pPr>
            <w:r>
              <w:rPr>
                <w:rFonts w:ascii="Times New Roman" w:hAnsi="Times New Roman"/>
                <w:kern w:val="2"/>
              </w:rPr>
              <w:t>1,205,538.00</w:t>
            </w:r>
          </w:p>
        </w:tc>
        <w:tc>
          <w:tcPr>
            <w:vAlign w:val="center"/>
          </w:tcPr>
          <w:p>
            <w:pPr>
              <w:jc w:val="right"/>
            </w:pPr>
            <w:r>
              <w:rPr>
                <w:rFonts w:ascii="Times New Roman" w:hAnsi="Times New Roman"/>
                <w:kern w:val="2"/>
              </w:rPr>
              <w:t>0.36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1,185,125.00</w:t>
            </w:r>
          </w:p>
        </w:tc>
        <w:tc>
          <w:tcPr>
            <w:vAlign w:val="center"/>
          </w:tcPr>
          <w:p>
            <w:pPr>
              <w:jc w:val="right"/>
            </w:pPr>
            <w:r>
              <w:rPr>
                <w:rFonts w:ascii="Times New Roman" w:hAnsi="Times New Roman"/>
                <w:kern w:val="2"/>
              </w:rPr>
              <w:t>0.35</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1,117,000.00</w:t>
            </w:r>
          </w:p>
        </w:tc>
        <w:tc>
          <w:tcPr>
            <w:vAlign w:val="center"/>
          </w:tcPr>
          <w:p>
            <w:pPr>
              <w:jc w:val="right"/>
            </w:pPr>
            <w:r>
              <w:rPr>
                <w:rFonts w:ascii="Times New Roman" w:hAnsi="Times New Roman"/>
                <w:kern w:val="2"/>
              </w:rPr>
              <w:t>0.33</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600009</w:t>
            </w:r>
          </w:p>
        </w:tc>
        <w:tc>
          <w:tcPr>
            <w:vAlign w:val="center"/>
          </w:tcPr>
          <w:p>
            <w:pPr>
              <w:jc w:val="center"/>
            </w:pPr>
            <w:r>
              <w:rPr>
                <w:rFonts w:ascii="Times New Roman" w:hAnsi="Times New Roman"/>
                <w:kern w:val="2"/>
              </w:rPr>
              <w:t>上海机场</w:t>
            </w:r>
          </w:p>
        </w:tc>
        <w:tc>
          <w:tcPr>
            <w:vAlign w:val="center"/>
          </w:tcPr>
          <w:p>
            <w:pPr>
              <w:jc w:val="right"/>
            </w:pPr>
            <w:r>
              <w:rPr>
                <w:rFonts w:ascii="Times New Roman" w:hAnsi="Times New Roman"/>
                <w:kern w:val="2"/>
              </w:rPr>
              <w:t>995,718.00</w:t>
            </w:r>
          </w:p>
        </w:tc>
        <w:tc>
          <w:tcPr>
            <w:vAlign w:val="center"/>
          </w:tcPr>
          <w:p>
            <w:pPr>
              <w:jc w:val="right"/>
            </w:pPr>
            <w:r>
              <w:rPr>
                <w:rFonts w:ascii="Times New Roman" w:hAnsi="Times New Roman"/>
                <w:kern w:val="2"/>
              </w:rPr>
              <w:t>0.30</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891,732.83</w:t>
            </w:r>
          </w:p>
        </w:tc>
        <w:tc>
          <w:tcPr>
            <w:vAlign w:val="center"/>
          </w:tcPr>
          <w:p>
            <w:pPr>
              <w:jc w:val="right"/>
            </w:pPr>
            <w:r>
              <w:rPr>
                <w:rFonts w:ascii="Times New Roman" w:hAnsi="Times New Roman"/>
                <w:kern w:val="2"/>
              </w:rPr>
              <w:t>0.27</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600989</w:t>
            </w:r>
          </w:p>
        </w:tc>
        <w:tc>
          <w:tcPr>
            <w:vAlign w:val="center"/>
          </w:tcPr>
          <w:p>
            <w:pPr>
              <w:jc w:val="center"/>
            </w:pPr>
            <w:r>
              <w:rPr>
                <w:rFonts w:ascii="Times New Roman" w:hAnsi="Times New Roman"/>
                <w:kern w:val="2"/>
              </w:rPr>
              <w:t>宝丰能源</w:t>
            </w:r>
          </w:p>
        </w:tc>
        <w:tc>
          <w:tcPr>
            <w:vAlign w:val="center"/>
          </w:tcPr>
          <w:p>
            <w:pPr>
              <w:jc w:val="right"/>
            </w:pPr>
            <w:r>
              <w:rPr>
                <w:rFonts w:ascii="Times New Roman" w:hAnsi="Times New Roman"/>
                <w:kern w:val="2"/>
              </w:rPr>
              <w:t>413,652.00</w:t>
            </w:r>
          </w:p>
        </w:tc>
        <w:tc>
          <w:tcPr>
            <w:vAlign w:val="center"/>
          </w:tcPr>
          <w:p>
            <w:pPr>
              <w:jc w:val="right"/>
            </w:pPr>
            <w:r>
              <w:rPr>
                <w:rFonts w:ascii="Times New Roman" w:hAnsi="Times New Roman"/>
                <w:kern w:val="2"/>
              </w:rPr>
              <w:t>0.12</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600928</w:t>
            </w:r>
          </w:p>
        </w:tc>
        <w:tc>
          <w:tcPr>
            <w:vAlign w:val="center"/>
          </w:tcPr>
          <w:p>
            <w:pPr>
              <w:jc w:val="center"/>
            </w:pPr>
            <w:r>
              <w:rPr>
                <w:rFonts w:ascii="Times New Roman" w:hAnsi="Times New Roman"/>
                <w:kern w:val="2"/>
              </w:rPr>
              <w:t>西安银行</w:t>
            </w:r>
          </w:p>
        </w:tc>
        <w:tc>
          <w:tcPr>
            <w:vAlign w:val="center"/>
          </w:tcPr>
          <w:p>
            <w:pPr>
              <w:jc w:val="right"/>
            </w:pPr>
            <w:r>
              <w:rPr>
                <w:rFonts w:ascii="Times New Roman" w:hAnsi="Times New Roman"/>
                <w:kern w:val="2"/>
              </w:rPr>
              <w:t>229,466.68</w:t>
            </w:r>
          </w:p>
        </w:tc>
        <w:tc>
          <w:tcPr>
            <w:vAlign w:val="center"/>
          </w:tcPr>
          <w:p>
            <w:pPr>
              <w:jc w:val="right"/>
            </w:pPr>
            <w:r>
              <w:rPr>
                <w:rFonts w:ascii="Times New Roman" w:hAnsi="Times New Roman"/>
                <w:kern w:val="2"/>
              </w:rPr>
              <w:t>0.07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67,483,285.27</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52,558,788.94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367,368,500.00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105.35</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40,236,000.00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11.54</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40,022,000.00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11.48</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752,694.00</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0.22</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448,379,194.00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128.58</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143662</w:t>
            </w:r>
          </w:p>
        </w:tc>
        <w:tc>
          <w:tcPr>
            <w:vAlign w:val="center"/>
          </w:tcPr>
          <w:p>
            <w:pPr>
              <w:jc w:val="center"/>
            </w:pPr>
            <w:r>
              <w:rPr>
                <w:color w:val="000000"/>
                <w:sz w:val="24"/>
              </w:rPr>
              <w:t>18国电02</w:t>
            </w:r>
          </w:p>
        </w:tc>
        <w:tc>
          <w:tcPr>
            <w:vAlign w:val="center"/>
          </w:tcPr>
          <w:p>
            <w:pPr>
              <w:jc w:val="right"/>
            </w:pPr>
            <w:r>
              <w:rPr>
                <w:color w:val="000000"/>
                <w:sz w:val="24"/>
              </w:rPr>
              <w:t>300,000</w:t>
            </w:r>
          </w:p>
        </w:tc>
        <w:tc>
          <w:tcPr>
            <w:vAlign w:val="center"/>
          </w:tcPr>
          <w:p>
            <w:pPr>
              <w:jc w:val="right"/>
            </w:pPr>
            <w:r>
              <w:rPr>
                <w:color w:val="000000"/>
                <w:sz w:val="24"/>
              </w:rPr>
              <w:t>30,693,000.00</w:t>
            </w:r>
          </w:p>
        </w:tc>
        <w:tc>
          <w:tcPr>
            <w:vAlign w:val="center"/>
          </w:tcPr>
          <w:p>
            <w:pPr>
              <w:jc w:val="right"/>
            </w:pPr>
            <w:r>
              <w:rPr>
                <w:color w:val="000000"/>
                <w:sz w:val="24"/>
              </w:rPr>
              <w:t>8.80</w:t>
            </w:r>
          </w:p>
        </w:tc>
      </w:tr>
      <w:tr>
        <w:tc>
          <w:tcPr>
            <w:vAlign w:val="center"/>
          </w:tcPr>
          <w:p>
            <w:pPr>
              <w:jc w:val="center"/>
            </w:pPr>
            <w:r>
              <w:rPr>
                <w:color w:val="000000"/>
                <w:sz w:val="24"/>
              </w:rPr>
              <w:t>2</w:t>
            </w:r>
          </w:p>
        </w:tc>
        <w:tc>
          <w:tcPr>
            <w:vAlign w:val="center"/>
          </w:tcPr>
          <w:p>
            <w:pPr>
              <w:jc w:val="center"/>
            </w:pPr>
            <w:r>
              <w:rPr>
                <w:color w:val="000000"/>
                <w:sz w:val="24"/>
              </w:rPr>
              <w:t>143793</w:t>
            </w:r>
          </w:p>
        </w:tc>
        <w:tc>
          <w:tcPr>
            <w:vAlign w:val="center"/>
          </w:tcPr>
          <w:p>
            <w:pPr>
              <w:jc w:val="center"/>
            </w:pPr>
            <w:r>
              <w:rPr>
                <w:color w:val="000000"/>
                <w:sz w:val="24"/>
              </w:rPr>
              <w:t>18深航06</w:t>
            </w:r>
          </w:p>
        </w:tc>
        <w:tc>
          <w:tcPr>
            <w:vAlign w:val="center"/>
          </w:tcPr>
          <w:p>
            <w:pPr>
              <w:jc w:val="right"/>
            </w:pPr>
            <w:r>
              <w:rPr>
                <w:color w:val="000000"/>
                <w:sz w:val="24"/>
              </w:rPr>
              <w:t>300,000</w:t>
            </w:r>
          </w:p>
        </w:tc>
        <w:tc>
          <w:tcPr>
            <w:vAlign w:val="center"/>
          </w:tcPr>
          <w:p>
            <w:pPr>
              <w:jc w:val="right"/>
            </w:pPr>
            <w:r>
              <w:rPr>
                <w:color w:val="000000"/>
                <w:sz w:val="24"/>
              </w:rPr>
              <w:t>30,522,000.00</w:t>
            </w:r>
          </w:p>
        </w:tc>
        <w:tc>
          <w:tcPr>
            <w:vAlign w:val="center"/>
          </w:tcPr>
          <w:p>
            <w:pPr>
              <w:jc w:val="right"/>
            </w:pPr>
            <w:r>
              <w:rPr>
                <w:color w:val="000000"/>
                <w:sz w:val="24"/>
              </w:rPr>
              <w:t>8.75</w:t>
            </w:r>
          </w:p>
        </w:tc>
      </w:tr>
      <w:tr>
        <w:tc>
          <w:tcPr>
            <w:vAlign w:val="center"/>
          </w:tcPr>
          <w:p>
            <w:pPr>
              <w:jc w:val="center"/>
            </w:pPr>
            <w:r>
              <w:rPr>
                <w:color w:val="000000"/>
                <w:sz w:val="24"/>
              </w:rPr>
              <w:t>3</w:t>
            </w:r>
          </w:p>
        </w:tc>
        <w:tc>
          <w:tcPr>
            <w:vAlign w:val="center"/>
          </w:tcPr>
          <w:p>
            <w:pPr>
              <w:jc w:val="center"/>
            </w:pPr>
            <w:r>
              <w:rPr>
                <w:color w:val="000000"/>
                <w:sz w:val="24"/>
              </w:rPr>
              <w:t>155025</w:t>
            </w:r>
          </w:p>
        </w:tc>
        <w:tc>
          <w:tcPr>
            <w:vAlign w:val="center"/>
          </w:tcPr>
          <w:p>
            <w:pPr>
              <w:jc w:val="center"/>
            </w:pPr>
            <w:r>
              <w:rPr>
                <w:color w:val="000000"/>
                <w:sz w:val="24"/>
              </w:rPr>
              <w:t>18光大01</w:t>
            </w:r>
          </w:p>
        </w:tc>
        <w:tc>
          <w:tcPr>
            <w:vAlign w:val="center"/>
          </w:tcPr>
          <w:p>
            <w:pPr>
              <w:jc w:val="right"/>
            </w:pPr>
            <w:r>
              <w:rPr>
                <w:color w:val="000000"/>
                <w:sz w:val="24"/>
              </w:rPr>
              <w:t>300,000</w:t>
            </w:r>
          </w:p>
        </w:tc>
        <w:tc>
          <w:tcPr>
            <w:vAlign w:val="center"/>
          </w:tcPr>
          <w:p>
            <w:pPr>
              <w:jc w:val="right"/>
            </w:pPr>
            <w:r>
              <w:rPr>
                <w:color w:val="000000"/>
                <w:sz w:val="24"/>
              </w:rPr>
              <w:t>30,309,000.00</w:t>
            </w:r>
          </w:p>
        </w:tc>
        <w:tc>
          <w:tcPr>
            <w:vAlign w:val="center"/>
          </w:tcPr>
          <w:p>
            <w:pPr>
              <w:jc w:val="right"/>
            </w:pPr>
            <w:r>
              <w:rPr>
                <w:color w:val="000000"/>
                <w:sz w:val="24"/>
              </w:rPr>
              <w:t>8.69</w:t>
            </w:r>
          </w:p>
        </w:tc>
      </w:tr>
      <w:tr>
        <w:tc>
          <w:tcPr>
            <w:vAlign w:val="center"/>
          </w:tcPr>
          <w:p>
            <w:pPr>
              <w:jc w:val="center"/>
            </w:pPr>
            <w:r>
              <w:rPr>
                <w:color w:val="000000"/>
                <w:sz w:val="24"/>
              </w:rPr>
              <w:t>4</w:t>
            </w:r>
          </w:p>
        </w:tc>
        <w:tc>
          <w:tcPr>
            <w:vAlign w:val="center"/>
          </w:tcPr>
          <w:p>
            <w:pPr>
              <w:jc w:val="center"/>
            </w:pPr>
            <w:r>
              <w:rPr>
                <w:color w:val="000000"/>
                <w:sz w:val="24"/>
              </w:rPr>
              <w:t>112802</w:t>
            </w:r>
          </w:p>
        </w:tc>
        <w:tc>
          <w:tcPr>
            <w:vAlign w:val="center"/>
          </w:tcPr>
          <w:p>
            <w:pPr>
              <w:jc w:val="center"/>
            </w:pPr>
            <w:r>
              <w:rPr>
                <w:color w:val="000000"/>
                <w:sz w:val="24"/>
              </w:rPr>
              <w:t>18电科02</w:t>
            </w:r>
          </w:p>
        </w:tc>
        <w:tc>
          <w:tcPr>
            <w:vAlign w:val="center"/>
          </w:tcPr>
          <w:p>
            <w:pPr>
              <w:jc w:val="right"/>
            </w:pPr>
            <w:r>
              <w:rPr>
                <w:color w:val="000000"/>
                <w:sz w:val="24"/>
              </w:rPr>
              <w:t>300,000</w:t>
            </w:r>
          </w:p>
        </w:tc>
        <w:tc>
          <w:tcPr>
            <w:vAlign w:val="center"/>
          </w:tcPr>
          <w:p>
            <w:pPr>
              <w:jc w:val="right"/>
            </w:pPr>
            <w:r>
              <w:rPr>
                <w:color w:val="000000"/>
                <w:sz w:val="24"/>
              </w:rPr>
              <w:t>30,204,000.00</w:t>
            </w:r>
          </w:p>
        </w:tc>
        <w:tc>
          <w:tcPr>
            <w:vAlign w:val="center"/>
          </w:tcPr>
          <w:p>
            <w:pPr>
              <w:jc w:val="right"/>
            </w:pPr>
            <w:r>
              <w:rPr>
                <w:color w:val="000000"/>
                <w:sz w:val="24"/>
              </w:rPr>
              <w:t>8.66</w:t>
            </w:r>
          </w:p>
        </w:tc>
      </w:tr>
      <w:tr>
        <w:tc>
          <w:tcPr>
            <w:vAlign w:val="center"/>
          </w:tcPr>
          <w:p>
            <w:pPr>
              <w:jc w:val="center"/>
            </w:pPr>
            <w:r>
              <w:rPr>
                <w:color w:val="000000"/>
                <w:sz w:val="24"/>
              </w:rPr>
              <w:t>5</w:t>
            </w:r>
          </w:p>
        </w:tc>
        <w:tc>
          <w:tcPr>
            <w:vAlign w:val="center"/>
          </w:tcPr>
          <w:p>
            <w:pPr>
              <w:jc w:val="center"/>
            </w:pPr>
            <w:r>
              <w:rPr>
                <w:color w:val="000000"/>
                <w:sz w:val="24"/>
              </w:rPr>
              <w:t>011802199</w:t>
            </w:r>
          </w:p>
        </w:tc>
        <w:tc>
          <w:tcPr>
            <w:vAlign w:val="center"/>
          </w:tcPr>
          <w:p>
            <w:pPr>
              <w:jc w:val="center"/>
            </w:pPr>
            <w:r>
              <w:rPr>
                <w:color w:val="000000"/>
                <w:sz w:val="24"/>
              </w:rPr>
              <w:t>18云南水电SCP003</w:t>
            </w:r>
          </w:p>
        </w:tc>
        <w:tc>
          <w:tcPr>
            <w:vAlign w:val="center"/>
          </w:tcPr>
          <w:p>
            <w:pPr>
              <w:jc w:val="right"/>
            </w:pPr>
            <w:r>
              <w:rPr>
                <w:color w:val="000000"/>
                <w:sz w:val="24"/>
              </w:rPr>
              <w:t>300,000</w:t>
            </w:r>
          </w:p>
        </w:tc>
        <w:tc>
          <w:tcPr>
            <w:vAlign w:val="center"/>
          </w:tcPr>
          <w:p>
            <w:pPr>
              <w:jc w:val="right"/>
            </w:pPr>
            <w:r>
              <w:rPr>
                <w:color w:val="000000"/>
                <w:sz w:val="24"/>
              </w:rPr>
              <w:t>30,174,000.00</w:t>
            </w:r>
          </w:p>
        </w:tc>
        <w:tc>
          <w:tcPr>
            <w:vAlign w:val="center"/>
          </w:tcPr>
          <w:p>
            <w:pPr>
              <w:jc w:val="right"/>
            </w:pPr>
            <w:r>
              <w:rPr>
                <w:color w:val="000000"/>
                <w:sz w:val="24"/>
              </w:rPr>
              <w:t>8.65</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46,487.45</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7,818,523.82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7,865,011.27</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pPr>
        <w:spacing w:before="29" w:line="288" w:lineRule="auto"/>
        <w:ind w:firstLine="480" w:firstLineChars="200"/>
        <w:rPr>
          <w:color w:val="000000"/>
          <w:sz w:val="24"/>
        </w:rPr>
      </w:pPr>
      <w:r>
        <w:rPr>
          <w:color w:val="000000"/>
          <w:sz w:val="24"/>
        </w:rPr>
        <w:t>1、本基金本报告期末未持有处于交换期的可交换债券。</w:t>
      </w:r>
    </w:p>
    <w:p w:rsidP="00AC6DDA" w:rsidR="001548F9" w:rsidRDefault="001548F9" w:rsidRPr="005C672D">
      <w:pPr>
        <w:spacing w:before="29" w:line="288" w:lineRule="auto"/>
        <w:ind w:firstLine="480" w:firstLineChars="200"/>
        <w:rPr>
          <w:color w:val="000000"/>
          <w:sz w:val="24"/>
        </w:rPr>
      </w:pPr>
      <w:r w:rsidRPr="005C672D">
        <w:rPr>
          <w:color w:val="000000"/>
          <w:sz w:val="24"/>
        </w:rPr>
        <w:t>2、由于四舍五入的原因，分项之和与合计项之间可能存在尾差。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208</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208</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1,443,306.08</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299,999,000.00</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99.93%</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208,664.50</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0.07%</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4,235.33</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2016年12月14日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300,022,842.52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300,204,259.10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17,587.25</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14,181.85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300,207,664.50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2、基金托管人的基金托管部门的重大人事变动：本基金托管人的专门基金托管部门本报告期内未发生重大人事变动。</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793,590.98</w:t>
            </w:r>
          </w:p>
        </w:tc>
        <w:tc>
          <w:tcPr>
            <w:vAlign w:val="center"/>
          </w:tcPr>
          <w:p>
            <w:pPr>
              <w:jc w:val="right"/>
            </w:pPr>
            <w:r>
              <w:rPr>
                <w:color w:val="000000"/>
                <w:sz w:val="24"/>
              </w:rPr>
              <w:t>0.67%</w:t>
            </w:r>
          </w:p>
        </w:tc>
        <w:tc>
          <w:tcPr>
            <w:vAlign w:val="center"/>
          </w:tcPr>
          <w:p>
            <w:pPr>
              <w:jc w:val="right"/>
            </w:pPr>
            <w:r>
              <w:rPr>
                <w:color w:val="000000"/>
                <w:sz w:val="24"/>
              </w:rPr>
              <w:t>739.05</w:t>
            </w:r>
          </w:p>
        </w:tc>
        <w:tc>
          <w:tcPr>
            <w:vAlign w:val="center"/>
          </w:tcPr>
          <w:p>
            <w:pPr>
              <w:jc w:val="right"/>
            </w:pPr>
            <w:r>
              <w:rPr>
                <w:color w:val="000000"/>
                <w:sz w:val="24"/>
              </w:rPr>
              <w:t>0.67%</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12,141,201.21</w:t>
            </w:r>
          </w:p>
        </w:tc>
        <w:tc>
          <w:tcPr>
            <w:vAlign w:val="center"/>
          </w:tcPr>
          <w:p>
            <w:pPr>
              <w:jc w:val="right"/>
            </w:pPr>
            <w:r>
              <w:rPr>
                <w:color w:val="000000"/>
                <w:sz w:val="24"/>
              </w:rPr>
              <w:t>10.23%</w:t>
            </w:r>
          </w:p>
        </w:tc>
        <w:tc>
          <w:tcPr>
            <w:vAlign w:val="center"/>
          </w:tcPr>
          <w:p>
            <w:pPr>
              <w:jc w:val="right"/>
            </w:pPr>
            <w:r>
              <w:rPr>
                <w:color w:val="000000"/>
                <w:sz w:val="24"/>
              </w:rPr>
              <w:t>11,307.11</w:t>
            </w:r>
          </w:p>
        </w:tc>
        <w:tc>
          <w:tcPr>
            <w:vAlign w:val="center"/>
          </w:tcPr>
          <w:p>
            <w:pPr>
              <w:jc w:val="right"/>
            </w:pPr>
            <w:r>
              <w:rPr>
                <w:color w:val="000000"/>
                <w:sz w:val="24"/>
              </w:rPr>
              <w:t>10.23%</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105,712,269.60</w:t>
            </w:r>
          </w:p>
        </w:tc>
        <w:tc>
          <w:tcPr>
            <w:vAlign w:val="center"/>
          </w:tcPr>
          <w:p>
            <w:pPr>
              <w:jc w:val="right"/>
            </w:pPr>
            <w:r>
              <w:rPr>
                <w:color w:val="000000"/>
                <w:sz w:val="24"/>
              </w:rPr>
              <w:t>89.10%</w:t>
            </w:r>
          </w:p>
        </w:tc>
        <w:tc>
          <w:tcPr>
            <w:vAlign w:val="center"/>
          </w:tcPr>
          <w:p>
            <w:pPr>
              <w:jc w:val="right"/>
            </w:pPr>
            <w:r>
              <w:rPr>
                <w:color w:val="000000"/>
                <w:sz w:val="24"/>
              </w:rPr>
              <w:t>98,449.99</w:t>
            </w:r>
          </w:p>
        </w:tc>
        <w:tc>
          <w:tcPr>
            <w:vAlign w:val="center"/>
          </w:tcPr>
          <w:p>
            <w:pPr>
              <w:jc w:val="right"/>
            </w:pPr>
            <w:r>
              <w:rPr>
                <w:color w:val="000000"/>
                <w:sz w:val="24"/>
              </w:rPr>
              <w:t>89.10%</w:t>
            </w:r>
          </w:p>
        </w:tc>
        <w:tc>
          <w:tcPr>
            <w:vAlign w:val="center"/>
          </w:tcPr>
          <w:p>
            <w:pPr>
              <w:jc w:val="left"/>
            </w:pPr>
            <w:r>
              <w:rPr>
                <w:color w:val="000000"/>
                <w:sz w:val="24"/>
              </w:rPr>
              <w:t>-</w:t>
            </w:r>
          </w:p>
        </w:tc>
      </w:tr>
      <w:tr>
        <w:tc>
          <w:tcPr>
            <w:vAlign w:val="center"/>
          </w:tcPr>
          <w:p>
            <w:pPr>
              <w:jc w:val="center"/>
            </w:pPr>
            <w:r>
              <w:rPr>
                <w:color w:val="000000"/>
                <w:sz w:val="24"/>
              </w:rPr>
              <w:t>太平洋证券股份有限公司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海通证券股份有限公司</w:t>
            </w:r>
          </w:p>
        </w:tc>
        <w:tc>
          <w:tcPr>
            <w:vAlign w:val="center"/>
          </w:tcPr>
          <w:p>
            <w:pPr>
              <w:jc w:val="right"/>
            </w:pPr>
            <w:r>
              <w:rPr>
                <w:color w:val="000000"/>
                <w:sz w:val="24"/>
              </w:rPr>
              <w:t>31,174,421.31</w:t>
            </w:r>
          </w:p>
        </w:tc>
        <w:tc>
          <w:tcPr>
            <w:vAlign w:val="center"/>
          </w:tcPr>
          <w:p>
            <w:pPr>
              <w:jc w:val="right"/>
            </w:pPr>
            <w:r>
              <w:rPr>
                <w:color w:val="000000"/>
                <w:sz w:val="24"/>
              </w:rPr>
              <w:t>15.27%</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中信证券股份有限公司</w:t>
            </w:r>
          </w:p>
        </w:tc>
        <w:tc>
          <w:tcPr>
            <w:vAlign w:val="center"/>
          </w:tcPr>
          <w:p>
            <w:pPr>
              <w:jc w:val="right"/>
            </w:pPr>
            <w:r>
              <w:rPr>
                <w:color w:val="000000"/>
                <w:sz w:val="24"/>
              </w:rPr>
              <w:t>173,038,468.49</w:t>
            </w:r>
          </w:p>
        </w:tc>
        <w:tc>
          <w:tcPr>
            <w:vAlign w:val="center"/>
          </w:tcPr>
          <w:p>
            <w:pPr>
              <w:jc w:val="right"/>
            </w:pPr>
            <w:r>
              <w:rPr>
                <w:color w:val="000000"/>
                <w:sz w:val="24"/>
              </w:rPr>
              <w:t>84.73%</w:t>
            </w:r>
          </w:p>
        </w:tc>
        <w:tc>
          <w:tcPr>
            <w:vAlign w:val="center"/>
          </w:tcPr>
          <w:p>
            <w:pPr>
              <w:jc w:val="right"/>
            </w:pPr>
            <w:r>
              <w:rPr>
                <w:color w:val="000000"/>
                <w:sz w:val="24"/>
              </w:rPr>
              <w:t>18,587,900,000.00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注：1、报告期内，本基金新增加交易单元为太平洋证券股份有限公司，其它交易单元未发生变化；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5547A0" w:rsidRPr="004F0662" w:rsidTr="00B86999">
        <w:tc>
          <w:tcPr>
            <w:tcW w:type="dxa" w:w="993"/>
            <w:vMerge w:val="restart"/>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type="dxa" w:w="993"/>
            <w:vMerge/>
            <w:vAlign w:val="center"/>
          </w:tcPr>
          <w:p w:rsidP="00B86999" w:rsidR="005547A0" w:rsidRDefault="005547A0" w:rsidRPr="004F0662">
            <w:pPr>
              <w:autoSpaceDE w:val="0"/>
              <w:autoSpaceDN w:val="0"/>
              <w:adjustRightInd w:val="0"/>
              <w:jc w:val="center"/>
              <w:rPr>
                <w:rFonts w:ascii="宋体" w:hAnsi="宋体"/>
                <w:b/>
                <w:bCs/>
                <w:color w:val="000000"/>
                <w:kern w:val="0"/>
                <w:szCs w:val="21"/>
              </w:rPr>
            </w:pPr>
          </w:p>
        </w:tc>
        <w:tc>
          <w:tcPr>
            <w:tcW w:type="dxa" w:w="99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299,999,000.00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299,999,000.00</w:t>
            </w:r>
          </w:p>
        </w:tc>
        <w:tc>
          <w:tcPr>
            <w:vAlign w:val="center"/>
          </w:tcPr>
          <w:p>
            <w:pPr>
              <w:jc w:val="center"/>
            </w:pPr>
            <w:r>
              <w:rPr>
                <w:rFonts w:ascii="宋体" w:hAnsi="宋体"/>
                <w:color w:val="000000"/>
                <w:kern w:val="0"/>
                <w:szCs w:val="21"/>
              </w:rPr>
              <w:t>99.93%</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5547A0" w:rsidRPr="004F0662" w:rsidTr="00B86999">
        <w:tc>
          <w:tcPr>
            <w:tcW w:type="dxa" w:w="9212"/>
            <w:vAlign w:val="center"/>
          </w:tcPr>
          <w:p w:rsidP="00B86999" w:rsidR="005547A0" w:rsidRDefault="005547A0"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5547A0" w:rsidRPr="004F0662" w:rsidTr="00B86999">
        <w:tc>
          <w:tcPr>
            <w:tcW w:type="dxa" w:w="9212"/>
            <w:vAlign w:val="center"/>
          </w:tcPr>
          <w:p w:rsidP="00B86999" w:rsidR="005547A0" w:rsidRDefault="005547A0"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11.2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交银施罗德瑞鑫定期开放灵活配置混合型证券投资基金2019年半年度报告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