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交银施罗德增强收益债券型证券投资基金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交银增强收益债券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519729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519729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2016年12月30日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18,472,676.31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90%×中证综合债券指数收益率+10%×沪深300指数收益率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本基金为债券型证券投资基金，其长期平均的预期收益和风险高于货币市场基金，低于混合型基金和股票型基金，属于证券投资基金中中等风险品种。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162,938.28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-76,129.45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-0.0040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24,499,946.31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1.326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-0.30%</w:t>
            </w:r>
          </w:p>
        </w:tc>
        <w:tc>
          <w:tcPr>
            <w:vAlign w:val="center"/>
          </w:tcPr>
          <w:p>
            <w:pPr>
              <w:jc w:val="center"/>
            </w:pPr>
            <w:r>
              <w:rPr>
                <w:color w:val="000000"/>
                <w:sz w:val="24"/>
                <w:szCs w:val="24"/>
              </w:rPr>
              <w:t>0.15%</w:t>
            </w:r>
          </w:p>
        </w:tc>
        <w:tc>
          <w:tcPr>
            <w:vAlign w:val="center"/>
          </w:tcPr>
          <w:p>
            <w:pPr>
              <w:jc w:val="center"/>
            </w:pPr>
            <w:r>
              <w:rPr>
                <w:color w:val="000000"/>
                <w:sz w:val="24"/>
                <w:szCs w:val="24"/>
              </w:rPr>
              <w:t>0.52%</w:t>
            </w:r>
          </w:p>
        </w:tc>
        <w:tc>
          <w:tcPr>
            <w:vAlign w:val="center"/>
          </w:tcPr>
          <w:p>
            <w:pPr>
              <w:jc w:val="center"/>
            </w:pPr>
            <w:r>
              <w:rPr>
                <w:color w:val="000000"/>
                <w:sz w:val="24"/>
                <w:szCs w:val="24"/>
              </w:rPr>
              <w:t>0.14%</w:t>
            </w:r>
          </w:p>
        </w:tc>
        <w:tc>
          <w:tcPr>
            <w:vAlign w:val="center"/>
          </w:tcPr>
          <w:p>
            <w:pPr>
              <w:jc w:val="center"/>
            </w:pPr>
            <w:r>
              <w:rPr>
                <w:color w:val="000000"/>
                <w:sz w:val="24"/>
                <w:szCs w:val="24"/>
              </w:rPr>
              <w:t>-0.82%</w:t>
            </w:r>
          </w:p>
        </w:tc>
        <w:tc>
          <w:tcPr>
            <w:vAlign w:val="center"/>
          </w:tcPr>
          <w:p>
            <w:pPr>
              <w:jc w:val="center"/>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交银施罗德增强收益债券型证券投资基金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2016年12月30日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由交银施罗德荣泰保本混合型证券投资基金转型而来。基金转型日为2016年12月30日。本基金的投资转型期为交银施罗德荣泰保本混合型证券投资基金保本周期到期期间截止日的次日（即2016年12月30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交银定期支付月月丰债券、交银增强收益债券、交银强化回报债券、交银增利增强债券、交银稳固收益债券的基金经理，公司固定收益(公募)投资副总监</w:t>
            </w:r>
          </w:p>
        </w:tc>
        <w:tc>
          <w:tcPr>
            <w:vAlign w:val="center"/>
          </w:tcPr>
          <w:p>
            <w:pPr>
              <w:jc w:val="center"/>
            </w:pPr>
            <w:r>
              <w:rPr>
                <w:color w:val="000000"/>
                <w:sz w:val="24"/>
                <w:szCs w:val="24"/>
              </w:rPr>
              <w:t>2018-02-13</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随着海外风险事件再度升温，经济预期逐步回落。五月，个别银行信用风险暴露影响信用利差有所扩大。从经济基本面看，三月春节错位令市场对于经济的预期高涨，市场利率一路走高。此后，经济环比数据自然回落，并伴随着中观行业订单季节性下降，地产销量逐步走低。五月，中美贸易争端升温，经济预期进一步回落，市场利率明显回落，并维持震荡。五月受个别银行信用风险暴露影响，银行间流动性分化，存单收益率上行，信用债收益率一度走高，信用利差明显走扩。随着跨季资金流动性维持宽松，短端收益率下行，中高等级信用债收益率也出现回落，但中低等级信用债成交依然不多。</w:t>
      </w:r>
    </w:p>
    <w:p>
      <w:pPr>
        <w:spacing w:before="29" w:line="288" w:lineRule="auto"/>
        <w:ind w:firstLine="480" w:firstLineChars="200"/>
        <w:rPr>
          <w:color w:val="000000"/>
          <w:sz w:val="24"/>
          <w:szCs w:val="24"/>
        </w:rPr>
      </w:pPr>
      <w:r>
        <w:rPr>
          <w:color w:val="000000"/>
          <w:sz w:val="24"/>
          <w:szCs w:val="24"/>
        </w:rPr>
        <w:t>受经济环比回落，中美贸易争端再度升温等事件影响，权益市场自四月中下旬震荡下行。行业层面看，部分消费及金融有一定绝对收益，TMT及强周期等板块均有明显跌幅。</w:t>
      </w:r>
    </w:p>
    <w:p>
      <w:pPr>
        <w:spacing w:before="29" w:line="288" w:lineRule="auto"/>
        <w:ind w:firstLine="480" w:firstLineChars="200"/>
        <w:rPr>
          <w:color w:val="000000"/>
          <w:sz w:val="24"/>
          <w:szCs w:val="24"/>
        </w:rPr>
      </w:pPr>
      <w:r>
        <w:rPr>
          <w:color w:val="000000"/>
          <w:sz w:val="24"/>
          <w:szCs w:val="24"/>
        </w:rPr>
        <w:t>我们认为，经济环比回落，叠加中美贸易不确定性的加强，债券市场存在结构性一定的配置价值。因此在组合操作中，维持短久期利率底仓仓位，并通过长端利率债波段操作增厚组合债券部分收益。权益方面，组合维持较低仓位，适时参与市场反弹获得一定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展望2019年三季度，从高频数据看，我们认为经济基本面面临下行压力，因此对于债券市场我们维持谨慎乐观的看法，拟维持中短久期配置，适时进行长债波段操作以赚取超额收益。权益方面，我们将密切关注市场的走势变化，灵活积极地去配置相关行业与个股，争取为组合获得更好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本基金本报告期内连续六十个工作日出现基金资产净值低于5000万元的情形，截至本报告期末，本基金基金资产净值仍低于5000万元。</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489,496.00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489,496.00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20,412,545.30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20,412,545.30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3,000,000.00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10.95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3,143,626.76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361,995.34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1.32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27,407,663.40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489,496.00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489,496.00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2.00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000661</w:t>
            </w:r>
          </w:p>
        </w:tc>
        <w:tc>
          <w:tcPr>
            <w:vAlign w:val="center"/>
          </w:tcPr>
          <w:p>
            <w:pPr>
              <w:jc w:val="center"/>
            </w:pPr>
            <w:r>
              <w:rPr>
                <w:color w:val="000000"/>
                <w:sz w:val="24"/>
                <w:szCs w:val="24"/>
              </w:rPr>
              <w:t>长春高新</w:t>
            </w:r>
          </w:p>
        </w:tc>
        <w:tc>
          <w:tcPr>
            <w:vAlign w:val="center"/>
          </w:tcPr>
          <w:p>
            <w:pPr>
              <w:jc w:val="right"/>
            </w:pPr>
            <w:r>
              <w:rPr>
                <w:color w:val="000000"/>
                <w:sz w:val="24"/>
                <w:szCs w:val="24"/>
              </w:rPr>
              <w:t>1,100</w:t>
            </w:r>
          </w:p>
        </w:tc>
        <w:tc>
          <w:tcPr>
            <w:vAlign w:val="center"/>
          </w:tcPr>
          <w:p>
            <w:pPr>
              <w:jc w:val="right"/>
            </w:pPr>
            <w:r>
              <w:rPr>
                <w:color w:val="000000"/>
                <w:sz w:val="24"/>
                <w:szCs w:val="24"/>
              </w:rPr>
              <w:t>371,800.00</w:t>
            </w:r>
          </w:p>
        </w:tc>
        <w:tc>
          <w:tcPr>
            <w:vAlign w:val="center"/>
          </w:tcPr>
          <w:p>
            <w:pPr>
              <w:jc w:val="right"/>
            </w:pPr>
            <w:r>
              <w:rPr>
                <w:color w:val="000000"/>
                <w:sz w:val="24"/>
                <w:szCs w:val="24"/>
              </w:rPr>
              <w:t>1.52</w:t>
            </w:r>
          </w:p>
        </w:tc>
      </w:tr>
      <w:tr>
        <w:tc>
          <w:tcPr>
            <w:vAlign w:val="center"/>
          </w:tcPr>
          <w:p>
            <w:pPr>
              <w:jc w:val="center"/>
            </w:pPr>
            <w:r>
              <w:rPr>
                <w:color w:val="000000"/>
                <w:sz w:val="24"/>
                <w:szCs w:val="24"/>
              </w:rPr>
              <w:t>2</w:t>
            </w:r>
          </w:p>
        </w:tc>
        <w:tc>
          <w:tcPr>
            <w:vAlign w:val="center"/>
          </w:tcPr>
          <w:p>
            <w:pPr>
              <w:jc w:val="center"/>
            </w:pPr>
            <w:r>
              <w:rPr>
                <w:color w:val="000000"/>
                <w:sz w:val="24"/>
                <w:szCs w:val="24"/>
              </w:rPr>
              <w:t>002821</w:t>
            </w:r>
          </w:p>
        </w:tc>
        <w:tc>
          <w:tcPr>
            <w:vAlign w:val="center"/>
          </w:tcPr>
          <w:p>
            <w:pPr>
              <w:jc w:val="center"/>
            </w:pPr>
            <w:r>
              <w:rPr>
                <w:color w:val="000000"/>
                <w:sz w:val="24"/>
                <w:szCs w:val="24"/>
              </w:rPr>
              <w:t>凯莱英</w:t>
            </w:r>
          </w:p>
        </w:tc>
        <w:tc>
          <w:tcPr>
            <w:vAlign w:val="center"/>
          </w:tcPr>
          <w:p>
            <w:pPr>
              <w:jc w:val="right"/>
            </w:pPr>
            <w:r>
              <w:rPr>
                <w:color w:val="000000"/>
                <w:sz w:val="24"/>
                <w:szCs w:val="24"/>
              </w:rPr>
              <w:t>1,200</w:t>
            </w:r>
          </w:p>
        </w:tc>
        <w:tc>
          <w:tcPr>
            <w:vAlign w:val="center"/>
          </w:tcPr>
          <w:p>
            <w:pPr>
              <w:jc w:val="right"/>
            </w:pPr>
            <w:r>
              <w:rPr>
                <w:color w:val="000000"/>
                <w:sz w:val="24"/>
                <w:szCs w:val="24"/>
              </w:rPr>
              <w:t>117,696.00</w:t>
            </w:r>
          </w:p>
        </w:tc>
        <w:tc>
          <w:tcPr>
            <w:vAlign w:val="center"/>
          </w:tcPr>
          <w:p>
            <w:pPr>
              <w:jc w:val="right"/>
            </w:pPr>
            <w:r>
              <w:rPr>
                <w:color w:val="000000"/>
                <w:sz w:val="24"/>
                <w:szCs w:val="24"/>
              </w:rPr>
              <w:t>0.48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roofErr w:type="spellStart"/>
            <w:r w:rsidR="00F71057" w:rsidRPr="00414345">
              <w:rPr>
                <w:color w:val="000000"/>
                <w:sz w:val="24"/>
                <w:szCs w:val="24"/>
              </w:rPr>
              <w:t/>
            </w:r>
            <w:proofErr w:type="spellEnd"/>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485,798.00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1.98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15,229,277.70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62.16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15,229,277.70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62.16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4,697,469.60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19.17</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20,412,545.30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83.32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108602</w:t>
            </w:r>
          </w:p>
        </w:tc>
        <w:tc>
          <w:tcPr>
            <w:vAlign w:val="center"/>
          </w:tcPr>
          <w:p>
            <w:pPr>
              <w:jc w:val="center"/>
            </w:pPr>
            <w:r>
              <w:rPr>
                <w:color w:val="000000"/>
                <w:sz w:val="24"/>
                <w:szCs w:val="24"/>
              </w:rPr>
              <w:t>国开1704</w:t>
            </w:r>
          </w:p>
        </w:tc>
        <w:tc>
          <w:tcPr>
            <w:vAlign w:val="center"/>
          </w:tcPr>
          <w:p>
            <w:pPr>
              <w:jc w:val="right"/>
            </w:pPr>
            <w:r>
              <w:rPr>
                <w:color w:val="000000"/>
                <w:sz w:val="24"/>
                <w:szCs w:val="24"/>
              </w:rPr>
              <w:t>150,770</w:t>
            </w:r>
          </w:p>
        </w:tc>
        <w:tc>
          <w:tcPr>
            <w:vAlign w:val="center"/>
          </w:tcPr>
          <w:p>
            <w:pPr>
              <w:jc w:val="right"/>
            </w:pPr>
            <w:r>
              <w:rPr>
                <w:color w:val="000000"/>
                <w:sz w:val="24"/>
                <w:szCs w:val="24"/>
              </w:rPr>
              <w:t>15,229,277.70</w:t>
            </w:r>
          </w:p>
        </w:tc>
        <w:tc>
          <w:tcPr>
            <w:vAlign w:val="center"/>
          </w:tcPr>
          <w:p>
            <w:pPr>
              <w:jc w:val="right"/>
            </w:pPr>
            <w:r>
              <w:rPr>
                <w:color w:val="000000"/>
                <w:sz w:val="24"/>
                <w:szCs w:val="24"/>
              </w:rPr>
              <w:t>62.16</w:t>
            </w:r>
          </w:p>
        </w:tc>
      </w:tr>
      <w:tr>
        <w:tc>
          <w:tcPr>
            <w:vAlign w:val="center"/>
          </w:tcPr>
          <w:p>
            <w:pPr>
              <w:jc w:val="center"/>
            </w:pPr>
            <w:r>
              <w:rPr>
                <w:color w:val="000000"/>
                <w:sz w:val="24"/>
                <w:szCs w:val="24"/>
              </w:rPr>
              <w:t>2</w:t>
            </w:r>
          </w:p>
        </w:tc>
        <w:tc>
          <w:tcPr>
            <w:vAlign w:val="center"/>
          </w:tcPr>
          <w:p>
            <w:pPr>
              <w:jc w:val="center"/>
            </w:pPr>
            <w:r>
              <w:rPr>
                <w:color w:val="000000"/>
                <w:sz w:val="24"/>
                <w:szCs w:val="24"/>
              </w:rPr>
              <w:t>132006</w:t>
            </w:r>
          </w:p>
        </w:tc>
        <w:tc>
          <w:tcPr>
            <w:vAlign w:val="center"/>
          </w:tcPr>
          <w:p>
            <w:pPr>
              <w:jc w:val="center"/>
            </w:pPr>
            <w:r>
              <w:rPr>
                <w:color w:val="000000"/>
                <w:sz w:val="24"/>
                <w:szCs w:val="24"/>
              </w:rPr>
              <w:t>16皖新EB</w:t>
            </w:r>
          </w:p>
        </w:tc>
        <w:tc>
          <w:tcPr>
            <w:vAlign w:val="center"/>
          </w:tcPr>
          <w:p>
            <w:pPr>
              <w:jc w:val="right"/>
            </w:pPr>
            <w:r>
              <w:rPr>
                <w:color w:val="000000"/>
                <w:sz w:val="24"/>
                <w:szCs w:val="24"/>
              </w:rPr>
              <w:t>12,850</w:t>
            </w:r>
          </w:p>
        </w:tc>
        <w:tc>
          <w:tcPr>
            <w:vAlign w:val="center"/>
          </w:tcPr>
          <w:p>
            <w:pPr>
              <w:jc w:val="right"/>
            </w:pPr>
            <w:r>
              <w:rPr>
                <w:color w:val="000000"/>
                <w:sz w:val="24"/>
                <w:szCs w:val="24"/>
              </w:rPr>
              <w:t>1,345,138.00</w:t>
            </w:r>
          </w:p>
        </w:tc>
        <w:tc>
          <w:tcPr>
            <w:vAlign w:val="center"/>
          </w:tcPr>
          <w:p>
            <w:pPr>
              <w:jc w:val="right"/>
            </w:pPr>
            <w:r>
              <w:rPr>
                <w:color w:val="000000"/>
                <w:sz w:val="24"/>
                <w:szCs w:val="24"/>
              </w:rPr>
              <w:t>5.49</w:t>
            </w:r>
          </w:p>
        </w:tc>
      </w:tr>
      <w:tr>
        <w:tc>
          <w:tcPr>
            <w:vAlign w:val="center"/>
          </w:tcPr>
          <w:p>
            <w:pPr>
              <w:jc w:val="center"/>
            </w:pPr>
            <w:r>
              <w:rPr>
                <w:color w:val="000000"/>
                <w:sz w:val="24"/>
                <w:szCs w:val="24"/>
              </w:rPr>
              <w:t>3</w:t>
            </w:r>
          </w:p>
        </w:tc>
        <w:tc>
          <w:tcPr>
            <w:vAlign w:val="center"/>
          </w:tcPr>
          <w:p>
            <w:pPr>
              <w:jc w:val="center"/>
            </w:pPr>
            <w:r>
              <w:rPr>
                <w:color w:val="000000"/>
                <w:sz w:val="24"/>
                <w:szCs w:val="24"/>
              </w:rPr>
              <w:t>132015</w:t>
            </w:r>
          </w:p>
        </w:tc>
        <w:tc>
          <w:tcPr>
            <w:vAlign w:val="center"/>
          </w:tcPr>
          <w:p>
            <w:pPr>
              <w:jc w:val="center"/>
            </w:pPr>
            <w:r>
              <w:rPr>
                <w:color w:val="000000"/>
                <w:sz w:val="24"/>
                <w:szCs w:val="24"/>
              </w:rPr>
              <w:t>18中油EB</w:t>
            </w:r>
          </w:p>
        </w:tc>
        <w:tc>
          <w:tcPr>
            <w:vAlign w:val="center"/>
          </w:tcPr>
          <w:p>
            <w:pPr>
              <w:jc w:val="right"/>
            </w:pPr>
            <w:r>
              <w:rPr>
                <w:color w:val="000000"/>
                <w:sz w:val="24"/>
                <w:szCs w:val="24"/>
              </w:rPr>
              <w:t>10,690</w:t>
            </w:r>
          </w:p>
        </w:tc>
        <w:tc>
          <w:tcPr>
            <w:vAlign w:val="center"/>
          </w:tcPr>
          <w:p>
            <w:pPr>
              <w:jc w:val="right"/>
            </w:pPr>
            <w:r>
              <w:rPr>
                <w:color w:val="000000"/>
                <w:sz w:val="24"/>
                <w:szCs w:val="24"/>
              </w:rPr>
              <w:t>1,046,444.10</w:t>
            </w:r>
          </w:p>
        </w:tc>
        <w:tc>
          <w:tcPr>
            <w:vAlign w:val="center"/>
          </w:tcPr>
          <w:p>
            <w:pPr>
              <w:jc w:val="right"/>
            </w:pPr>
            <w:r>
              <w:rPr>
                <w:color w:val="000000"/>
                <w:sz w:val="24"/>
                <w:szCs w:val="24"/>
              </w:rPr>
              <w:t>4.27</w:t>
            </w:r>
          </w:p>
        </w:tc>
      </w:tr>
      <w:tr>
        <w:tc>
          <w:tcPr>
            <w:vAlign w:val="center"/>
          </w:tcPr>
          <w:p>
            <w:pPr>
              <w:jc w:val="center"/>
            </w:pPr>
            <w:r>
              <w:rPr>
                <w:color w:val="000000"/>
                <w:sz w:val="24"/>
                <w:szCs w:val="24"/>
              </w:rPr>
              <w:t>4</w:t>
            </w:r>
          </w:p>
        </w:tc>
        <w:tc>
          <w:tcPr>
            <w:vAlign w:val="center"/>
          </w:tcPr>
          <w:p>
            <w:pPr>
              <w:jc w:val="center"/>
            </w:pPr>
            <w:r>
              <w:rPr>
                <w:color w:val="000000"/>
                <w:sz w:val="24"/>
                <w:szCs w:val="24"/>
              </w:rPr>
              <w:t>132011</w:t>
            </w:r>
          </w:p>
        </w:tc>
        <w:tc>
          <w:tcPr>
            <w:vAlign w:val="center"/>
          </w:tcPr>
          <w:p>
            <w:pPr>
              <w:jc w:val="center"/>
            </w:pPr>
            <w:r>
              <w:rPr>
                <w:color w:val="000000"/>
                <w:sz w:val="24"/>
                <w:szCs w:val="24"/>
              </w:rPr>
              <w:t>17浙报EB</w:t>
            </w:r>
          </w:p>
        </w:tc>
        <w:tc>
          <w:tcPr>
            <w:vAlign w:val="center"/>
          </w:tcPr>
          <w:p>
            <w:pPr>
              <w:jc w:val="right"/>
            </w:pPr>
            <w:r>
              <w:rPr>
                <w:color w:val="000000"/>
                <w:sz w:val="24"/>
                <w:szCs w:val="24"/>
              </w:rPr>
              <w:t>8,480</w:t>
            </w:r>
          </w:p>
        </w:tc>
        <w:tc>
          <w:tcPr>
            <w:vAlign w:val="center"/>
          </w:tcPr>
          <w:p>
            <w:pPr>
              <w:jc w:val="right"/>
            </w:pPr>
            <w:r>
              <w:rPr>
                <w:color w:val="000000"/>
                <w:sz w:val="24"/>
                <w:szCs w:val="24"/>
              </w:rPr>
              <w:t>800,512.00</w:t>
            </w:r>
          </w:p>
        </w:tc>
        <w:tc>
          <w:tcPr>
            <w:vAlign w:val="center"/>
          </w:tcPr>
          <w:p>
            <w:pPr>
              <w:jc w:val="right"/>
            </w:pPr>
            <w:r>
              <w:rPr>
                <w:color w:val="000000"/>
                <w:sz w:val="24"/>
                <w:szCs w:val="24"/>
              </w:rPr>
              <w:t>3.27</w:t>
            </w:r>
          </w:p>
        </w:tc>
      </w:tr>
      <w:tr>
        <w:tc>
          <w:tcPr>
            <w:vAlign w:val="center"/>
          </w:tcPr>
          <w:p>
            <w:pPr>
              <w:jc w:val="center"/>
            </w:pPr>
            <w:r>
              <w:rPr>
                <w:color w:val="000000"/>
                <w:sz w:val="24"/>
                <w:szCs w:val="24"/>
              </w:rPr>
              <w:t>5</w:t>
            </w:r>
          </w:p>
        </w:tc>
        <w:tc>
          <w:tcPr>
            <w:vAlign w:val="center"/>
          </w:tcPr>
          <w:p>
            <w:pPr>
              <w:jc w:val="center"/>
            </w:pPr>
            <w:r>
              <w:rPr>
                <w:color w:val="000000"/>
                <w:sz w:val="24"/>
                <w:szCs w:val="24"/>
              </w:rPr>
              <w:t>120002</w:t>
            </w:r>
          </w:p>
        </w:tc>
        <w:tc>
          <w:tcPr>
            <w:vAlign w:val="center"/>
          </w:tcPr>
          <w:p>
            <w:pPr>
              <w:jc w:val="center"/>
            </w:pPr>
            <w:r>
              <w:rPr>
                <w:color w:val="000000"/>
                <w:sz w:val="24"/>
                <w:szCs w:val="24"/>
              </w:rPr>
              <w:t>18中原EB</w:t>
            </w:r>
          </w:p>
        </w:tc>
        <w:tc>
          <w:tcPr>
            <w:vAlign w:val="center"/>
          </w:tcPr>
          <w:p>
            <w:pPr>
              <w:jc w:val="right"/>
            </w:pPr>
            <w:r>
              <w:rPr>
                <w:color w:val="000000"/>
                <w:sz w:val="24"/>
                <w:szCs w:val="24"/>
              </w:rPr>
              <w:t>7,310</w:t>
            </w:r>
          </w:p>
        </w:tc>
        <w:tc>
          <w:tcPr>
            <w:vAlign w:val="center"/>
          </w:tcPr>
          <w:p>
            <w:pPr>
              <w:jc w:val="right"/>
            </w:pPr>
            <w:r>
              <w:rPr>
                <w:color w:val="000000"/>
                <w:sz w:val="24"/>
                <w:szCs w:val="24"/>
              </w:rPr>
              <w:t>795,108.70</w:t>
            </w:r>
          </w:p>
        </w:tc>
        <w:tc>
          <w:tcPr>
            <w:vAlign w:val="center"/>
          </w:tcPr>
          <w:p>
            <w:pPr>
              <w:jc w:val="right"/>
            </w:pPr>
            <w:r>
              <w:rPr>
                <w:color w:val="000000"/>
                <w:sz w:val="24"/>
                <w:szCs w:val="24"/>
              </w:rPr>
              <w:t>3.25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27,601.97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166,790.22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142,631.95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24,971.20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361,995.34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proofErr w:type="spellStart"/>
      <w:r w:rsidRPr="00173B44">
        <w:rPr>
          <w:rFonts w:hint="eastAsia"/>
          <w:bCs/>
          <w:color w:val="000000"/>
          <w:kern w:val="0"/>
          <w:sz w:val="24"/>
          <w:szCs w:val="24"/>
        </w:rPr>
        <w:t/>
      </w:r>
      <w:proofErr w:type="spellEnd"/>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132006</w:t>
            </w:r>
          </w:p>
        </w:tc>
        <w:tc>
          <w:tcPr>
            <w:vAlign w:val="center"/>
          </w:tcPr>
          <w:p>
            <w:pPr>
              <w:jc w:val="center"/>
            </w:pPr>
            <w:r>
              <w:rPr>
                <w:color w:val="000000"/>
                <w:sz w:val="24"/>
                <w:szCs w:val="24"/>
              </w:rPr>
              <w:t>16皖新EB</w:t>
            </w:r>
          </w:p>
        </w:tc>
        <w:tc>
          <w:tcPr>
            <w:vAlign w:val="center"/>
          </w:tcPr>
          <w:p>
            <w:pPr>
              <w:jc w:val="right"/>
            </w:pPr>
            <w:r>
              <w:rPr>
                <w:color w:val="000000"/>
                <w:sz w:val="24"/>
                <w:szCs w:val="24"/>
              </w:rPr>
              <w:t>1,345,138.00</w:t>
            </w:r>
          </w:p>
        </w:tc>
        <w:tc>
          <w:tcPr>
            <w:vAlign w:val="center"/>
          </w:tcPr>
          <w:p>
            <w:pPr>
              <w:jc w:val="right"/>
            </w:pPr>
            <w:r>
              <w:rPr>
                <w:color w:val="000000"/>
                <w:sz w:val="24"/>
                <w:szCs w:val="24"/>
              </w:rPr>
              <w:t>5.49</w:t>
            </w:r>
          </w:p>
        </w:tc>
      </w:tr>
      <w:tr>
        <w:tc>
          <w:tcPr>
            <w:vAlign w:val="center"/>
          </w:tcPr>
          <w:p>
            <w:pPr>
              <w:jc w:val="center"/>
            </w:pPr>
            <w:r>
              <w:rPr>
                <w:color w:val="000000"/>
                <w:sz w:val="24"/>
                <w:szCs w:val="24"/>
              </w:rPr>
              <w:t>2</w:t>
            </w:r>
          </w:p>
        </w:tc>
        <w:tc>
          <w:tcPr>
            <w:vAlign w:val="center"/>
          </w:tcPr>
          <w:p>
            <w:pPr>
              <w:jc w:val="center"/>
            </w:pPr>
            <w:r>
              <w:rPr>
                <w:color w:val="000000"/>
                <w:sz w:val="24"/>
                <w:szCs w:val="24"/>
              </w:rPr>
              <w:t>132015</w:t>
            </w:r>
          </w:p>
        </w:tc>
        <w:tc>
          <w:tcPr>
            <w:vAlign w:val="center"/>
          </w:tcPr>
          <w:p>
            <w:pPr>
              <w:jc w:val="center"/>
            </w:pPr>
            <w:r>
              <w:rPr>
                <w:color w:val="000000"/>
                <w:sz w:val="24"/>
                <w:szCs w:val="24"/>
              </w:rPr>
              <w:t>18中油EB</w:t>
            </w:r>
          </w:p>
        </w:tc>
        <w:tc>
          <w:tcPr>
            <w:vAlign w:val="center"/>
          </w:tcPr>
          <w:p>
            <w:pPr>
              <w:jc w:val="right"/>
            </w:pPr>
            <w:r>
              <w:rPr>
                <w:color w:val="000000"/>
                <w:sz w:val="24"/>
                <w:szCs w:val="24"/>
              </w:rPr>
              <w:t>1,046,444.10</w:t>
            </w:r>
          </w:p>
        </w:tc>
        <w:tc>
          <w:tcPr>
            <w:vAlign w:val="center"/>
          </w:tcPr>
          <w:p>
            <w:pPr>
              <w:jc w:val="right"/>
            </w:pPr>
            <w:r>
              <w:rPr>
                <w:color w:val="000000"/>
                <w:sz w:val="24"/>
                <w:szCs w:val="24"/>
              </w:rPr>
              <w:t>4.27</w:t>
            </w:r>
          </w:p>
        </w:tc>
      </w:tr>
      <w:tr>
        <w:tc>
          <w:tcPr>
            <w:vAlign w:val="center"/>
          </w:tcPr>
          <w:p>
            <w:pPr>
              <w:jc w:val="center"/>
            </w:pPr>
            <w:r>
              <w:rPr>
                <w:color w:val="000000"/>
                <w:sz w:val="24"/>
                <w:szCs w:val="24"/>
              </w:rPr>
              <w:t>3</w:t>
            </w:r>
          </w:p>
        </w:tc>
        <w:tc>
          <w:tcPr>
            <w:vAlign w:val="center"/>
          </w:tcPr>
          <w:p>
            <w:pPr>
              <w:jc w:val="center"/>
            </w:pPr>
            <w:r>
              <w:rPr>
                <w:color w:val="000000"/>
                <w:sz w:val="24"/>
                <w:szCs w:val="24"/>
              </w:rPr>
              <w:t>132011</w:t>
            </w:r>
          </w:p>
        </w:tc>
        <w:tc>
          <w:tcPr>
            <w:vAlign w:val="center"/>
          </w:tcPr>
          <w:p>
            <w:pPr>
              <w:jc w:val="center"/>
            </w:pPr>
            <w:r>
              <w:rPr>
                <w:color w:val="000000"/>
                <w:sz w:val="24"/>
                <w:szCs w:val="24"/>
              </w:rPr>
              <w:t>17浙报EB</w:t>
            </w:r>
          </w:p>
        </w:tc>
        <w:tc>
          <w:tcPr>
            <w:vAlign w:val="center"/>
          </w:tcPr>
          <w:p>
            <w:pPr>
              <w:jc w:val="right"/>
            </w:pPr>
            <w:r>
              <w:rPr>
                <w:color w:val="000000"/>
                <w:sz w:val="24"/>
                <w:szCs w:val="24"/>
              </w:rPr>
              <w:t>800,512.00</w:t>
            </w:r>
          </w:p>
        </w:tc>
        <w:tc>
          <w:tcPr>
            <w:vAlign w:val="center"/>
          </w:tcPr>
          <w:p>
            <w:pPr>
              <w:jc w:val="right"/>
            </w:pPr>
            <w:r>
              <w:rPr>
                <w:color w:val="000000"/>
                <w:sz w:val="24"/>
                <w:szCs w:val="24"/>
              </w:rPr>
              <w:t>3.27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r w:rsidR="008E326D" w:rsidRPr="00414345">
        <w:rPr>
          <w:color w:val="000000"/>
          <w:sz w:val="24"/>
          <w:szCs w:val="24"/>
        </w:rPr>
        <w:t/>
      </w:r>
      <w:r w:rsidR="008E326D" w:rsidRPr="00414345">
        <w:rPr>
          <w:color w:val="000000"/>
          <w:sz w:val="24"/>
          <w:szCs w:val="24"/>
        </w:rPr>
        <w:lastRenderedPageBreak/>
        <w:t/>
      </w:r>
      <w:proofErr w:type="gramEnd"/>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19,850,603.87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171,259.37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1,549,186.93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18,472,676.31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b/>
          <w:bCs/>
          <w:color w:val="000000"/>
          <w:kern w:val="0"/>
          <w:sz w:val="24"/>
          <w:szCs w:val="24"/>
        </w:rPr>
        <w:t/>
      </w:r>
      <w:proofErr w:type="gramStart"/>
      <w:r w:rsidRPr="009A5C99">
        <w:rPr>
          <w:rFonts w:ascii="宋体" w:hAnsi="宋体"/>
          <w:b/>
          <w:bCs/>
          <w:color w:val="000000"/>
          <w:kern w:val="0"/>
          <w:sz w:val="24"/>
          <w:szCs w:val="24"/>
        </w:rPr>
        <w:t/>
      </w:r>
      <w:proofErr w:type="gramEnd"/>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proofErr w:type="spellStart"/>
            <w:r w:rsidRPr="004F4D27">
              <w:rPr>
                <w:rFonts w:ascii="宋体" w:hAnsi="宋体"/>
                <w:color w:val="000000"/>
                <w:kern w:val="0"/>
              </w:rPr>
              <w:t/>
            </w:r>
            <w:proofErr w:type="spellEnd"/>
            <w:r w:rsidRPr="004F4D27">
              <w:rPr>
                <w:rFonts w:ascii="宋体" w:hAnsi="宋体"/>
                <w:color w:val="000000"/>
                <w:kern w:val="0"/>
              </w:rPr>
              <w:t/>
            </w:r>
            <w:proofErr w:type="spellStart"/>
            <w:r w:rsidRPr="004F4D27">
              <w:rPr>
                <w:rFonts w:ascii="宋体" w:hAnsi="宋体"/>
                <w:color w:val="000000"/>
                <w:kern w:val="0"/>
              </w:rPr>
              <w:t/>
            </w:r>
            <w:proofErr w:type="spellEnd"/>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2019/4/1-2019/6/30</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27.07%</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lastRenderedPageBreak/>
              <w:t>产品特有风险</w:t>
            </w:r>
            <w:r w:rsidRPr="004F4D27">
              <w:rPr>
                <w:rFonts w:ascii="宋体" w:hAnsi="宋体"/>
                <w:kern w:val="0"/>
              </w:rPr>
              <w:t/>
            </w:r>
            <w:proofErr w:type="spellStart"/>
            <w:r w:rsidRPr="004F4D27">
              <w:rPr>
                <w:rFonts w:ascii="宋体" w:hAnsi="宋体" w:hint="eastAsia"/>
                <w:kern w:val="0"/>
              </w:rPr>
              <w:t/>
            </w:r>
            <w:proofErr w:type="spellEnd"/>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1、中国证监会批准交银施罗德荣泰保本混合型证券投资基金募集的文件； </w:t>
      </w:r>
    </w:p>
    <w:p>
      <w:pPr>
        <w:spacing w:before="29" w:line="288" w:lineRule="auto"/>
        <w:ind w:firstLine="480" w:firstLineChars="200"/>
        <w:rPr>
          <w:color w:val="000000"/>
          <w:sz w:val="24"/>
          <w:szCs w:val="24"/>
        </w:rPr>
      </w:pPr>
      <w:r>
        <w:rPr>
          <w:color w:val="000000"/>
          <w:sz w:val="24"/>
          <w:szCs w:val="24"/>
        </w:rPr>
        <w:t>2、《交银施罗德增强收益债券型证券投资基金基金合同》；</w:t>
      </w:r>
    </w:p>
    <w:p>
      <w:pPr>
        <w:spacing w:before="29" w:line="288" w:lineRule="auto"/>
        <w:ind w:firstLine="480" w:firstLineChars="200"/>
        <w:rPr>
          <w:color w:val="000000"/>
          <w:sz w:val="24"/>
          <w:szCs w:val="24"/>
        </w:rPr>
      </w:pPr>
      <w:r>
        <w:rPr>
          <w:color w:val="000000"/>
          <w:sz w:val="24"/>
          <w:szCs w:val="24"/>
        </w:rPr>
        <w:t>3、《交银施罗德增强收益债券型证券投资基金招募说明书》；</w:t>
      </w:r>
    </w:p>
    <w:p>
      <w:pPr>
        <w:spacing w:before="29" w:line="288" w:lineRule="auto"/>
        <w:ind w:firstLine="480" w:firstLineChars="200"/>
        <w:rPr>
          <w:color w:val="000000"/>
          <w:sz w:val="24"/>
          <w:szCs w:val="24"/>
        </w:rPr>
      </w:pPr>
      <w:r>
        <w:rPr>
          <w:color w:val="000000"/>
          <w:sz w:val="24"/>
          <w:szCs w:val="24"/>
        </w:rPr>
        <w:t>4、《交银施罗德增强收益债券型证券投资基金托管协议》；</w:t>
      </w:r>
    </w:p>
    <w:p>
      <w:pPr>
        <w:spacing w:before="29" w:line="288" w:lineRule="auto"/>
        <w:ind w:firstLine="480" w:firstLineChars="200"/>
        <w:rPr>
          <w:color w:val="000000"/>
          <w:sz w:val="24"/>
          <w:szCs w:val="24"/>
        </w:rPr>
      </w:pPr>
      <w:r>
        <w:rPr>
          <w:color w:val="000000"/>
          <w:sz w:val="24"/>
          <w:szCs w:val="24"/>
        </w:rPr>
        <w:t>5、《交银施罗德荣泰保本混合型证券投资基金基金合同》；</w:t>
      </w:r>
    </w:p>
    <w:p>
      <w:pPr>
        <w:spacing w:before="29" w:line="288" w:lineRule="auto"/>
        <w:ind w:firstLine="480" w:firstLineChars="200"/>
        <w:rPr>
          <w:color w:val="000000"/>
          <w:sz w:val="24"/>
          <w:szCs w:val="24"/>
        </w:rPr>
      </w:pPr>
      <w:r>
        <w:rPr>
          <w:color w:val="000000"/>
          <w:sz w:val="24"/>
          <w:szCs w:val="24"/>
        </w:rPr>
        <w:t>6、《交银施罗德荣泰保本混合型证券投资基金招募说明书》；</w:t>
      </w:r>
    </w:p>
    <w:p>
      <w:pPr>
        <w:spacing w:before="29" w:line="288" w:lineRule="auto"/>
        <w:ind w:firstLine="480" w:firstLineChars="200"/>
        <w:rPr>
          <w:color w:val="000000"/>
          <w:sz w:val="24"/>
          <w:szCs w:val="24"/>
        </w:rPr>
      </w:pPr>
      <w:r>
        <w:rPr>
          <w:color w:val="000000"/>
          <w:sz w:val="24"/>
          <w:szCs w:val="24"/>
        </w:rPr>
        <w:t>7、《交银施罗德荣泰保本混合型证券投资基金托管协议》；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8、《交银施罗德荣泰保本混合型证券投资基金保证合同》；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11、关于申请募集交银施罗德荣泰保本混合型证券投资基金之法律意见书；</w:t>
      </w:r>
    </w:p>
    <w:p>
      <w:pPr>
        <w:spacing w:before="29" w:line="288" w:lineRule="auto"/>
        <w:ind w:firstLine="480" w:firstLineChars="200"/>
        <w:rPr>
          <w:color w:val="000000"/>
          <w:sz w:val="24"/>
          <w:szCs w:val="24"/>
        </w:rPr>
      </w:pPr>
      <w:r>
        <w:rPr>
          <w:color w:val="000000"/>
          <w:sz w:val="24"/>
          <w:szCs w:val="24"/>
        </w:rPr>
        <w:t>12、关于交银施罗德荣泰保本混合型证券投资基金保本周期到期转型及基金合同修改的法律意见；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13、报告期内交银施罗德增强收益债券型证券投资基金、交银施罗德荣泰保本混合型证券投资基金在指定报刊上各项公告的原稿。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交银施罗德增强收益债券型证券投资基金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