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交银施罗德致远量化智投策略定期开放混合型证券投资基金</w:t>
      </w:r>
    </w:p>
    <w:p w:rsidR="002279D3" w:rsidRPr="0081286B" w:rsidRDefault="002279D3" w:rsidP="00C15CAC">
      <w:pPr>
        <w:spacing w:before="29" w:line="288" w:lineRule="auto"/>
        <w:jc w:val="center"/>
        <w:rPr>
          <w:b/>
          <w:sz w:val="36"/>
          <w:szCs w:val="36"/>
        </w:rPr>
      </w:pPr>
      <w:r w:rsidRPr="0081286B">
        <w:rPr>
          <w:b/>
          <w:sz w:val="36"/>
          <w:szCs w:val="36"/>
        </w:rPr>
        <w:t>2019</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2019</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基金托管人：中信银行股份有限公司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二〇一九年七月十七日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38710D" w:rsidRDefault="005D67C9">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2019</w:t>
      </w:r>
      <w:r>
        <w:rPr>
          <w:color w:val="000000"/>
          <w:sz w:val="24"/>
          <w:szCs w:val="24"/>
        </w:rPr>
        <w:t>年</w:t>
      </w:r>
      <w:r>
        <w:rPr>
          <w:color w:val="000000"/>
          <w:sz w:val="24"/>
          <w:szCs w:val="24"/>
        </w:rPr>
        <w:t>7</w:t>
      </w:r>
      <w:r>
        <w:rPr>
          <w:color w:val="000000"/>
          <w:sz w:val="24"/>
          <w:szCs w:val="24"/>
        </w:rPr>
        <w:t>月</w:t>
      </w:r>
      <w:r>
        <w:rPr>
          <w:color w:val="000000"/>
          <w:sz w:val="24"/>
          <w:szCs w:val="24"/>
        </w:rPr>
        <w:t>16</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2019</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交银致远智投混合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005724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005724</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2018</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18</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79,899,354.91</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本基金在控制风险的前提下，力争为投资者提供长期稳健的投资回报。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股票量化策略的核心在于通过长期投资以摊薄买入成本，待收益达标时止盈减仓。本基金量化智投策略主要利用量化投资模型，以大数据分析为基础，结合对市场风格和市场环境的持续研究，动态调整每期投资金额，采取定期不定额的投资模式，以此增强投资效率，可帮助投资人优化投资组合成本。</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上证国债指数收益率</w:t>
            </w:r>
            <w:r w:rsidRPr="00414345">
              <w:rPr>
                <w:color w:val="000000"/>
                <w:kern w:val="0"/>
                <w:sz w:val="24"/>
                <w:szCs w:val="24"/>
              </w:rPr>
              <w:t>+25%×</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本基金是一只混合型基金，其预期风险和预期收益高于债券型基金和货币市场基金，低于股票型基金。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5D67C9" w:rsidRPr="00414345" w:rsidTr="005D67C9">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(2019</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-2019</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5D67C9" w:rsidRPr="00414345" w:rsidTr="005D67C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4,506,569.80</w:t>
            </w:r>
          </w:p>
        </w:tc>
      </w:tr>
      <w:tr w:rsidR="005D67C9" w:rsidRPr="00414345" w:rsidTr="005D67C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-3,631,343.73</w:t>
            </w:r>
          </w:p>
        </w:tc>
      </w:tr>
      <w:tr w:rsidR="005D67C9" w:rsidRPr="00414345" w:rsidTr="005D67C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-0.0222</w:t>
            </w:r>
          </w:p>
        </w:tc>
      </w:tr>
      <w:tr w:rsidR="005D67C9" w:rsidRPr="00414345" w:rsidTr="005D67C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81,175,625.32</w:t>
            </w:r>
          </w:p>
        </w:tc>
      </w:tr>
      <w:tr w:rsidR="005D67C9" w:rsidRPr="00414345" w:rsidTr="005D67C9">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1.0160</w:t>
            </w:r>
          </w:p>
        </w:tc>
      </w:tr>
    </w:tbl>
    <w:p w:rsidR="0038710D" w:rsidRDefault="005D67C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993"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1023"/>
      </w:tblGrid>
      <w:tr w:rsidR="00EF6FA5" w:rsidRPr="00414345" w:rsidTr="005D67C9">
        <w:trPr>
          <w:jc w:val="center"/>
        </w:trPr>
        <w:tc>
          <w:tcPr>
            <w:tcW w:w="1701"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1045"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34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9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102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38710D" w:rsidTr="005D67C9">
        <w:trPr>
          <w:jc w:val="center"/>
        </w:trPr>
        <w:tc>
          <w:tcPr>
            <w:tcW w:w="1701" w:type="dxa"/>
            <w:vAlign w:val="center"/>
          </w:tcPr>
          <w:p w:rsidR="0038710D" w:rsidRDefault="005D67C9">
            <w:pPr>
              <w:jc w:val="left"/>
            </w:pPr>
            <w:r>
              <w:rPr>
                <w:color w:val="000000"/>
                <w:sz w:val="24"/>
                <w:szCs w:val="24"/>
              </w:rPr>
              <w:t>过去三个月</w:t>
            </w:r>
          </w:p>
        </w:tc>
        <w:tc>
          <w:tcPr>
            <w:tcW w:w="1045" w:type="dxa"/>
            <w:vAlign w:val="center"/>
          </w:tcPr>
          <w:p w:rsidR="0038710D" w:rsidRDefault="005D67C9">
            <w:pPr>
              <w:jc w:val="center"/>
            </w:pPr>
            <w:r>
              <w:rPr>
                <w:color w:val="000000"/>
                <w:sz w:val="24"/>
                <w:szCs w:val="24"/>
              </w:rPr>
              <w:t>-1.26%</w:t>
            </w:r>
          </w:p>
        </w:tc>
        <w:tc>
          <w:tcPr>
            <w:tcW w:w="1344" w:type="dxa"/>
            <w:vAlign w:val="center"/>
          </w:tcPr>
          <w:p w:rsidR="0038710D" w:rsidRDefault="005D67C9">
            <w:pPr>
              <w:jc w:val="center"/>
            </w:pPr>
            <w:r>
              <w:rPr>
                <w:color w:val="000000"/>
                <w:sz w:val="24"/>
                <w:szCs w:val="24"/>
              </w:rPr>
              <w:t>0.24%</w:t>
            </w:r>
          </w:p>
        </w:tc>
        <w:tc>
          <w:tcPr>
            <w:tcW w:w="1194" w:type="dxa"/>
            <w:vAlign w:val="center"/>
          </w:tcPr>
          <w:p w:rsidR="0038710D" w:rsidRDefault="005D67C9">
            <w:pPr>
              <w:jc w:val="center"/>
            </w:pPr>
            <w:r>
              <w:rPr>
                <w:color w:val="000000"/>
                <w:sz w:val="24"/>
                <w:szCs w:val="24"/>
              </w:rPr>
              <w:t>0.39%</w:t>
            </w:r>
          </w:p>
        </w:tc>
        <w:tc>
          <w:tcPr>
            <w:tcW w:w="1492" w:type="dxa"/>
            <w:vAlign w:val="center"/>
          </w:tcPr>
          <w:p w:rsidR="0038710D" w:rsidRDefault="005D67C9">
            <w:pPr>
              <w:jc w:val="center"/>
            </w:pPr>
            <w:r>
              <w:rPr>
                <w:color w:val="000000"/>
                <w:sz w:val="24"/>
                <w:szCs w:val="24"/>
              </w:rPr>
              <w:t>0.38%</w:t>
            </w:r>
          </w:p>
        </w:tc>
        <w:tc>
          <w:tcPr>
            <w:tcW w:w="1194" w:type="dxa"/>
            <w:vAlign w:val="center"/>
          </w:tcPr>
          <w:p w:rsidR="0038710D" w:rsidRDefault="005D67C9">
            <w:pPr>
              <w:jc w:val="center"/>
            </w:pPr>
            <w:r>
              <w:rPr>
                <w:color w:val="000000"/>
                <w:sz w:val="24"/>
                <w:szCs w:val="24"/>
              </w:rPr>
              <w:t>-1.65%</w:t>
            </w:r>
          </w:p>
        </w:tc>
        <w:tc>
          <w:tcPr>
            <w:tcW w:w="1023" w:type="dxa"/>
            <w:vAlign w:val="center"/>
          </w:tcPr>
          <w:p w:rsidR="0038710D" w:rsidRDefault="005D67C9">
            <w:pPr>
              <w:jc w:val="center"/>
            </w:pPr>
            <w:r>
              <w:rPr>
                <w:color w:val="000000"/>
                <w:sz w:val="24"/>
                <w:szCs w:val="24"/>
              </w:rPr>
              <w:t>-0.14%</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交银施罗德致远量化智投策略定期开放混合型证券投资基金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2018</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18</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2019</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57594" w:rsidRPr="006714A4" w:rsidRDefault="006714A4" w:rsidP="00C15CAC">
      <w:pPr>
        <w:tabs>
          <w:tab w:val="left" w:pos="1800"/>
        </w:tabs>
        <w:spacing w:before="29" w:line="288" w:lineRule="auto"/>
        <w:rPr>
          <w:color w:val="000000"/>
          <w:sz w:val="24"/>
          <w:szCs w:val="24"/>
        </w:rPr>
      </w:pPr>
      <w:r w:rsidRPr="006714A4">
        <w:rPr>
          <w:rFonts w:hint="eastAsia"/>
          <w:color w:val="000000"/>
          <w:sz w:val="24"/>
          <w:szCs w:val="24"/>
        </w:rPr>
        <w:t>注：本基金基金合同生效日为</w:t>
      </w:r>
      <w:r w:rsidRPr="006714A4">
        <w:rPr>
          <w:rFonts w:hint="eastAsia"/>
          <w:color w:val="000000"/>
          <w:sz w:val="24"/>
          <w:szCs w:val="24"/>
        </w:rPr>
        <w:t>2018</w:t>
      </w:r>
      <w:r w:rsidRPr="006714A4">
        <w:rPr>
          <w:rFonts w:hint="eastAsia"/>
          <w:color w:val="000000"/>
          <w:sz w:val="24"/>
          <w:szCs w:val="24"/>
        </w:rPr>
        <w:t>年</w:t>
      </w:r>
      <w:r w:rsidRPr="006714A4">
        <w:rPr>
          <w:rFonts w:hint="eastAsia"/>
          <w:color w:val="000000"/>
          <w:sz w:val="24"/>
          <w:szCs w:val="24"/>
        </w:rPr>
        <w:t>5</w:t>
      </w:r>
      <w:r w:rsidRPr="006714A4">
        <w:rPr>
          <w:rFonts w:hint="eastAsia"/>
          <w:color w:val="000000"/>
          <w:sz w:val="24"/>
          <w:szCs w:val="24"/>
        </w:rPr>
        <w:t>月</w:t>
      </w:r>
      <w:r w:rsidRPr="006714A4">
        <w:rPr>
          <w:rFonts w:hint="eastAsia"/>
          <w:color w:val="000000"/>
          <w:sz w:val="24"/>
          <w:szCs w:val="24"/>
        </w:rPr>
        <w:t>18</w:t>
      </w:r>
      <w:r w:rsidRPr="006714A4">
        <w:rPr>
          <w:rFonts w:hint="eastAsia"/>
          <w:color w:val="000000"/>
          <w:sz w:val="24"/>
          <w:szCs w:val="24"/>
        </w:rPr>
        <w:t>日，截至报告期期末，本基金已完成建仓但报告期期末距建仓结束未满一年。本基金建仓期为自基金合同生效日起的</w:t>
      </w:r>
      <w:r w:rsidRPr="006714A4">
        <w:rPr>
          <w:rFonts w:hint="eastAsia"/>
          <w:color w:val="000000"/>
          <w:sz w:val="24"/>
          <w:szCs w:val="24"/>
        </w:rPr>
        <w:t>6</w:t>
      </w:r>
      <w:r w:rsidRPr="006714A4">
        <w:rPr>
          <w:rFonts w:hint="eastAsia"/>
          <w:color w:val="000000"/>
          <w:sz w:val="24"/>
          <w:szCs w:val="24"/>
        </w:rPr>
        <w:t>个月。截至建仓期结束，本基金各项资产配置比例符合基金合同及招募说明书有关投资比例的约定。</w:t>
      </w:r>
      <w:bookmarkStart w:id="0" w:name="_GoBack"/>
      <w:bookmarkEnd w:id="0"/>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38710D">
        <w:trPr>
          <w:jc w:val="center"/>
        </w:trPr>
        <w:tc>
          <w:tcPr>
            <w:tcW w:w="846" w:type="dxa"/>
            <w:vAlign w:val="center"/>
          </w:tcPr>
          <w:p w:rsidR="0038710D" w:rsidRDefault="005D67C9">
            <w:pPr>
              <w:jc w:val="center"/>
            </w:pPr>
            <w:r>
              <w:rPr>
                <w:color w:val="000000"/>
                <w:sz w:val="24"/>
                <w:szCs w:val="24"/>
              </w:rPr>
              <w:t>蔡铮</w:t>
            </w:r>
          </w:p>
        </w:tc>
        <w:tc>
          <w:tcPr>
            <w:tcW w:w="845" w:type="dxa"/>
            <w:vAlign w:val="center"/>
          </w:tcPr>
          <w:p w:rsidR="0038710D" w:rsidRDefault="005D67C9">
            <w:pPr>
              <w:jc w:val="center"/>
            </w:pPr>
            <w:r>
              <w:rPr>
                <w:color w:val="000000"/>
                <w:sz w:val="24"/>
                <w:szCs w:val="24"/>
              </w:rPr>
              <w:t>交银上证</w:t>
            </w:r>
            <w:r>
              <w:rPr>
                <w:color w:val="000000"/>
                <w:sz w:val="24"/>
                <w:szCs w:val="24"/>
              </w:rPr>
              <w:t>180</w:t>
            </w:r>
            <w:r>
              <w:rPr>
                <w:color w:val="000000"/>
                <w:sz w:val="24"/>
                <w:szCs w:val="24"/>
              </w:rPr>
              <w:t>公司治理</w:t>
            </w:r>
            <w:r>
              <w:rPr>
                <w:color w:val="000000"/>
                <w:sz w:val="24"/>
                <w:szCs w:val="24"/>
              </w:rPr>
              <w:t>ETF</w:t>
            </w:r>
            <w:r>
              <w:rPr>
                <w:color w:val="000000"/>
                <w:sz w:val="24"/>
                <w:szCs w:val="24"/>
              </w:rPr>
              <w:t>及其联接、交银深证</w:t>
            </w:r>
            <w:r>
              <w:rPr>
                <w:color w:val="000000"/>
                <w:sz w:val="24"/>
                <w:szCs w:val="24"/>
              </w:rPr>
              <w:t>300</w:t>
            </w:r>
            <w:r>
              <w:rPr>
                <w:color w:val="000000"/>
                <w:sz w:val="24"/>
                <w:szCs w:val="24"/>
              </w:rPr>
              <w:t>价值</w:t>
            </w:r>
            <w:r>
              <w:rPr>
                <w:color w:val="000000"/>
                <w:sz w:val="24"/>
                <w:szCs w:val="24"/>
              </w:rPr>
              <w:t>ETF</w:t>
            </w:r>
            <w:r>
              <w:rPr>
                <w:color w:val="000000"/>
                <w:sz w:val="24"/>
                <w:szCs w:val="24"/>
              </w:rPr>
              <w:t>及其</w:t>
            </w:r>
            <w:r>
              <w:rPr>
                <w:color w:val="000000"/>
                <w:sz w:val="24"/>
                <w:szCs w:val="24"/>
              </w:rPr>
              <w:lastRenderedPageBreak/>
              <w:t>联接、交银国证新能源指数分级、交银中证海外中国互联网指数（</w:t>
            </w:r>
            <w:r>
              <w:rPr>
                <w:color w:val="000000"/>
                <w:sz w:val="24"/>
                <w:szCs w:val="24"/>
              </w:rPr>
              <w:t>QDII-LOF)</w:t>
            </w:r>
            <w:r>
              <w:rPr>
                <w:color w:val="000000"/>
                <w:sz w:val="24"/>
                <w:szCs w:val="24"/>
              </w:rPr>
              <w:t>、交银中证互联网金融指数分级、交银中证环境治理指数（</w:t>
            </w:r>
            <w:r>
              <w:rPr>
                <w:color w:val="000000"/>
                <w:sz w:val="24"/>
                <w:szCs w:val="24"/>
              </w:rPr>
              <w:t>LOF</w:t>
            </w:r>
            <w:r>
              <w:rPr>
                <w:color w:val="000000"/>
                <w:sz w:val="24"/>
                <w:szCs w:val="24"/>
              </w:rPr>
              <w:t>）、交银致远智投混合的基金经理，公司量化投资副总监兼多元资产管理副总</w:t>
            </w:r>
            <w:r>
              <w:rPr>
                <w:color w:val="000000"/>
                <w:sz w:val="24"/>
                <w:szCs w:val="24"/>
              </w:rPr>
              <w:lastRenderedPageBreak/>
              <w:t>监</w:t>
            </w:r>
          </w:p>
        </w:tc>
        <w:tc>
          <w:tcPr>
            <w:tcW w:w="1549" w:type="dxa"/>
            <w:vAlign w:val="center"/>
          </w:tcPr>
          <w:p w:rsidR="0038710D" w:rsidRDefault="005D67C9">
            <w:pPr>
              <w:jc w:val="center"/>
            </w:pPr>
            <w:r>
              <w:rPr>
                <w:color w:val="000000"/>
                <w:sz w:val="24"/>
                <w:szCs w:val="24"/>
              </w:rPr>
              <w:lastRenderedPageBreak/>
              <w:t>2018-05-18</w:t>
            </w:r>
          </w:p>
        </w:tc>
        <w:tc>
          <w:tcPr>
            <w:tcW w:w="1548" w:type="dxa"/>
            <w:vAlign w:val="center"/>
          </w:tcPr>
          <w:p w:rsidR="0038710D" w:rsidRDefault="005D67C9">
            <w:pPr>
              <w:jc w:val="center"/>
            </w:pPr>
            <w:r>
              <w:rPr>
                <w:color w:val="000000"/>
                <w:sz w:val="24"/>
                <w:szCs w:val="24"/>
              </w:rPr>
              <w:t>-</w:t>
            </w:r>
          </w:p>
        </w:tc>
        <w:tc>
          <w:tcPr>
            <w:tcW w:w="1407" w:type="dxa"/>
            <w:vAlign w:val="center"/>
          </w:tcPr>
          <w:p w:rsidR="0038710D" w:rsidRDefault="005D67C9">
            <w:pPr>
              <w:jc w:val="center"/>
            </w:pPr>
            <w:r>
              <w:rPr>
                <w:color w:val="000000"/>
                <w:sz w:val="24"/>
                <w:szCs w:val="24"/>
              </w:rPr>
              <w:t>10</w:t>
            </w:r>
            <w:r>
              <w:rPr>
                <w:color w:val="000000"/>
                <w:sz w:val="24"/>
                <w:szCs w:val="24"/>
              </w:rPr>
              <w:t>年</w:t>
            </w:r>
          </w:p>
        </w:tc>
        <w:tc>
          <w:tcPr>
            <w:tcW w:w="2673" w:type="dxa"/>
            <w:vAlign w:val="center"/>
          </w:tcPr>
          <w:p w:rsidR="0038710D" w:rsidRDefault="005D67C9">
            <w:r>
              <w:rPr>
                <w:color w:val="000000"/>
                <w:sz w:val="24"/>
                <w:szCs w:val="24"/>
              </w:rPr>
              <w:t>蔡铮先生，中国国籍，复旦大学电子工程硕士。历任瑞士银行香港分行分析员。</w:t>
            </w:r>
            <w:r>
              <w:rPr>
                <w:color w:val="000000"/>
                <w:sz w:val="24"/>
                <w:szCs w:val="24"/>
              </w:rPr>
              <w:t>2009</w:t>
            </w:r>
            <w:r>
              <w:rPr>
                <w:color w:val="000000"/>
                <w:sz w:val="24"/>
                <w:szCs w:val="24"/>
              </w:rPr>
              <w:t>年加入交银施罗德基金管理有限公司，历任投资研究部数量分析师、基金经理助理、量化投资部助理总经理、量化投资部副总经理。</w:t>
            </w:r>
            <w:r>
              <w:rPr>
                <w:color w:val="000000"/>
                <w:sz w:val="24"/>
                <w:szCs w:val="24"/>
              </w:rPr>
              <w:t>2012</w:t>
            </w:r>
            <w:r>
              <w:rPr>
                <w:color w:val="000000"/>
                <w:sz w:val="24"/>
                <w:szCs w:val="24"/>
              </w:rPr>
              <w:t>年</w:t>
            </w:r>
            <w:r>
              <w:rPr>
                <w:color w:val="000000"/>
                <w:sz w:val="24"/>
                <w:szCs w:val="24"/>
              </w:rPr>
              <w:t>12</w:t>
            </w:r>
            <w:r>
              <w:rPr>
                <w:color w:val="000000"/>
                <w:sz w:val="24"/>
                <w:szCs w:val="24"/>
              </w:rPr>
              <w:t>月</w:t>
            </w:r>
            <w:r>
              <w:rPr>
                <w:color w:val="000000"/>
                <w:sz w:val="24"/>
                <w:szCs w:val="24"/>
              </w:rPr>
              <w:t>27</w:t>
            </w:r>
            <w:r>
              <w:rPr>
                <w:color w:val="000000"/>
                <w:sz w:val="24"/>
                <w:szCs w:val="24"/>
              </w:rPr>
              <w:t>日至</w:t>
            </w:r>
            <w:r>
              <w:rPr>
                <w:color w:val="000000"/>
                <w:sz w:val="24"/>
                <w:szCs w:val="24"/>
              </w:rPr>
              <w:t>2015</w:t>
            </w:r>
            <w:r>
              <w:rPr>
                <w:color w:val="000000"/>
                <w:sz w:val="24"/>
                <w:szCs w:val="24"/>
              </w:rPr>
              <w:t>年</w:t>
            </w:r>
            <w:r>
              <w:rPr>
                <w:color w:val="000000"/>
                <w:sz w:val="24"/>
                <w:szCs w:val="24"/>
              </w:rPr>
              <w:t>6</w:t>
            </w:r>
            <w:r>
              <w:rPr>
                <w:color w:val="000000"/>
                <w:sz w:val="24"/>
                <w:szCs w:val="24"/>
              </w:rPr>
              <w:t>月</w:t>
            </w:r>
            <w:r>
              <w:rPr>
                <w:color w:val="000000"/>
                <w:sz w:val="24"/>
                <w:szCs w:val="24"/>
              </w:rPr>
              <w:t>30</w:t>
            </w:r>
            <w:r>
              <w:rPr>
                <w:color w:val="000000"/>
                <w:sz w:val="24"/>
                <w:szCs w:val="24"/>
              </w:rPr>
              <w:t>日担任交银施罗德沪深</w:t>
            </w:r>
            <w:r>
              <w:rPr>
                <w:color w:val="000000"/>
                <w:sz w:val="24"/>
                <w:szCs w:val="24"/>
              </w:rPr>
              <w:t>300</w:t>
            </w:r>
            <w:r>
              <w:rPr>
                <w:color w:val="000000"/>
                <w:sz w:val="24"/>
                <w:szCs w:val="24"/>
              </w:rPr>
              <w:t>行业分层等权重指数证券投资基金基金</w:t>
            </w:r>
            <w:r>
              <w:rPr>
                <w:color w:val="000000"/>
                <w:sz w:val="24"/>
                <w:szCs w:val="24"/>
              </w:rPr>
              <w:lastRenderedPageBreak/>
              <w:t>经理，</w:t>
            </w:r>
            <w:r>
              <w:rPr>
                <w:color w:val="000000"/>
                <w:sz w:val="24"/>
                <w:szCs w:val="24"/>
              </w:rPr>
              <w:t>2015</w:t>
            </w:r>
            <w:r>
              <w:rPr>
                <w:color w:val="000000"/>
                <w:sz w:val="24"/>
                <w:szCs w:val="24"/>
              </w:rPr>
              <w:t>年</w:t>
            </w:r>
            <w:r>
              <w:rPr>
                <w:color w:val="000000"/>
                <w:sz w:val="24"/>
                <w:szCs w:val="24"/>
              </w:rPr>
              <w:t>4</w:t>
            </w:r>
            <w:r>
              <w:rPr>
                <w:color w:val="000000"/>
                <w:sz w:val="24"/>
                <w:szCs w:val="24"/>
              </w:rPr>
              <w:t>月</w:t>
            </w:r>
            <w:r>
              <w:rPr>
                <w:color w:val="000000"/>
                <w:sz w:val="24"/>
                <w:szCs w:val="24"/>
              </w:rPr>
              <w:t>22</w:t>
            </w:r>
            <w:r>
              <w:rPr>
                <w:color w:val="000000"/>
                <w:sz w:val="24"/>
                <w:szCs w:val="24"/>
              </w:rPr>
              <w:t>日至</w:t>
            </w:r>
            <w:r>
              <w:rPr>
                <w:color w:val="000000"/>
                <w:sz w:val="24"/>
                <w:szCs w:val="24"/>
              </w:rPr>
              <w:t>2017</w:t>
            </w:r>
            <w:r>
              <w:rPr>
                <w:color w:val="000000"/>
                <w:sz w:val="24"/>
                <w:szCs w:val="24"/>
              </w:rPr>
              <w:t>年</w:t>
            </w:r>
            <w:r>
              <w:rPr>
                <w:color w:val="000000"/>
                <w:sz w:val="24"/>
                <w:szCs w:val="24"/>
              </w:rPr>
              <w:t>3</w:t>
            </w:r>
            <w:r>
              <w:rPr>
                <w:color w:val="000000"/>
                <w:sz w:val="24"/>
                <w:szCs w:val="24"/>
              </w:rPr>
              <w:t>月</w:t>
            </w:r>
            <w:r>
              <w:rPr>
                <w:color w:val="000000"/>
                <w:sz w:val="24"/>
                <w:szCs w:val="24"/>
              </w:rPr>
              <w:t>24</w:t>
            </w:r>
            <w:r>
              <w:rPr>
                <w:color w:val="000000"/>
                <w:sz w:val="24"/>
                <w:szCs w:val="24"/>
              </w:rPr>
              <w:t>日担任交银施罗德环球精选价值证券投资基金基金经理，</w:t>
            </w:r>
            <w:r>
              <w:rPr>
                <w:color w:val="000000"/>
                <w:sz w:val="24"/>
                <w:szCs w:val="24"/>
              </w:rPr>
              <w:t>2015</w:t>
            </w:r>
            <w:r>
              <w:rPr>
                <w:color w:val="000000"/>
                <w:sz w:val="24"/>
                <w:szCs w:val="24"/>
              </w:rPr>
              <w:t>年</w:t>
            </w:r>
            <w:r>
              <w:rPr>
                <w:color w:val="000000"/>
                <w:sz w:val="24"/>
                <w:szCs w:val="24"/>
              </w:rPr>
              <w:t>4</w:t>
            </w:r>
            <w:r>
              <w:rPr>
                <w:color w:val="000000"/>
                <w:sz w:val="24"/>
                <w:szCs w:val="24"/>
              </w:rPr>
              <w:t>月</w:t>
            </w:r>
            <w:r>
              <w:rPr>
                <w:color w:val="000000"/>
                <w:sz w:val="24"/>
                <w:szCs w:val="24"/>
              </w:rPr>
              <w:t>22</w:t>
            </w:r>
            <w:r>
              <w:rPr>
                <w:color w:val="000000"/>
                <w:sz w:val="24"/>
                <w:szCs w:val="24"/>
              </w:rPr>
              <w:t>日至</w:t>
            </w:r>
            <w:r>
              <w:rPr>
                <w:color w:val="000000"/>
                <w:sz w:val="24"/>
                <w:szCs w:val="24"/>
              </w:rPr>
              <w:t>2017</w:t>
            </w:r>
            <w:r>
              <w:rPr>
                <w:color w:val="000000"/>
                <w:sz w:val="24"/>
                <w:szCs w:val="24"/>
              </w:rPr>
              <w:t>年</w:t>
            </w:r>
            <w:r>
              <w:rPr>
                <w:color w:val="000000"/>
                <w:sz w:val="24"/>
                <w:szCs w:val="24"/>
              </w:rPr>
              <w:t>3</w:t>
            </w:r>
            <w:r>
              <w:rPr>
                <w:color w:val="000000"/>
                <w:sz w:val="24"/>
                <w:szCs w:val="24"/>
              </w:rPr>
              <w:t>月</w:t>
            </w:r>
            <w:r>
              <w:rPr>
                <w:color w:val="000000"/>
                <w:sz w:val="24"/>
                <w:szCs w:val="24"/>
              </w:rPr>
              <w:t>24</w:t>
            </w:r>
            <w:r>
              <w:rPr>
                <w:color w:val="000000"/>
                <w:sz w:val="24"/>
                <w:szCs w:val="24"/>
              </w:rPr>
              <w:t>日担任交银施罗德全球自然资源证券投资基金基金经理，</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13</w:t>
            </w:r>
            <w:r>
              <w:rPr>
                <w:color w:val="000000"/>
                <w:sz w:val="24"/>
                <w:szCs w:val="24"/>
              </w:rPr>
              <w:t>日至</w:t>
            </w:r>
            <w:r>
              <w:rPr>
                <w:color w:val="000000"/>
                <w:sz w:val="24"/>
                <w:szCs w:val="24"/>
              </w:rPr>
              <w:t>2016</w:t>
            </w:r>
            <w:r>
              <w:rPr>
                <w:color w:val="000000"/>
                <w:sz w:val="24"/>
                <w:szCs w:val="24"/>
              </w:rPr>
              <w:t>年</w:t>
            </w:r>
            <w:r>
              <w:rPr>
                <w:color w:val="000000"/>
                <w:sz w:val="24"/>
                <w:szCs w:val="24"/>
              </w:rPr>
              <w:t>7</w:t>
            </w:r>
            <w:r>
              <w:rPr>
                <w:color w:val="000000"/>
                <w:sz w:val="24"/>
                <w:szCs w:val="24"/>
              </w:rPr>
              <w:t>月</w:t>
            </w:r>
            <w:r>
              <w:rPr>
                <w:color w:val="000000"/>
                <w:sz w:val="24"/>
                <w:szCs w:val="24"/>
              </w:rPr>
              <w:t>18</w:t>
            </w:r>
            <w:r>
              <w:rPr>
                <w:color w:val="000000"/>
                <w:sz w:val="24"/>
                <w:szCs w:val="24"/>
              </w:rPr>
              <w:t>日担任交银施罗德中证环境治理指数分级证券投资基金基金经理。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38710D" w:rsidRDefault="005D67C9">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38710D" w:rsidRDefault="005D67C9">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38710D" w:rsidRDefault="005D67C9">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次，是投资组合因投资策略需要而发生同日反向交易，未发现不公平交易和利益输送的情况。本基金与本公司管理的其他投资组合在不同时间窗下（如日内、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38710D" w:rsidRDefault="005D67C9">
      <w:pPr>
        <w:spacing w:before="29" w:line="288" w:lineRule="auto"/>
        <w:ind w:firstLineChars="200" w:firstLine="480"/>
        <w:rPr>
          <w:color w:val="000000"/>
          <w:sz w:val="24"/>
          <w:szCs w:val="24"/>
        </w:rPr>
      </w:pPr>
      <w:r>
        <w:rPr>
          <w:color w:val="000000"/>
          <w:sz w:val="24"/>
          <w:szCs w:val="24"/>
        </w:rPr>
        <w:t>2019</w:t>
      </w:r>
      <w:r>
        <w:rPr>
          <w:color w:val="000000"/>
          <w:sz w:val="24"/>
          <w:szCs w:val="24"/>
        </w:rPr>
        <w:t>年二季度国内宏观环境基本稳定，经济增速延续稳中偏弱格局，通胀和流动性保持平稳，财政政策持续发力。年初的快速上涨使得市场情绪显著修复，成交大幅回</w:t>
      </w:r>
      <w:r>
        <w:rPr>
          <w:color w:val="000000"/>
          <w:sz w:val="24"/>
          <w:szCs w:val="24"/>
        </w:rPr>
        <w:lastRenderedPageBreak/>
        <w:t>暖，但四月之后市场出现较大幅调整，投资者情绪回归冷静。直至六月中旬科创板宣布正式开板，市场信心有所提振。债券市场方面，自二季度初快速调整后逐步企稳回升。在上述市场环境下，本基金采取定期不定额的模式进行投资，固定收益部分配置了较高信用等级的固定收益资产作为收益增强，净值表现总体呈现先下行后震荡的走势。</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2019</w:t>
      </w:r>
      <w:r w:rsidRPr="00414345">
        <w:rPr>
          <w:color w:val="000000"/>
          <w:sz w:val="24"/>
          <w:szCs w:val="24"/>
        </w:rPr>
        <w:t>年三季度，我们认为经济增速压力犹存，开放创新将释放经济增长的内在潜力。减税降费将仍是下半年经济工作的重心，推动居民收入与企业盈利进一步改善，但对于消费端和投资端的拉动作用可能还有待验证。总体而言，从中长期来看我们对</w:t>
      </w:r>
      <w:r w:rsidRPr="00414345">
        <w:rPr>
          <w:color w:val="000000"/>
          <w:sz w:val="24"/>
          <w:szCs w:val="24"/>
        </w:rPr>
        <w:t>A</w:t>
      </w:r>
      <w:r w:rsidRPr="00414345">
        <w:rPr>
          <w:color w:val="000000"/>
          <w:sz w:val="24"/>
          <w:szCs w:val="24"/>
        </w:rPr>
        <w:t>股市场仍维持谨慎乐观的看法。</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 xml:space="preserve">“3.1 </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“3.2.1</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CE39AB">
              <w:rPr>
                <w:rFonts w:eastAsiaTheme="minorEastAsia" w:hint="eastAsia"/>
                <w:color w:val="000000" w:themeColor="text1"/>
                <w:sz w:val="24"/>
                <w:szCs w:val="24"/>
              </w:rPr>
              <w:t>（</w:t>
            </w:r>
            <w:r w:rsidR="00CE39AB">
              <w:rPr>
                <w:rFonts w:eastAsiaTheme="minorEastAsia" w:hint="eastAsia"/>
                <w:color w:val="000000" w:themeColor="text1"/>
                <w:sz w:val="24"/>
                <w:szCs w:val="24"/>
              </w:rPr>
              <w:t>%</w:t>
            </w:r>
            <w:r w:rsidR="00CE39A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13,194,958.22</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16.20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13,194,958.22</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16.20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48,900,000.00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60.03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48,900,000.00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60.03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19,239,683.15</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23.62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118,126.81</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0.15</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81,452,768.18</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301,308.00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0.37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483,222.00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0.60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7,382,903.10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9.09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598,711.00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0.74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296,103.00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480,340.92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0.59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394,421.60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93,632.00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0.12</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792,145.20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0.98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438,278.00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0.54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1,004,933.40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170,373.00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399,045.00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359,542.00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13,194,958.22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16.25</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lastRenderedPageBreak/>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38710D">
        <w:trPr>
          <w:jc w:val="center"/>
        </w:trPr>
        <w:tc>
          <w:tcPr>
            <w:tcW w:w="855" w:type="dxa"/>
            <w:vAlign w:val="center"/>
          </w:tcPr>
          <w:p w:rsidR="0038710D" w:rsidRDefault="005D67C9">
            <w:pPr>
              <w:jc w:val="center"/>
            </w:pPr>
            <w:r>
              <w:rPr>
                <w:color w:val="000000"/>
                <w:sz w:val="24"/>
                <w:szCs w:val="24"/>
              </w:rPr>
              <w:t>1</w:t>
            </w:r>
          </w:p>
        </w:tc>
        <w:tc>
          <w:tcPr>
            <w:tcW w:w="1334" w:type="dxa"/>
            <w:vAlign w:val="center"/>
          </w:tcPr>
          <w:p w:rsidR="0038710D" w:rsidRDefault="005D67C9">
            <w:pPr>
              <w:jc w:val="center"/>
            </w:pPr>
            <w:r>
              <w:rPr>
                <w:color w:val="000000"/>
                <w:sz w:val="24"/>
                <w:szCs w:val="24"/>
              </w:rPr>
              <w:t>002195</w:t>
            </w:r>
          </w:p>
        </w:tc>
        <w:tc>
          <w:tcPr>
            <w:tcW w:w="1777" w:type="dxa"/>
            <w:vAlign w:val="center"/>
          </w:tcPr>
          <w:p w:rsidR="0038710D" w:rsidRDefault="005D67C9">
            <w:pPr>
              <w:jc w:val="center"/>
            </w:pPr>
            <w:r>
              <w:rPr>
                <w:color w:val="000000"/>
                <w:sz w:val="24"/>
                <w:szCs w:val="24"/>
              </w:rPr>
              <w:t>二三四五</w:t>
            </w:r>
          </w:p>
        </w:tc>
        <w:tc>
          <w:tcPr>
            <w:tcW w:w="1334" w:type="dxa"/>
            <w:vAlign w:val="center"/>
          </w:tcPr>
          <w:p w:rsidR="0038710D" w:rsidRDefault="005D67C9">
            <w:pPr>
              <w:jc w:val="right"/>
            </w:pPr>
            <w:r>
              <w:rPr>
                <w:color w:val="000000"/>
                <w:sz w:val="24"/>
                <w:szCs w:val="24"/>
              </w:rPr>
              <w:t>97,380</w:t>
            </w:r>
          </w:p>
        </w:tc>
        <w:tc>
          <w:tcPr>
            <w:tcW w:w="1924" w:type="dxa"/>
            <w:vAlign w:val="center"/>
          </w:tcPr>
          <w:p w:rsidR="0038710D" w:rsidRDefault="005D67C9">
            <w:pPr>
              <w:jc w:val="right"/>
            </w:pPr>
            <w:r>
              <w:rPr>
                <w:color w:val="000000"/>
                <w:sz w:val="24"/>
                <w:szCs w:val="24"/>
              </w:rPr>
              <w:t>378,808.20</w:t>
            </w:r>
          </w:p>
        </w:tc>
        <w:tc>
          <w:tcPr>
            <w:tcW w:w="1644" w:type="dxa"/>
            <w:vAlign w:val="center"/>
          </w:tcPr>
          <w:p w:rsidR="0038710D" w:rsidRDefault="005D67C9">
            <w:pPr>
              <w:jc w:val="right"/>
            </w:pPr>
            <w:r>
              <w:rPr>
                <w:color w:val="000000"/>
                <w:sz w:val="24"/>
                <w:szCs w:val="24"/>
              </w:rPr>
              <w:t>0.47</w:t>
            </w:r>
          </w:p>
        </w:tc>
      </w:tr>
      <w:tr w:rsidR="0038710D">
        <w:trPr>
          <w:jc w:val="center"/>
        </w:trPr>
        <w:tc>
          <w:tcPr>
            <w:tcW w:w="855" w:type="dxa"/>
            <w:vAlign w:val="center"/>
          </w:tcPr>
          <w:p w:rsidR="0038710D" w:rsidRDefault="005D67C9">
            <w:pPr>
              <w:jc w:val="center"/>
            </w:pPr>
            <w:r>
              <w:rPr>
                <w:color w:val="000000"/>
                <w:sz w:val="24"/>
                <w:szCs w:val="24"/>
              </w:rPr>
              <w:t>2</w:t>
            </w:r>
          </w:p>
        </w:tc>
        <w:tc>
          <w:tcPr>
            <w:tcW w:w="1334" w:type="dxa"/>
            <w:vAlign w:val="center"/>
          </w:tcPr>
          <w:p w:rsidR="0038710D" w:rsidRDefault="005D67C9">
            <w:pPr>
              <w:jc w:val="center"/>
            </w:pPr>
            <w:r>
              <w:rPr>
                <w:color w:val="000000"/>
                <w:sz w:val="24"/>
                <w:szCs w:val="24"/>
              </w:rPr>
              <w:t>002463</w:t>
            </w:r>
          </w:p>
        </w:tc>
        <w:tc>
          <w:tcPr>
            <w:tcW w:w="1777" w:type="dxa"/>
            <w:vAlign w:val="center"/>
          </w:tcPr>
          <w:p w:rsidR="0038710D" w:rsidRDefault="005D67C9">
            <w:pPr>
              <w:jc w:val="center"/>
            </w:pPr>
            <w:r>
              <w:rPr>
                <w:color w:val="000000"/>
                <w:sz w:val="24"/>
                <w:szCs w:val="24"/>
              </w:rPr>
              <w:t>沪电股份</w:t>
            </w:r>
          </w:p>
        </w:tc>
        <w:tc>
          <w:tcPr>
            <w:tcW w:w="1334" w:type="dxa"/>
            <w:vAlign w:val="center"/>
          </w:tcPr>
          <w:p w:rsidR="0038710D" w:rsidRDefault="005D67C9">
            <w:pPr>
              <w:jc w:val="right"/>
            </w:pPr>
            <w:r>
              <w:rPr>
                <w:color w:val="000000"/>
                <w:sz w:val="24"/>
                <w:szCs w:val="24"/>
              </w:rPr>
              <w:t>27,000</w:t>
            </w:r>
          </w:p>
        </w:tc>
        <w:tc>
          <w:tcPr>
            <w:tcW w:w="1924" w:type="dxa"/>
            <w:vAlign w:val="center"/>
          </w:tcPr>
          <w:p w:rsidR="0038710D" w:rsidRDefault="005D67C9">
            <w:pPr>
              <w:jc w:val="right"/>
            </w:pPr>
            <w:r>
              <w:rPr>
                <w:color w:val="000000"/>
                <w:sz w:val="24"/>
                <w:szCs w:val="24"/>
              </w:rPr>
              <w:t>367,740.00</w:t>
            </w:r>
          </w:p>
        </w:tc>
        <w:tc>
          <w:tcPr>
            <w:tcW w:w="1644" w:type="dxa"/>
            <w:vAlign w:val="center"/>
          </w:tcPr>
          <w:p w:rsidR="0038710D" w:rsidRDefault="005D67C9">
            <w:pPr>
              <w:jc w:val="right"/>
            </w:pPr>
            <w:r>
              <w:rPr>
                <w:color w:val="000000"/>
                <w:sz w:val="24"/>
                <w:szCs w:val="24"/>
              </w:rPr>
              <w:t>0.45</w:t>
            </w:r>
          </w:p>
        </w:tc>
      </w:tr>
      <w:tr w:rsidR="0038710D">
        <w:trPr>
          <w:jc w:val="center"/>
        </w:trPr>
        <w:tc>
          <w:tcPr>
            <w:tcW w:w="855" w:type="dxa"/>
            <w:vAlign w:val="center"/>
          </w:tcPr>
          <w:p w:rsidR="0038710D" w:rsidRDefault="005D67C9">
            <w:pPr>
              <w:jc w:val="center"/>
            </w:pPr>
            <w:r>
              <w:rPr>
                <w:color w:val="000000"/>
                <w:sz w:val="24"/>
                <w:szCs w:val="24"/>
              </w:rPr>
              <w:t>3</w:t>
            </w:r>
          </w:p>
        </w:tc>
        <w:tc>
          <w:tcPr>
            <w:tcW w:w="1334" w:type="dxa"/>
            <w:vAlign w:val="center"/>
          </w:tcPr>
          <w:p w:rsidR="0038710D" w:rsidRDefault="005D67C9">
            <w:pPr>
              <w:jc w:val="center"/>
            </w:pPr>
            <w:r>
              <w:rPr>
                <w:color w:val="000000"/>
                <w:sz w:val="24"/>
                <w:szCs w:val="24"/>
              </w:rPr>
              <w:t>603369</w:t>
            </w:r>
          </w:p>
        </w:tc>
        <w:tc>
          <w:tcPr>
            <w:tcW w:w="1777" w:type="dxa"/>
            <w:vAlign w:val="center"/>
          </w:tcPr>
          <w:p w:rsidR="0038710D" w:rsidRDefault="005D67C9">
            <w:pPr>
              <w:jc w:val="center"/>
            </w:pPr>
            <w:r>
              <w:rPr>
                <w:color w:val="000000"/>
                <w:sz w:val="24"/>
                <w:szCs w:val="24"/>
              </w:rPr>
              <w:t>今世缘</w:t>
            </w:r>
          </w:p>
        </w:tc>
        <w:tc>
          <w:tcPr>
            <w:tcW w:w="1334" w:type="dxa"/>
            <w:vAlign w:val="center"/>
          </w:tcPr>
          <w:p w:rsidR="0038710D" w:rsidRDefault="005D67C9">
            <w:pPr>
              <w:jc w:val="right"/>
            </w:pPr>
            <w:r>
              <w:rPr>
                <w:color w:val="000000"/>
                <w:sz w:val="24"/>
                <w:szCs w:val="24"/>
              </w:rPr>
              <w:t>12,000</w:t>
            </w:r>
          </w:p>
        </w:tc>
        <w:tc>
          <w:tcPr>
            <w:tcW w:w="1924" w:type="dxa"/>
            <w:vAlign w:val="center"/>
          </w:tcPr>
          <w:p w:rsidR="0038710D" w:rsidRDefault="005D67C9">
            <w:pPr>
              <w:jc w:val="right"/>
            </w:pPr>
            <w:r>
              <w:rPr>
                <w:color w:val="000000"/>
                <w:sz w:val="24"/>
                <w:szCs w:val="24"/>
              </w:rPr>
              <w:t>334,680.00</w:t>
            </w:r>
          </w:p>
        </w:tc>
        <w:tc>
          <w:tcPr>
            <w:tcW w:w="1644" w:type="dxa"/>
            <w:vAlign w:val="center"/>
          </w:tcPr>
          <w:p w:rsidR="0038710D" w:rsidRDefault="005D67C9">
            <w:pPr>
              <w:jc w:val="right"/>
            </w:pPr>
            <w:r>
              <w:rPr>
                <w:color w:val="000000"/>
                <w:sz w:val="24"/>
                <w:szCs w:val="24"/>
              </w:rPr>
              <w:t>0.41</w:t>
            </w:r>
          </w:p>
        </w:tc>
      </w:tr>
      <w:tr w:rsidR="0038710D">
        <w:trPr>
          <w:jc w:val="center"/>
        </w:trPr>
        <w:tc>
          <w:tcPr>
            <w:tcW w:w="855" w:type="dxa"/>
            <w:vAlign w:val="center"/>
          </w:tcPr>
          <w:p w:rsidR="0038710D" w:rsidRDefault="005D67C9">
            <w:pPr>
              <w:jc w:val="center"/>
            </w:pPr>
            <w:r>
              <w:rPr>
                <w:color w:val="000000"/>
                <w:sz w:val="24"/>
                <w:szCs w:val="24"/>
              </w:rPr>
              <w:t>4</w:t>
            </w:r>
          </w:p>
        </w:tc>
        <w:tc>
          <w:tcPr>
            <w:tcW w:w="1334" w:type="dxa"/>
            <w:vAlign w:val="center"/>
          </w:tcPr>
          <w:p w:rsidR="0038710D" w:rsidRDefault="005D67C9">
            <w:pPr>
              <w:jc w:val="center"/>
            </w:pPr>
            <w:r>
              <w:rPr>
                <w:color w:val="000000"/>
                <w:sz w:val="24"/>
                <w:szCs w:val="24"/>
              </w:rPr>
              <w:t>000596</w:t>
            </w:r>
          </w:p>
        </w:tc>
        <w:tc>
          <w:tcPr>
            <w:tcW w:w="1777" w:type="dxa"/>
            <w:vAlign w:val="center"/>
          </w:tcPr>
          <w:p w:rsidR="0038710D" w:rsidRDefault="005D67C9">
            <w:pPr>
              <w:jc w:val="center"/>
            </w:pPr>
            <w:r>
              <w:rPr>
                <w:color w:val="000000"/>
                <w:sz w:val="24"/>
                <w:szCs w:val="24"/>
              </w:rPr>
              <w:t>古井贡酒</w:t>
            </w:r>
          </w:p>
        </w:tc>
        <w:tc>
          <w:tcPr>
            <w:tcW w:w="1334" w:type="dxa"/>
            <w:vAlign w:val="center"/>
          </w:tcPr>
          <w:p w:rsidR="0038710D" w:rsidRDefault="005D67C9">
            <w:pPr>
              <w:jc w:val="right"/>
            </w:pPr>
            <w:r>
              <w:rPr>
                <w:color w:val="000000"/>
                <w:sz w:val="24"/>
                <w:szCs w:val="24"/>
              </w:rPr>
              <w:t>2,700</w:t>
            </w:r>
          </w:p>
        </w:tc>
        <w:tc>
          <w:tcPr>
            <w:tcW w:w="1924" w:type="dxa"/>
            <w:vAlign w:val="center"/>
          </w:tcPr>
          <w:p w:rsidR="0038710D" w:rsidRDefault="005D67C9">
            <w:pPr>
              <w:jc w:val="right"/>
            </w:pPr>
            <w:r>
              <w:rPr>
                <w:color w:val="000000"/>
                <w:sz w:val="24"/>
                <w:szCs w:val="24"/>
              </w:rPr>
              <w:t>319,977.00</w:t>
            </w:r>
          </w:p>
        </w:tc>
        <w:tc>
          <w:tcPr>
            <w:tcW w:w="1644" w:type="dxa"/>
            <w:vAlign w:val="center"/>
          </w:tcPr>
          <w:p w:rsidR="0038710D" w:rsidRDefault="005D67C9">
            <w:pPr>
              <w:jc w:val="right"/>
            </w:pPr>
            <w:r>
              <w:rPr>
                <w:color w:val="000000"/>
                <w:sz w:val="24"/>
                <w:szCs w:val="24"/>
              </w:rPr>
              <w:t>0.39</w:t>
            </w:r>
          </w:p>
        </w:tc>
      </w:tr>
      <w:tr w:rsidR="0038710D">
        <w:trPr>
          <w:jc w:val="center"/>
        </w:trPr>
        <w:tc>
          <w:tcPr>
            <w:tcW w:w="855" w:type="dxa"/>
            <w:vAlign w:val="center"/>
          </w:tcPr>
          <w:p w:rsidR="0038710D" w:rsidRDefault="005D67C9">
            <w:pPr>
              <w:jc w:val="center"/>
            </w:pPr>
            <w:r>
              <w:rPr>
                <w:color w:val="000000"/>
                <w:sz w:val="24"/>
                <w:szCs w:val="24"/>
              </w:rPr>
              <w:t>5</w:t>
            </w:r>
          </w:p>
        </w:tc>
        <w:tc>
          <w:tcPr>
            <w:tcW w:w="1334" w:type="dxa"/>
            <w:vAlign w:val="center"/>
          </w:tcPr>
          <w:p w:rsidR="0038710D" w:rsidRDefault="005D67C9">
            <w:pPr>
              <w:jc w:val="center"/>
            </w:pPr>
            <w:r>
              <w:rPr>
                <w:color w:val="000000"/>
                <w:sz w:val="24"/>
                <w:szCs w:val="24"/>
              </w:rPr>
              <w:t>002299</w:t>
            </w:r>
          </w:p>
        </w:tc>
        <w:tc>
          <w:tcPr>
            <w:tcW w:w="1777" w:type="dxa"/>
            <w:vAlign w:val="center"/>
          </w:tcPr>
          <w:p w:rsidR="0038710D" w:rsidRDefault="005D67C9">
            <w:pPr>
              <w:jc w:val="center"/>
            </w:pPr>
            <w:r>
              <w:rPr>
                <w:color w:val="000000"/>
                <w:sz w:val="24"/>
                <w:szCs w:val="24"/>
              </w:rPr>
              <w:t>圣农发展</w:t>
            </w:r>
          </w:p>
        </w:tc>
        <w:tc>
          <w:tcPr>
            <w:tcW w:w="1334" w:type="dxa"/>
            <w:vAlign w:val="center"/>
          </w:tcPr>
          <w:p w:rsidR="0038710D" w:rsidRDefault="005D67C9">
            <w:pPr>
              <w:jc w:val="right"/>
            </w:pPr>
            <w:r>
              <w:rPr>
                <w:color w:val="000000"/>
                <w:sz w:val="24"/>
                <w:szCs w:val="24"/>
              </w:rPr>
              <w:t>11,900</w:t>
            </w:r>
          </w:p>
        </w:tc>
        <w:tc>
          <w:tcPr>
            <w:tcW w:w="1924" w:type="dxa"/>
            <w:vAlign w:val="center"/>
          </w:tcPr>
          <w:p w:rsidR="0038710D" w:rsidRDefault="005D67C9">
            <w:pPr>
              <w:jc w:val="right"/>
            </w:pPr>
            <w:r>
              <w:rPr>
                <w:color w:val="000000"/>
                <w:sz w:val="24"/>
                <w:szCs w:val="24"/>
              </w:rPr>
              <w:t>301,308.00</w:t>
            </w:r>
          </w:p>
        </w:tc>
        <w:tc>
          <w:tcPr>
            <w:tcW w:w="1644" w:type="dxa"/>
            <w:vAlign w:val="center"/>
          </w:tcPr>
          <w:p w:rsidR="0038710D" w:rsidRDefault="005D67C9">
            <w:pPr>
              <w:jc w:val="right"/>
            </w:pPr>
            <w:r>
              <w:rPr>
                <w:color w:val="000000"/>
                <w:sz w:val="24"/>
                <w:szCs w:val="24"/>
              </w:rPr>
              <w:t>0.37</w:t>
            </w:r>
          </w:p>
        </w:tc>
      </w:tr>
      <w:tr w:rsidR="0038710D">
        <w:trPr>
          <w:jc w:val="center"/>
        </w:trPr>
        <w:tc>
          <w:tcPr>
            <w:tcW w:w="855" w:type="dxa"/>
            <w:vAlign w:val="center"/>
          </w:tcPr>
          <w:p w:rsidR="0038710D" w:rsidRDefault="005D67C9">
            <w:pPr>
              <w:jc w:val="center"/>
            </w:pPr>
            <w:r>
              <w:rPr>
                <w:color w:val="000000"/>
                <w:sz w:val="24"/>
                <w:szCs w:val="24"/>
              </w:rPr>
              <w:t>6</w:t>
            </w:r>
          </w:p>
        </w:tc>
        <w:tc>
          <w:tcPr>
            <w:tcW w:w="1334" w:type="dxa"/>
            <w:vAlign w:val="center"/>
          </w:tcPr>
          <w:p w:rsidR="0038710D" w:rsidRDefault="005D67C9">
            <w:pPr>
              <w:jc w:val="center"/>
            </w:pPr>
            <w:r>
              <w:rPr>
                <w:color w:val="000000"/>
                <w:sz w:val="24"/>
                <w:szCs w:val="24"/>
              </w:rPr>
              <w:t>600699</w:t>
            </w:r>
          </w:p>
        </w:tc>
        <w:tc>
          <w:tcPr>
            <w:tcW w:w="1777" w:type="dxa"/>
            <w:vAlign w:val="center"/>
          </w:tcPr>
          <w:p w:rsidR="0038710D" w:rsidRDefault="005D67C9">
            <w:pPr>
              <w:jc w:val="center"/>
            </w:pPr>
            <w:r>
              <w:rPr>
                <w:color w:val="000000"/>
                <w:sz w:val="24"/>
                <w:szCs w:val="24"/>
              </w:rPr>
              <w:t>均胜电子</w:t>
            </w:r>
          </w:p>
        </w:tc>
        <w:tc>
          <w:tcPr>
            <w:tcW w:w="1334" w:type="dxa"/>
            <w:vAlign w:val="center"/>
          </w:tcPr>
          <w:p w:rsidR="0038710D" w:rsidRDefault="005D67C9">
            <w:pPr>
              <w:jc w:val="right"/>
            </w:pPr>
            <w:r>
              <w:rPr>
                <w:color w:val="000000"/>
                <w:sz w:val="24"/>
                <w:szCs w:val="24"/>
              </w:rPr>
              <w:t>13,700</w:t>
            </w:r>
          </w:p>
        </w:tc>
        <w:tc>
          <w:tcPr>
            <w:tcW w:w="1924" w:type="dxa"/>
            <w:vAlign w:val="center"/>
          </w:tcPr>
          <w:p w:rsidR="0038710D" w:rsidRDefault="005D67C9">
            <w:pPr>
              <w:jc w:val="right"/>
            </w:pPr>
            <w:r>
              <w:rPr>
                <w:color w:val="000000"/>
                <w:sz w:val="24"/>
                <w:szCs w:val="24"/>
              </w:rPr>
              <w:t>292,632.00</w:t>
            </w:r>
          </w:p>
        </w:tc>
        <w:tc>
          <w:tcPr>
            <w:tcW w:w="1644" w:type="dxa"/>
            <w:vAlign w:val="center"/>
          </w:tcPr>
          <w:p w:rsidR="0038710D" w:rsidRDefault="005D67C9">
            <w:pPr>
              <w:jc w:val="right"/>
            </w:pPr>
            <w:r>
              <w:rPr>
                <w:color w:val="000000"/>
                <w:sz w:val="24"/>
                <w:szCs w:val="24"/>
              </w:rPr>
              <w:t>0.36</w:t>
            </w:r>
          </w:p>
        </w:tc>
      </w:tr>
      <w:tr w:rsidR="0038710D">
        <w:trPr>
          <w:jc w:val="center"/>
        </w:trPr>
        <w:tc>
          <w:tcPr>
            <w:tcW w:w="855" w:type="dxa"/>
            <w:vAlign w:val="center"/>
          </w:tcPr>
          <w:p w:rsidR="0038710D" w:rsidRDefault="005D67C9">
            <w:pPr>
              <w:jc w:val="center"/>
            </w:pPr>
            <w:r>
              <w:rPr>
                <w:color w:val="000000"/>
                <w:sz w:val="24"/>
                <w:szCs w:val="24"/>
              </w:rPr>
              <w:t>7</w:t>
            </w:r>
          </w:p>
        </w:tc>
        <w:tc>
          <w:tcPr>
            <w:tcW w:w="1334" w:type="dxa"/>
            <w:vAlign w:val="center"/>
          </w:tcPr>
          <w:p w:rsidR="0038710D" w:rsidRDefault="005D67C9">
            <w:pPr>
              <w:jc w:val="center"/>
            </w:pPr>
            <w:r>
              <w:rPr>
                <w:color w:val="000000"/>
                <w:sz w:val="24"/>
                <w:szCs w:val="24"/>
              </w:rPr>
              <w:t>600673</w:t>
            </w:r>
          </w:p>
        </w:tc>
        <w:tc>
          <w:tcPr>
            <w:tcW w:w="1777" w:type="dxa"/>
            <w:vAlign w:val="center"/>
          </w:tcPr>
          <w:p w:rsidR="0038710D" w:rsidRDefault="005D67C9">
            <w:pPr>
              <w:jc w:val="center"/>
            </w:pPr>
            <w:r>
              <w:rPr>
                <w:color w:val="000000"/>
                <w:sz w:val="24"/>
                <w:szCs w:val="24"/>
              </w:rPr>
              <w:t>东阳光</w:t>
            </w:r>
          </w:p>
        </w:tc>
        <w:tc>
          <w:tcPr>
            <w:tcW w:w="1334" w:type="dxa"/>
            <w:vAlign w:val="center"/>
          </w:tcPr>
          <w:p w:rsidR="0038710D" w:rsidRDefault="005D67C9">
            <w:pPr>
              <w:jc w:val="right"/>
            </w:pPr>
            <w:r>
              <w:rPr>
                <w:color w:val="000000"/>
                <w:sz w:val="24"/>
                <w:szCs w:val="24"/>
              </w:rPr>
              <w:t>36,200</w:t>
            </w:r>
          </w:p>
        </w:tc>
        <w:tc>
          <w:tcPr>
            <w:tcW w:w="1924" w:type="dxa"/>
            <w:vAlign w:val="center"/>
          </w:tcPr>
          <w:p w:rsidR="0038710D" w:rsidRDefault="005D67C9">
            <w:pPr>
              <w:jc w:val="right"/>
            </w:pPr>
            <w:r>
              <w:rPr>
                <w:color w:val="000000"/>
                <w:sz w:val="24"/>
                <w:szCs w:val="24"/>
              </w:rPr>
              <w:t>284,170.00</w:t>
            </w:r>
          </w:p>
        </w:tc>
        <w:tc>
          <w:tcPr>
            <w:tcW w:w="1644" w:type="dxa"/>
            <w:vAlign w:val="center"/>
          </w:tcPr>
          <w:p w:rsidR="0038710D" w:rsidRDefault="005D67C9">
            <w:pPr>
              <w:jc w:val="right"/>
            </w:pPr>
            <w:r>
              <w:rPr>
                <w:color w:val="000000"/>
                <w:sz w:val="24"/>
                <w:szCs w:val="24"/>
              </w:rPr>
              <w:t>0.35</w:t>
            </w:r>
          </w:p>
        </w:tc>
      </w:tr>
      <w:tr w:rsidR="0038710D">
        <w:trPr>
          <w:jc w:val="center"/>
        </w:trPr>
        <w:tc>
          <w:tcPr>
            <w:tcW w:w="855" w:type="dxa"/>
            <w:vAlign w:val="center"/>
          </w:tcPr>
          <w:p w:rsidR="0038710D" w:rsidRDefault="005D67C9">
            <w:pPr>
              <w:jc w:val="center"/>
            </w:pPr>
            <w:r>
              <w:rPr>
                <w:color w:val="000000"/>
                <w:sz w:val="24"/>
                <w:szCs w:val="24"/>
              </w:rPr>
              <w:t>8</w:t>
            </w:r>
          </w:p>
        </w:tc>
        <w:tc>
          <w:tcPr>
            <w:tcW w:w="1334" w:type="dxa"/>
            <w:vAlign w:val="center"/>
          </w:tcPr>
          <w:p w:rsidR="0038710D" w:rsidRDefault="005D67C9">
            <w:pPr>
              <w:jc w:val="center"/>
            </w:pPr>
            <w:r>
              <w:rPr>
                <w:color w:val="000000"/>
                <w:sz w:val="24"/>
                <w:szCs w:val="24"/>
              </w:rPr>
              <w:t>000999</w:t>
            </w:r>
          </w:p>
        </w:tc>
        <w:tc>
          <w:tcPr>
            <w:tcW w:w="1777" w:type="dxa"/>
            <w:vAlign w:val="center"/>
          </w:tcPr>
          <w:p w:rsidR="0038710D" w:rsidRDefault="005D67C9">
            <w:pPr>
              <w:jc w:val="center"/>
            </w:pPr>
            <w:r>
              <w:rPr>
                <w:color w:val="000000"/>
                <w:sz w:val="24"/>
                <w:szCs w:val="24"/>
              </w:rPr>
              <w:t>华润三九</w:t>
            </w:r>
          </w:p>
        </w:tc>
        <w:tc>
          <w:tcPr>
            <w:tcW w:w="1334" w:type="dxa"/>
            <w:vAlign w:val="center"/>
          </w:tcPr>
          <w:p w:rsidR="0038710D" w:rsidRDefault="005D67C9">
            <w:pPr>
              <w:jc w:val="right"/>
            </w:pPr>
            <w:r>
              <w:rPr>
                <w:color w:val="000000"/>
                <w:sz w:val="24"/>
                <w:szCs w:val="24"/>
              </w:rPr>
              <w:t>9,400</w:t>
            </w:r>
          </w:p>
        </w:tc>
        <w:tc>
          <w:tcPr>
            <w:tcW w:w="1924" w:type="dxa"/>
            <w:vAlign w:val="center"/>
          </w:tcPr>
          <w:p w:rsidR="0038710D" w:rsidRDefault="005D67C9">
            <w:pPr>
              <w:jc w:val="right"/>
            </w:pPr>
            <w:r>
              <w:rPr>
                <w:color w:val="000000"/>
                <w:sz w:val="24"/>
                <w:szCs w:val="24"/>
              </w:rPr>
              <w:t>275,796.00</w:t>
            </w:r>
          </w:p>
        </w:tc>
        <w:tc>
          <w:tcPr>
            <w:tcW w:w="1644" w:type="dxa"/>
            <w:vAlign w:val="center"/>
          </w:tcPr>
          <w:p w:rsidR="0038710D" w:rsidRDefault="005D67C9">
            <w:pPr>
              <w:jc w:val="right"/>
            </w:pPr>
            <w:r>
              <w:rPr>
                <w:color w:val="000000"/>
                <w:sz w:val="24"/>
                <w:szCs w:val="24"/>
              </w:rPr>
              <w:t>0.34</w:t>
            </w:r>
          </w:p>
        </w:tc>
      </w:tr>
      <w:tr w:rsidR="0038710D">
        <w:trPr>
          <w:jc w:val="center"/>
        </w:trPr>
        <w:tc>
          <w:tcPr>
            <w:tcW w:w="855" w:type="dxa"/>
            <w:vAlign w:val="center"/>
          </w:tcPr>
          <w:p w:rsidR="0038710D" w:rsidRDefault="005D67C9">
            <w:pPr>
              <w:jc w:val="center"/>
            </w:pPr>
            <w:r>
              <w:rPr>
                <w:color w:val="000000"/>
                <w:sz w:val="24"/>
                <w:szCs w:val="24"/>
              </w:rPr>
              <w:t>9</w:t>
            </w:r>
          </w:p>
        </w:tc>
        <w:tc>
          <w:tcPr>
            <w:tcW w:w="1334" w:type="dxa"/>
            <w:vAlign w:val="center"/>
          </w:tcPr>
          <w:p w:rsidR="0038710D" w:rsidRDefault="005D67C9">
            <w:pPr>
              <w:jc w:val="center"/>
            </w:pPr>
            <w:r>
              <w:rPr>
                <w:color w:val="000000"/>
                <w:sz w:val="24"/>
                <w:szCs w:val="24"/>
              </w:rPr>
              <w:t>601872</w:t>
            </w:r>
          </w:p>
        </w:tc>
        <w:tc>
          <w:tcPr>
            <w:tcW w:w="1777" w:type="dxa"/>
            <w:vAlign w:val="center"/>
          </w:tcPr>
          <w:p w:rsidR="0038710D" w:rsidRDefault="005D67C9">
            <w:pPr>
              <w:jc w:val="center"/>
            </w:pPr>
            <w:r>
              <w:rPr>
                <w:color w:val="000000"/>
                <w:sz w:val="24"/>
                <w:szCs w:val="24"/>
              </w:rPr>
              <w:t>招商轮船</w:t>
            </w:r>
          </w:p>
        </w:tc>
        <w:tc>
          <w:tcPr>
            <w:tcW w:w="1334" w:type="dxa"/>
            <w:vAlign w:val="center"/>
          </w:tcPr>
          <w:p w:rsidR="0038710D" w:rsidRDefault="005D67C9">
            <w:pPr>
              <w:jc w:val="right"/>
            </w:pPr>
            <w:r>
              <w:rPr>
                <w:color w:val="000000"/>
                <w:sz w:val="24"/>
                <w:szCs w:val="24"/>
              </w:rPr>
              <w:t>58,300</w:t>
            </w:r>
          </w:p>
        </w:tc>
        <w:tc>
          <w:tcPr>
            <w:tcW w:w="1924" w:type="dxa"/>
            <w:vAlign w:val="center"/>
          </w:tcPr>
          <w:p w:rsidR="0038710D" w:rsidRDefault="005D67C9">
            <w:pPr>
              <w:jc w:val="right"/>
            </w:pPr>
            <w:r>
              <w:rPr>
                <w:color w:val="000000"/>
                <w:sz w:val="24"/>
                <w:szCs w:val="24"/>
              </w:rPr>
              <w:t>254,188.00</w:t>
            </w:r>
          </w:p>
        </w:tc>
        <w:tc>
          <w:tcPr>
            <w:tcW w:w="1644" w:type="dxa"/>
            <w:vAlign w:val="center"/>
          </w:tcPr>
          <w:p w:rsidR="0038710D" w:rsidRDefault="005D67C9">
            <w:pPr>
              <w:jc w:val="right"/>
            </w:pPr>
            <w:r>
              <w:rPr>
                <w:color w:val="000000"/>
                <w:sz w:val="24"/>
                <w:szCs w:val="24"/>
              </w:rPr>
              <w:t>0.31</w:t>
            </w:r>
          </w:p>
        </w:tc>
      </w:tr>
      <w:tr w:rsidR="0038710D">
        <w:trPr>
          <w:jc w:val="center"/>
        </w:trPr>
        <w:tc>
          <w:tcPr>
            <w:tcW w:w="855" w:type="dxa"/>
            <w:vAlign w:val="center"/>
          </w:tcPr>
          <w:p w:rsidR="0038710D" w:rsidRDefault="005D67C9">
            <w:pPr>
              <w:jc w:val="center"/>
            </w:pPr>
            <w:r>
              <w:rPr>
                <w:color w:val="000000"/>
                <w:sz w:val="24"/>
                <w:szCs w:val="24"/>
              </w:rPr>
              <w:t>10</w:t>
            </w:r>
          </w:p>
        </w:tc>
        <w:tc>
          <w:tcPr>
            <w:tcW w:w="1334" w:type="dxa"/>
            <w:vAlign w:val="center"/>
          </w:tcPr>
          <w:p w:rsidR="0038710D" w:rsidRDefault="005D67C9">
            <w:pPr>
              <w:jc w:val="center"/>
            </w:pPr>
            <w:r>
              <w:rPr>
                <w:color w:val="000000"/>
                <w:sz w:val="24"/>
                <w:szCs w:val="24"/>
              </w:rPr>
              <w:t>600755</w:t>
            </w:r>
          </w:p>
        </w:tc>
        <w:tc>
          <w:tcPr>
            <w:tcW w:w="1777" w:type="dxa"/>
            <w:vAlign w:val="center"/>
          </w:tcPr>
          <w:p w:rsidR="0038710D" w:rsidRDefault="005D67C9">
            <w:pPr>
              <w:jc w:val="center"/>
            </w:pPr>
            <w:r>
              <w:rPr>
                <w:color w:val="000000"/>
                <w:sz w:val="24"/>
                <w:szCs w:val="24"/>
              </w:rPr>
              <w:t>厦门国贸</w:t>
            </w:r>
          </w:p>
        </w:tc>
        <w:tc>
          <w:tcPr>
            <w:tcW w:w="1334" w:type="dxa"/>
            <w:vAlign w:val="center"/>
          </w:tcPr>
          <w:p w:rsidR="0038710D" w:rsidRDefault="005D67C9">
            <w:pPr>
              <w:jc w:val="right"/>
            </w:pPr>
            <w:r>
              <w:rPr>
                <w:color w:val="000000"/>
                <w:sz w:val="24"/>
                <w:szCs w:val="24"/>
              </w:rPr>
              <w:t>28,800</w:t>
            </w:r>
          </w:p>
        </w:tc>
        <w:tc>
          <w:tcPr>
            <w:tcW w:w="1924" w:type="dxa"/>
            <w:vAlign w:val="center"/>
          </w:tcPr>
          <w:p w:rsidR="0038710D" w:rsidRDefault="005D67C9">
            <w:pPr>
              <w:jc w:val="right"/>
            </w:pPr>
            <w:r>
              <w:rPr>
                <w:color w:val="000000"/>
                <w:sz w:val="24"/>
                <w:szCs w:val="24"/>
              </w:rPr>
              <w:t>248,544.00</w:t>
            </w:r>
          </w:p>
        </w:tc>
        <w:tc>
          <w:tcPr>
            <w:tcW w:w="1644" w:type="dxa"/>
            <w:vAlign w:val="center"/>
          </w:tcPr>
          <w:p w:rsidR="0038710D" w:rsidRDefault="005D67C9">
            <w:pPr>
              <w:jc w:val="right"/>
            </w:pPr>
            <w:r>
              <w:rPr>
                <w:color w:val="000000"/>
                <w:sz w:val="24"/>
                <w:szCs w:val="24"/>
              </w:rPr>
              <w:t>0.31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48,900,000.00</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60.24</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48,900,000.00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60.24</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38710D">
        <w:trPr>
          <w:jc w:val="center"/>
        </w:trPr>
        <w:tc>
          <w:tcPr>
            <w:tcW w:w="850" w:type="dxa"/>
            <w:vAlign w:val="center"/>
          </w:tcPr>
          <w:p w:rsidR="0038710D" w:rsidRDefault="005D67C9">
            <w:pPr>
              <w:jc w:val="center"/>
            </w:pPr>
            <w:r>
              <w:rPr>
                <w:color w:val="000000"/>
                <w:sz w:val="24"/>
                <w:szCs w:val="24"/>
              </w:rPr>
              <w:t>1</w:t>
            </w:r>
          </w:p>
        </w:tc>
        <w:tc>
          <w:tcPr>
            <w:tcW w:w="1475" w:type="dxa"/>
            <w:vAlign w:val="center"/>
          </w:tcPr>
          <w:p w:rsidR="0038710D" w:rsidRDefault="005D67C9">
            <w:pPr>
              <w:jc w:val="center"/>
            </w:pPr>
            <w:r>
              <w:rPr>
                <w:color w:val="000000"/>
                <w:sz w:val="24"/>
                <w:szCs w:val="24"/>
              </w:rPr>
              <w:t>111905063</w:t>
            </w:r>
          </w:p>
        </w:tc>
        <w:tc>
          <w:tcPr>
            <w:tcW w:w="1769" w:type="dxa"/>
            <w:vAlign w:val="center"/>
          </w:tcPr>
          <w:p w:rsidR="0038710D" w:rsidRDefault="005D67C9">
            <w:pPr>
              <w:jc w:val="center"/>
            </w:pPr>
            <w:r>
              <w:rPr>
                <w:color w:val="000000"/>
                <w:sz w:val="24"/>
                <w:szCs w:val="24"/>
              </w:rPr>
              <w:t>19</w:t>
            </w:r>
            <w:r>
              <w:rPr>
                <w:color w:val="000000"/>
                <w:sz w:val="24"/>
                <w:szCs w:val="24"/>
              </w:rPr>
              <w:t>建设银行</w:t>
            </w:r>
            <w:r>
              <w:rPr>
                <w:color w:val="000000"/>
                <w:sz w:val="24"/>
                <w:szCs w:val="24"/>
              </w:rPr>
              <w:t>CD063</w:t>
            </w:r>
          </w:p>
        </w:tc>
        <w:tc>
          <w:tcPr>
            <w:tcW w:w="1387" w:type="dxa"/>
            <w:vAlign w:val="center"/>
          </w:tcPr>
          <w:p w:rsidR="0038710D" w:rsidRDefault="005D67C9">
            <w:pPr>
              <w:jc w:val="right"/>
            </w:pPr>
            <w:r>
              <w:rPr>
                <w:color w:val="000000"/>
                <w:sz w:val="24"/>
                <w:szCs w:val="24"/>
              </w:rPr>
              <w:t>100,000</w:t>
            </w:r>
          </w:p>
        </w:tc>
        <w:tc>
          <w:tcPr>
            <w:tcW w:w="2150" w:type="dxa"/>
            <w:vAlign w:val="center"/>
          </w:tcPr>
          <w:p w:rsidR="0038710D" w:rsidRDefault="005D67C9">
            <w:pPr>
              <w:jc w:val="right"/>
            </w:pPr>
            <w:r>
              <w:rPr>
                <w:color w:val="000000"/>
                <w:sz w:val="24"/>
                <w:szCs w:val="24"/>
              </w:rPr>
              <w:t>9,784,000.00</w:t>
            </w:r>
          </w:p>
        </w:tc>
        <w:tc>
          <w:tcPr>
            <w:tcW w:w="1237" w:type="dxa"/>
            <w:vAlign w:val="center"/>
          </w:tcPr>
          <w:p w:rsidR="0038710D" w:rsidRDefault="005D67C9">
            <w:pPr>
              <w:jc w:val="right"/>
            </w:pPr>
            <w:r>
              <w:rPr>
                <w:color w:val="000000"/>
                <w:sz w:val="24"/>
                <w:szCs w:val="24"/>
              </w:rPr>
              <w:t>12.05</w:t>
            </w:r>
          </w:p>
        </w:tc>
      </w:tr>
      <w:tr w:rsidR="0038710D">
        <w:trPr>
          <w:jc w:val="center"/>
        </w:trPr>
        <w:tc>
          <w:tcPr>
            <w:tcW w:w="850" w:type="dxa"/>
            <w:vAlign w:val="center"/>
          </w:tcPr>
          <w:p w:rsidR="0038710D" w:rsidRDefault="005D67C9">
            <w:pPr>
              <w:jc w:val="center"/>
            </w:pPr>
            <w:r>
              <w:rPr>
                <w:color w:val="000000"/>
                <w:sz w:val="24"/>
                <w:szCs w:val="24"/>
              </w:rPr>
              <w:t>2</w:t>
            </w:r>
          </w:p>
        </w:tc>
        <w:tc>
          <w:tcPr>
            <w:tcW w:w="1475" w:type="dxa"/>
            <w:vAlign w:val="center"/>
          </w:tcPr>
          <w:p w:rsidR="0038710D" w:rsidRDefault="005D67C9">
            <w:pPr>
              <w:jc w:val="center"/>
            </w:pPr>
            <w:r>
              <w:rPr>
                <w:color w:val="000000"/>
                <w:sz w:val="24"/>
                <w:szCs w:val="24"/>
              </w:rPr>
              <w:t>111918186</w:t>
            </w:r>
          </w:p>
        </w:tc>
        <w:tc>
          <w:tcPr>
            <w:tcW w:w="1769" w:type="dxa"/>
            <w:vAlign w:val="center"/>
          </w:tcPr>
          <w:p w:rsidR="0038710D" w:rsidRDefault="005D67C9">
            <w:pPr>
              <w:jc w:val="center"/>
            </w:pPr>
            <w:r>
              <w:rPr>
                <w:color w:val="000000"/>
                <w:sz w:val="24"/>
                <w:szCs w:val="24"/>
              </w:rPr>
              <w:t>19</w:t>
            </w:r>
            <w:r>
              <w:rPr>
                <w:color w:val="000000"/>
                <w:sz w:val="24"/>
                <w:szCs w:val="24"/>
              </w:rPr>
              <w:t>华夏银行</w:t>
            </w:r>
            <w:r>
              <w:rPr>
                <w:color w:val="000000"/>
                <w:sz w:val="24"/>
                <w:szCs w:val="24"/>
              </w:rPr>
              <w:t>CD186</w:t>
            </w:r>
          </w:p>
        </w:tc>
        <w:tc>
          <w:tcPr>
            <w:tcW w:w="1387" w:type="dxa"/>
            <w:vAlign w:val="center"/>
          </w:tcPr>
          <w:p w:rsidR="0038710D" w:rsidRDefault="005D67C9">
            <w:pPr>
              <w:jc w:val="right"/>
            </w:pPr>
            <w:r>
              <w:rPr>
                <w:color w:val="000000"/>
                <w:sz w:val="24"/>
                <w:szCs w:val="24"/>
              </w:rPr>
              <w:t>100,000</w:t>
            </w:r>
          </w:p>
        </w:tc>
        <w:tc>
          <w:tcPr>
            <w:tcW w:w="2150" w:type="dxa"/>
            <w:vAlign w:val="center"/>
          </w:tcPr>
          <w:p w:rsidR="0038710D" w:rsidRDefault="005D67C9">
            <w:pPr>
              <w:jc w:val="right"/>
            </w:pPr>
            <w:r>
              <w:rPr>
                <w:color w:val="000000"/>
                <w:sz w:val="24"/>
                <w:szCs w:val="24"/>
              </w:rPr>
              <w:t>9,779,000.00</w:t>
            </w:r>
          </w:p>
        </w:tc>
        <w:tc>
          <w:tcPr>
            <w:tcW w:w="1237" w:type="dxa"/>
            <w:vAlign w:val="center"/>
          </w:tcPr>
          <w:p w:rsidR="0038710D" w:rsidRDefault="005D67C9">
            <w:pPr>
              <w:jc w:val="right"/>
            </w:pPr>
            <w:r>
              <w:rPr>
                <w:color w:val="000000"/>
                <w:sz w:val="24"/>
                <w:szCs w:val="24"/>
              </w:rPr>
              <w:t>12.05</w:t>
            </w:r>
          </w:p>
        </w:tc>
      </w:tr>
      <w:tr w:rsidR="0038710D">
        <w:trPr>
          <w:jc w:val="center"/>
        </w:trPr>
        <w:tc>
          <w:tcPr>
            <w:tcW w:w="850" w:type="dxa"/>
            <w:vAlign w:val="center"/>
          </w:tcPr>
          <w:p w:rsidR="0038710D" w:rsidRDefault="005D67C9">
            <w:pPr>
              <w:jc w:val="center"/>
            </w:pPr>
            <w:r>
              <w:rPr>
                <w:color w:val="000000"/>
                <w:sz w:val="24"/>
                <w:szCs w:val="24"/>
              </w:rPr>
              <w:t>3</w:t>
            </w:r>
          </w:p>
        </w:tc>
        <w:tc>
          <w:tcPr>
            <w:tcW w:w="1475" w:type="dxa"/>
            <w:vAlign w:val="center"/>
          </w:tcPr>
          <w:p w:rsidR="0038710D" w:rsidRDefault="005D67C9">
            <w:pPr>
              <w:jc w:val="center"/>
            </w:pPr>
            <w:r>
              <w:rPr>
                <w:color w:val="000000"/>
                <w:sz w:val="24"/>
                <w:szCs w:val="24"/>
              </w:rPr>
              <w:t>111915226</w:t>
            </w:r>
          </w:p>
        </w:tc>
        <w:tc>
          <w:tcPr>
            <w:tcW w:w="1769" w:type="dxa"/>
            <w:vAlign w:val="center"/>
          </w:tcPr>
          <w:p w:rsidR="0038710D" w:rsidRDefault="005D67C9">
            <w:pPr>
              <w:jc w:val="center"/>
            </w:pPr>
            <w:r>
              <w:rPr>
                <w:color w:val="000000"/>
                <w:sz w:val="24"/>
                <w:szCs w:val="24"/>
              </w:rPr>
              <w:t>19</w:t>
            </w:r>
            <w:r>
              <w:rPr>
                <w:color w:val="000000"/>
                <w:sz w:val="24"/>
                <w:szCs w:val="24"/>
              </w:rPr>
              <w:t>民生银行</w:t>
            </w:r>
            <w:r>
              <w:rPr>
                <w:color w:val="000000"/>
                <w:sz w:val="24"/>
                <w:szCs w:val="24"/>
              </w:rPr>
              <w:t>CD226</w:t>
            </w:r>
          </w:p>
        </w:tc>
        <w:tc>
          <w:tcPr>
            <w:tcW w:w="1387" w:type="dxa"/>
            <w:vAlign w:val="center"/>
          </w:tcPr>
          <w:p w:rsidR="0038710D" w:rsidRDefault="005D67C9">
            <w:pPr>
              <w:jc w:val="right"/>
            </w:pPr>
            <w:r>
              <w:rPr>
                <w:color w:val="000000"/>
                <w:sz w:val="24"/>
                <w:szCs w:val="24"/>
              </w:rPr>
              <w:t>100,000</w:t>
            </w:r>
          </w:p>
        </w:tc>
        <w:tc>
          <w:tcPr>
            <w:tcW w:w="2150" w:type="dxa"/>
            <w:vAlign w:val="center"/>
          </w:tcPr>
          <w:p w:rsidR="0038710D" w:rsidRDefault="005D67C9">
            <w:pPr>
              <w:jc w:val="right"/>
            </w:pPr>
            <w:r>
              <w:rPr>
                <w:color w:val="000000"/>
                <w:sz w:val="24"/>
                <w:szCs w:val="24"/>
              </w:rPr>
              <w:t>9,779,000.00</w:t>
            </w:r>
          </w:p>
        </w:tc>
        <w:tc>
          <w:tcPr>
            <w:tcW w:w="1237" w:type="dxa"/>
            <w:vAlign w:val="center"/>
          </w:tcPr>
          <w:p w:rsidR="0038710D" w:rsidRDefault="005D67C9">
            <w:pPr>
              <w:jc w:val="right"/>
            </w:pPr>
            <w:r>
              <w:rPr>
                <w:color w:val="000000"/>
                <w:sz w:val="24"/>
                <w:szCs w:val="24"/>
              </w:rPr>
              <w:t>12.05</w:t>
            </w:r>
          </w:p>
        </w:tc>
      </w:tr>
      <w:tr w:rsidR="0038710D">
        <w:trPr>
          <w:jc w:val="center"/>
        </w:trPr>
        <w:tc>
          <w:tcPr>
            <w:tcW w:w="850" w:type="dxa"/>
            <w:vAlign w:val="center"/>
          </w:tcPr>
          <w:p w:rsidR="0038710D" w:rsidRDefault="005D67C9">
            <w:pPr>
              <w:jc w:val="center"/>
            </w:pPr>
            <w:r>
              <w:rPr>
                <w:color w:val="000000"/>
                <w:sz w:val="24"/>
                <w:szCs w:val="24"/>
              </w:rPr>
              <w:t>4</w:t>
            </w:r>
          </w:p>
        </w:tc>
        <w:tc>
          <w:tcPr>
            <w:tcW w:w="1475" w:type="dxa"/>
            <w:vAlign w:val="center"/>
          </w:tcPr>
          <w:p w:rsidR="0038710D" w:rsidRDefault="005D67C9">
            <w:pPr>
              <w:jc w:val="center"/>
            </w:pPr>
            <w:r>
              <w:rPr>
                <w:color w:val="000000"/>
                <w:sz w:val="24"/>
                <w:szCs w:val="24"/>
              </w:rPr>
              <w:t>111909177</w:t>
            </w:r>
          </w:p>
        </w:tc>
        <w:tc>
          <w:tcPr>
            <w:tcW w:w="1769" w:type="dxa"/>
            <w:vAlign w:val="center"/>
          </w:tcPr>
          <w:p w:rsidR="0038710D" w:rsidRDefault="005D67C9">
            <w:pPr>
              <w:jc w:val="center"/>
            </w:pPr>
            <w:r>
              <w:rPr>
                <w:color w:val="000000"/>
                <w:sz w:val="24"/>
                <w:szCs w:val="24"/>
              </w:rPr>
              <w:t>19</w:t>
            </w:r>
            <w:r>
              <w:rPr>
                <w:color w:val="000000"/>
                <w:sz w:val="24"/>
                <w:szCs w:val="24"/>
              </w:rPr>
              <w:t>浦发银行</w:t>
            </w:r>
            <w:r>
              <w:rPr>
                <w:color w:val="000000"/>
                <w:sz w:val="24"/>
                <w:szCs w:val="24"/>
              </w:rPr>
              <w:t>CD177</w:t>
            </w:r>
          </w:p>
        </w:tc>
        <w:tc>
          <w:tcPr>
            <w:tcW w:w="1387" w:type="dxa"/>
            <w:vAlign w:val="center"/>
          </w:tcPr>
          <w:p w:rsidR="0038710D" w:rsidRDefault="005D67C9">
            <w:pPr>
              <w:jc w:val="right"/>
            </w:pPr>
            <w:r>
              <w:rPr>
                <w:color w:val="000000"/>
                <w:sz w:val="24"/>
                <w:szCs w:val="24"/>
              </w:rPr>
              <w:t>100,000</w:t>
            </w:r>
          </w:p>
        </w:tc>
        <w:tc>
          <w:tcPr>
            <w:tcW w:w="2150" w:type="dxa"/>
            <w:vAlign w:val="center"/>
          </w:tcPr>
          <w:p w:rsidR="0038710D" w:rsidRDefault="005D67C9">
            <w:pPr>
              <w:jc w:val="right"/>
            </w:pPr>
            <w:r>
              <w:rPr>
                <w:color w:val="000000"/>
                <w:sz w:val="24"/>
                <w:szCs w:val="24"/>
              </w:rPr>
              <w:t>9,779,000.00</w:t>
            </w:r>
          </w:p>
        </w:tc>
        <w:tc>
          <w:tcPr>
            <w:tcW w:w="1237" w:type="dxa"/>
            <w:vAlign w:val="center"/>
          </w:tcPr>
          <w:p w:rsidR="0038710D" w:rsidRDefault="005D67C9">
            <w:pPr>
              <w:jc w:val="right"/>
            </w:pPr>
            <w:r>
              <w:rPr>
                <w:color w:val="000000"/>
                <w:sz w:val="24"/>
                <w:szCs w:val="24"/>
              </w:rPr>
              <w:t>12.05</w:t>
            </w:r>
          </w:p>
        </w:tc>
      </w:tr>
      <w:tr w:rsidR="0038710D">
        <w:trPr>
          <w:jc w:val="center"/>
        </w:trPr>
        <w:tc>
          <w:tcPr>
            <w:tcW w:w="850" w:type="dxa"/>
            <w:vAlign w:val="center"/>
          </w:tcPr>
          <w:p w:rsidR="0038710D" w:rsidRDefault="005D67C9">
            <w:pPr>
              <w:jc w:val="center"/>
            </w:pPr>
            <w:r>
              <w:rPr>
                <w:color w:val="000000"/>
                <w:sz w:val="24"/>
                <w:szCs w:val="24"/>
              </w:rPr>
              <w:t>5</w:t>
            </w:r>
          </w:p>
        </w:tc>
        <w:tc>
          <w:tcPr>
            <w:tcW w:w="1475" w:type="dxa"/>
            <w:vAlign w:val="center"/>
          </w:tcPr>
          <w:p w:rsidR="0038710D" w:rsidRDefault="005D67C9">
            <w:pPr>
              <w:jc w:val="center"/>
            </w:pPr>
            <w:r>
              <w:rPr>
                <w:color w:val="000000"/>
                <w:sz w:val="24"/>
                <w:szCs w:val="24"/>
              </w:rPr>
              <w:t>111910240</w:t>
            </w:r>
          </w:p>
        </w:tc>
        <w:tc>
          <w:tcPr>
            <w:tcW w:w="1769" w:type="dxa"/>
            <w:vAlign w:val="center"/>
          </w:tcPr>
          <w:p w:rsidR="0038710D" w:rsidRDefault="005D67C9">
            <w:pPr>
              <w:jc w:val="center"/>
            </w:pPr>
            <w:r>
              <w:rPr>
                <w:color w:val="000000"/>
                <w:sz w:val="24"/>
                <w:szCs w:val="24"/>
              </w:rPr>
              <w:t>19</w:t>
            </w:r>
            <w:r>
              <w:rPr>
                <w:color w:val="000000"/>
                <w:sz w:val="24"/>
                <w:szCs w:val="24"/>
              </w:rPr>
              <w:t>兴业银行</w:t>
            </w:r>
            <w:r>
              <w:rPr>
                <w:color w:val="000000"/>
                <w:sz w:val="24"/>
                <w:szCs w:val="24"/>
              </w:rPr>
              <w:t>CD240</w:t>
            </w:r>
          </w:p>
        </w:tc>
        <w:tc>
          <w:tcPr>
            <w:tcW w:w="1387" w:type="dxa"/>
            <w:vAlign w:val="center"/>
          </w:tcPr>
          <w:p w:rsidR="0038710D" w:rsidRDefault="005D67C9">
            <w:pPr>
              <w:jc w:val="right"/>
            </w:pPr>
            <w:r>
              <w:rPr>
                <w:color w:val="000000"/>
                <w:sz w:val="24"/>
                <w:szCs w:val="24"/>
              </w:rPr>
              <w:t>100,000</w:t>
            </w:r>
          </w:p>
        </w:tc>
        <w:tc>
          <w:tcPr>
            <w:tcW w:w="2150" w:type="dxa"/>
            <w:vAlign w:val="center"/>
          </w:tcPr>
          <w:p w:rsidR="0038710D" w:rsidRDefault="005D67C9">
            <w:pPr>
              <w:jc w:val="right"/>
            </w:pPr>
            <w:r>
              <w:rPr>
                <w:color w:val="000000"/>
                <w:sz w:val="24"/>
                <w:szCs w:val="24"/>
              </w:rPr>
              <w:t>9,779,000.00</w:t>
            </w:r>
          </w:p>
        </w:tc>
        <w:tc>
          <w:tcPr>
            <w:tcW w:w="1237" w:type="dxa"/>
            <w:vAlign w:val="center"/>
          </w:tcPr>
          <w:p w:rsidR="0038710D" w:rsidRDefault="005D67C9">
            <w:pPr>
              <w:jc w:val="right"/>
            </w:pPr>
            <w:r>
              <w:rPr>
                <w:color w:val="000000"/>
                <w:sz w:val="24"/>
                <w:szCs w:val="24"/>
              </w:rPr>
              <w:t>12.05</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报告期内本基金投资的前十名证券的发行主体除</w:t>
      </w:r>
      <w:r w:rsidRPr="00BE5388">
        <w:rPr>
          <w:bCs/>
          <w:color w:val="000000"/>
          <w:kern w:val="0"/>
          <w:sz w:val="24"/>
          <w:szCs w:val="24"/>
        </w:rPr>
        <w:t>19</w:t>
      </w:r>
      <w:r w:rsidRPr="00BE5388">
        <w:rPr>
          <w:bCs/>
          <w:color w:val="000000"/>
          <w:kern w:val="0"/>
          <w:sz w:val="24"/>
          <w:szCs w:val="24"/>
        </w:rPr>
        <w:t>民生银行</w:t>
      </w:r>
      <w:r w:rsidRPr="00BE5388">
        <w:rPr>
          <w:bCs/>
          <w:color w:val="000000"/>
          <w:kern w:val="0"/>
          <w:sz w:val="24"/>
          <w:szCs w:val="24"/>
        </w:rPr>
        <w:t>CD226</w:t>
      </w:r>
      <w:r w:rsidRPr="00BE5388">
        <w:rPr>
          <w:bCs/>
          <w:color w:val="000000"/>
          <w:kern w:val="0"/>
          <w:sz w:val="24"/>
          <w:szCs w:val="24"/>
        </w:rPr>
        <w:t>（证券代码：</w:t>
      </w:r>
      <w:r w:rsidRPr="00BE5388">
        <w:rPr>
          <w:bCs/>
          <w:color w:val="000000"/>
          <w:kern w:val="0"/>
          <w:sz w:val="24"/>
          <w:szCs w:val="24"/>
        </w:rPr>
        <w:t>111915226</w:t>
      </w:r>
      <w:r w:rsidRPr="00BE5388">
        <w:rPr>
          <w:bCs/>
          <w:color w:val="000000"/>
          <w:kern w:val="0"/>
          <w:sz w:val="24"/>
          <w:szCs w:val="24"/>
        </w:rPr>
        <w:t>）外，未出现被监管部门立案调查，或在报告编制日前一年内受到公开谴责、</w:t>
      </w:r>
      <w:r w:rsidRPr="00BE5388">
        <w:rPr>
          <w:bCs/>
          <w:color w:val="000000"/>
          <w:kern w:val="0"/>
          <w:sz w:val="24"/>
          <w:szCs w:val="24"/>
        </w:rPr>
        <w:lastRenderedPageBreak/>
        <w:t>处罚的情形。</w:t>
      </w:r>
    </w:p>
    <w:p w:rsidR="0038710D" w:rsidRDefault="005D67C9">
      <w:pPr>
        <w:autoSpaceDE w:val="0"/>
        <w:autoSpaceDN w:val="0"/>
        <w:adjustRightInd w:val="0"/>
        <w:spacing w:before="29" w:line="288" w:lineRule="auto"/>
        <w:jc w:val="left"/>
        <w:rPr>
          <w:bCs/>
          <w:color w:val="000000"/>
          <w:kern w:val="0"/>
          <w:sz w:val="24"/>
          <w:szCs w:val="24"/>
        </w:rPr>
      </w:pPr>
      <w:r>
        <w:rPr>
          <w:bCs/>
          <w:color w:val="000000"/>
          <w:kern w:val="0"/>
          <w:sz w:val="24"/>
          <w:szCs w:val="24"/>
        </w:rPr>
        <w:t>报告期内本基金投资的前十名证券之一</w:t>
      </w:r>
      <w:r>
        <w:rPr>
          <w:bCs/>
          <w:color w:val="000000"/>
          <w:kern w:val="0"/>
          <w:sz w:val="24"/>
          <w:szCs w:val="24"/>
        </w:rPr>
        <w:t>19</w:t>
      </w:r>
      <w:r>
        <w:rPr>
          <w:bCs/>
          <w:color w:val="000000"/>
          <w:kern w:val="0"/>
          <w:sz w:val="24"/>
          <w:szCs w:val="24"/>
        </w:rPr>
        <w:t>民生银行</w:t>
      </w:r>
      <w:r>
        <w:rPr>
          <w:bCs/>
          <w:color w:val="000000"/>
          <w:kern w:val="0"/>
          <w:sz w:val="24"/>
          <w:szCs w:val="24"/>
        </w:rPr>
        <w:t>CD226</w:t>
      </w:r>
      <w:r>
        <w:rPr>
          <w:bCs/>
          <w:color w:val="000000"/>
          <w:kern w:val="0"/>
          <w:sz w:val="24"/>
          <w:szCs w:val="24"/>
        </w:rPr>
        <w:t>（证券代码：</w:t>
      </w:r>
      <w:r>
        <w:rPr>
          <w:bCs/>
          <w:color w:val="000000"/>
          <w:kern w:val="0"/>
          <w:sz w:val="24"/>
          <w:szCs w:val="24"/>
        </w:rPr>
        <w:t>111915226</w:t>
      </w:r>
      <w:r>
        <w:rPr>
          <w:bCs/>
          <w:color w:val="000000"/>
          <w:kern w:val="0"/>
          <w:sz w:val="24"/>
          <w:szCs w:val="24"/>
        </w:rPr>
        <w:t>）的发行主体民生银行，根据银保监会</w:t>
      </w:r>
      <w:r>
        <w:rPr>
          <w:bCs/>
          <w:color w:val="000000"/>
          <w:kern w:val="0"/>
          <w:sz w:val="24"/>
          <w:szCs w:val="24"/>
        </w:rPr>
        <w:t>2018</w:t>
      </w:r>
      <w:r>
        <w:rPr>
          <w:bCs/>
          <w:color w:val="000000"/>
          <w:kern w:val="0"/>
          <w:sz w:val="24"/>
          <w:szCs w:val="24"/>
        </w:rPr>
        <w:t>年</w:t>
      </w:r>
      <w:r>
        <w:rPr>
          <w:bCs/>
          <w:color w:val="000000"/>
          <w:kern w:val="0"/>
          <w:sz w:val="24"/>
          <w:szCs w:val="24"/>
        </w:rPr>
        <w:t>12</w:t>
      </w:r>
      <w:r>
        <w:rPr>
          <w:bCs/>
          <w:color w:val="000000"/>
          <w:kern w:val="0"/>
          <w:sz w:val="24"/>
          <w:szCs w:val="24"/>
        </w:rPr>
        <w:t>月</w:t>
      </w:r>
      <w:r>
        <w:rPr>
          <w:bCs/>
          <w:color w:val="000000"/>
          <w:kern w:val="0"/>
          <w:sz w:val="24"/>
          <w:szCs w:val="24"/>
        </w:rPr>
        <w:t>7</w:t>
      </w:r>
      <w:r>
        <w:rPr>
          <w:bCs/>
          <w:color w:val="000000"/>
          <w:kern w:val="0"/>
          <w:sz w:val="24"/>
          <w:szCs w:val="24"/>
        </w:rPr>
        <w:t>日公布的《中国银行保险监督管理委员会行政处罚信息公开表</w:t>
      </w:r>
      <w:r>
        <w:rPr>
          <w:bCs/>
          <w:color w:val="000000"/>
          <w:kern w:val="0"/>
          <w:sz w:val="24"/>
          <w:szCs w:val="24"/>
        </w:rPr>
        <w:t>(</w:t>
      </w:r>
      <w:r>
        <w:rPr>
          <w:bCs/>
          <w:color w:val="000000"/>
          <w:kern w:val="0"/>
          <w:sz w:val="24"/>
          <w:szCs w:val="24"/>
        </w:rPr>
        <w:t>银保监银罚决字〔</w:t>
      </w:r>
      <w:r>
        <w:rPr>
          <w:bCs/>
          <w:color w:val="000000"/>
          <w:kern w:val="0"/>
          <w:sz w:val="24"/>
          <w:szCs w:val="24"/>
        </w:rPr>
        <w:t>2018</w:t>
      </w:r>
      <w:r>
        <w:rPr>
          <w:bCs/>
          <w:color w:val="000000"/>
          <w:kern w:val="0"/>
          <w:sz w:val="24"/>
          <w:szCs w:val="24"/>
        </w:rPr>
        <w:t>〕</w:t>
      </w:r>
      <w:r>
        <w:rPr>
          <w:bCs/>
          <w:color w:val="000000"/>
          <w:kern w:val="0"/>
          <w:sz w:val="24"/>
          <w:szCs w:val="24"/>
        </w:rPr>
        <w:t>5</w:t>
      </w:r>
      <w:r>
        <w:rPr>
          <w:bCs/>
          <w:color w:val="000000"/>
          <w:kern w:val="0"/>
          <w:sz w:val="24"/>
          <w:szCs w:val="24"/>
        </w:rPr>
        <w:t>号</w:t>
      </w:r>
      <w:r>
        <w:rPr>
          <w:bCs/>
          <w:color w:val="000000"/>
          <w:kern w:val="0"/>
          <w:sz w:val="24"/>
          <w:szCs w:val="24"/>
        </w:rPr>
        <w:t>)</w:t>
      </w:r>
      <w:r>
        <w:rPr>
          <w:bCs/>
          <w:color w:val="000000"/>
          <w:kern w:val="0"/>
          <w:sz w:val="24"/>
          <w:szCs w:val="24"/>
        </w:rPr>
        <w:t>》，因存在贷款业务严重违反审慎经营规则等违法违规事实，被中国银行保险监督管理委员会处以行政处罚，罚款</w:t>
      </w:r>
      <w:r>
        <w:rPr>
          <w:bCs/>
          <w:color w:val="000000"/>
          <w:kern w:val="0"/>
          <w:sz w:val="24"/>
          <w:szCs w:val="24"/>
        </w:rPr>
        <w:t>200</w:t>
      </w:r>
      <w:r>
        <w:rPr>
          <w:bCs/>
          <w:color w:val="000000"/>
          <w:kern w:val="0"/>
          <w:sz w:val="24"/>
          <w:szCs w:val="24"/>
        </w:rPr>
        <w:t>万元；根据银保监会</w:t>
      </w:r>
      <w:r>
        <w:rPr>
          <w:bCs/>
          <w:color w:val="000000"/>
          <w:kern w:val="0"/>
          <w:sz w:val="24"/>
          <w:szCs w:val="24"/>
        </w:rPr>
        <w:t>2018</w:t>
      </w:r>
      <w:r>
        <w:rPr>
          <w:bCs/>
          <w:color w:val="000000"/>
          <w:kern w:val="0"/>
          <w:sz w:val="24"/>
          <w:szCs w:val="24"/>
        </w:rPr>
        <w:t>年</w:t>
      </w:r>
      <w:r>
        <w:rPr>
          <w:bCs/>
          <w:color w:val="000000"/>
          <w:kern w:val="0"/>
          <w:sz w:val="24"/>
          <w:szCs w:val="24"/>
        </w:rPr>
        <w:t>12</w:t>
      </w:r>
      <w:r>
        <w:rPr>
          <w:bCs/>
          <w:color w:val="000000"/>
          <w:kern w:val="0"/>
          <w:sz w:val="24"/>
          <w:szCs w:val="24"/>
        </w:rPr>
        <w:t>月</w:t>
      </w:r>
      <w:r>
        <w:rPr>
          <w:bCs/>
          <w:color w:val="000000"/>
          <w:kern w:val="0"/>
          <w:sz w:val="24"/>
          <w:szCs w:val="24"/>
        </w:rPr>
        <w:t>7</w:t>
      </w:r>
      <w:r>
        <w:rPr>
          <w:bCs/>
          <w:color w:val="000000"/>
          <w:kern w:val="0"/>
          <w:sz w:val="24"/>
          <w:szCs w:val="24"/>
        </w:rPr>
        <w:t>日公布的《中国银行保险监督管理委员会行政处罚信息公开表</w:t>
      </w:r>
      <w:r>
        <w:rPr>
          <w:bCs/>
          <w:color w:val="000000"/>
          <w:kern w:val="0"/>
          <w:sz w:val="24"/>
          <w:szCs w:val="24"/>
        </w:rPr>
        <w:t>(</w:t>
      </w:r>
      <w:r>
        <w:rPr>
          <w:bCs/>
          <w:color w:val="000000"/>
          <w:kern w:val="0"/>
          <w:sz w:val="24"/>
          <w:szCs w:val="24"/>
        </w:rPr>
        <w:t>银保监银罚决字〔</w:t>
      </w:r>
      <w:r>
        <w:rPr>
          <w:bCs/>
          <w:color w:val="000000"/>
          <w:kern w:val="0"/>
          <w:sz w:val="24"/>
          <w:szCs w:val="24"/>
        </w:rPr>
        <w:t>2018</w:t>
      </w:r>
      <w:r>
        <w:rPr>
          <w:bCs/>
          <w:color w:val="000000"/>
          <w:kern w:val="0"/>
          <w:sz w:val="24"/>
          <w:szCs w:val="24"/>
        </w:rPr>
        <w:t>〕</w:t>
      </w:r>
      <w:r>
        <w:rPr>
          <w:bCs/>
          <w:color w:val="000000"/>
          <w:kern w:val="0"/>
          <w:sz w:val="24"/>
          <w:szCs w:val="24"/>
        </w:rPr>
        <w:t>8</w:t>
      </w:r>
      <w:r>
        <w:rPr>
          <w:bCs/>
          <w:color w:val="000000"/>
          <w:kern w:val="0"/>
          <w:sz w:val="24"/>
          <w:szCs w:val="24"/>
        </w:rPr>
        <w:t>号</w:t>
      </w:r>
      <w:r>
        <w:rPr>
          <w:bCs/>
          <w:color w:val="000000"/>
          <w:kern w:val="0"/>
          <w:sz w:val="24"/>
          <w:szCs w:val="24"/>
        </w:rPr>
        <w:t>)</w:t>
      </w:r>
      <w:r>
        <w:rPr>
          <w:bCs/>
          <w:color w:val="000000"/>
          <w:kern w:val="0"/>
          <w:sz w:val="24"/>
          <w:szCs w:val="24"/>
        </w:rPr>
        <w:t>》，因存在内控管理严重违反审慎经营规则、同业投资违规接受担保、同业投资、理财资金违规投资房地产，用于缴交或置换土地出让金及土地储备融资、本行理财产品之间风险隔离不到位、个人理财资金违规投资、票据代理未明示，增信未簿记和计提资本占用、为非保本理财产品提供保本承诺等违法违规事实，被中国银行保险监督管理委员会处以行政处罚，罚款</w:t>
      </w:r>
      <w:r>
        <w:rPr>
          <w:bCs/>
          <w:color w:val="000000"/>
          <w:kern w:val="0"/>
          <w:sz w:val="24"/>
          <w:szCs w:val="24"/>
        </w:rPr>
        <w:t>3160</w:t>
      </w:r>
      <w:r>
        <w:rPr>
          <w:bCs/>
          <w:color w:val="000000"/>
          <w:kern w:val="0"/>
          <w:sz w:val="24"/>
          <w:szCs w:val="24"/>
        </w:rPr>
        <w:t>万元。</w:t>
      </w:r>
    </w:p>
    <w:p w:rsidR="0038710D" w:rsidRDefault="005D67C9">
      <w:pPr>
        <w:autoSpaceDE w:val="0"/>
        <w:autoSpaceDN w:val="0"/>
        <w:adjustRightInd w:val="0"/>
        <w:spacing w:before="29" w:line="288" w:lineRule="auto"/>
        <w:jc w:val="left"/>
        <w:rPr>
          <w:bCs/>
          <w:color w:val="000000"/>
          <w:kern w:val="0"/>
          <w:sz w:val="24"/>
          <w:szCs w:val="24"/>
        </w:rPr>
      </w:pPr>
      <w:r>
        <w:rPr>
          <w:bCs/>
          <w:color w:val="000000"/>
          <w:kern w:val="0"/>
          <w:sz w:val="24"/>
          <w:szCs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37,294.35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80,832.46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118,126.81</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228,753,120.21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19.75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148,853,785.05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79,899,354.91</w:t>
            </w:r>
          </w:p>
        </w:tc>
      </w:tr>
    </w:tbl>
    <w:p w:rsidR="0038710D" w:rsidRDefault="005D67C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w:t>
      </w:r>
      <w:r w:rsidRPr="004F4D27">
        <w:rPr>
          <w:rFonts w:ascii="宋体" w:hAnsi="宋体"/>
          <w:color w:val="000000"/>
        </w:rPr>
        <w:lastRenderedPageBreak/>
        <w:t>本基金管理人于2019年6月22日发布的《交银施罗德基金管理有限公司关于旗下部分基金可投资科创板股票的公告》。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38710D" w:rsidRDefault="005D67C9">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、中国证监会准予交银施罗德致远量化智投策略定期开放混合型证券投资基金募集注册的文件；</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2</w:t>
      </w:r>
      <w:r>
        <w:rPr>
          <w:color w:val="000000"/>
          <w:sz w:val="24"/>
          <w:szCs w:val="24"/>
        </w:rPr>
        <w:t>、《交银施罗德致远量化智投策略定期开放混合型证券投资基金基金合同》；</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3</w:t>
      </w:r>
      <w:r>
        <w:rPr>
          <w:color w:val="000000"/>
          <w:sz w:val="24"/>
          <w:szCs w:val="24"/>
        </w:rPr>
        <w:t>、《交银施罗德致远量化智投策略定期开放混合型证券投资基金招募说明书》；</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4</w:t>
      </w:r>
      <w:r>
        <w:rPr>
          <w:color w:val="000000"/>
          <w:sz w:val="24"/>
          <w:szCs w:val="24"/>
        </w:rPr>
        <w:t>、《交银施罗德致远量化智投策略定期开放混合型证券投资基金托管协议》；</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、关于申请募集注册交银施罗德致远量化智投策略定期开放混合型证券投资基金的法律意见书；</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38710D" w:rsidRDefault="005D67C9">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、报告期内交银施罗德致远量化智投策略定期开放混合型证券投资基金在指定报刊上各项公告的原稿。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38710D" w:rsidRDefault="005D67C9">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36" w:rsidRDefault="00835336" w:rsidP="00876D65">
      <w:r>
        <w:separator/>
      </w:r>
    </w:p>
  </w:endnote>
  <w:endnote w:type="continuationSeparator" w:id="0">
    <w:p w:rsidR="00835336" w:rsidRDefault="00835336"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6714A4">
      <w:rPr>
        <w:noProof/>
        <w:kern w:val="0"/>
        <w:szCs w:val="21"/>
      </w:rPr>
      <w:t>3</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6714A4">
      <w:rPr>
        <w:noProof/>
        <w:kern w:val="0"/>
        <w:szCs w:val="21"/>
      </w:rPr>
      <w:t>13</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36" w:rsidRDefault="00835336" w:rsidP="00876D65">
      <w:r>
        <w:separator/>
      </w:r>
    </w:p>
  </w:footnote>
  <w:footnote w:type="continuationSeparator" w:id="0">
    <w:p w:rsidR="00835336" w:rsidRDefault="00835336"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交银施罗德致远量化智投策略定期开放混合型证券投资基金</w:t>
    </w:r>
    <w:r w:rsidRPr="003E676C">
      <w:rPr>
        <w:sz w:val="24"/>
        <w:szCs w:val="24"/>
      </w:rPr>
      <w:t>2019</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72F16"/>
    <w:rsid w:val="00381EE8"/>
    <w:rsid w:val="0038710D"/>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C8F"/>
    <w:rsid w:val="005B4F93"/>
    <w:rsid w:val="005B73D2"/>
    <w:rsid w:val="005D2B36"/>
    <w:rsid w:val="005D67C9"/>
    <w:rsid w:val="005E475E"/>
    <w:rsid w:val="005F118D"/>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14A4"/>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5336"/>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E19A9"/>
    <w:rsid w:val="009E31DA"/>
    <w:rsid w:val="009E402C"/>
    <w:rsid w:val="009E7C6A"/>
    <w:rsid w:val="009F27F9"/>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5C15"/>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2CB0-9033-4FCC-B3D0-C2FBCA9D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13</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593</cp:revision>
  <dcterms:created xsi:type="dcterms:W3CDTF">2012-10-16T06:07:00Z</dcterms:created>
  <dcterms:modified xsi:type="dcterms:W3CDTF">2019-07-15T05:41:00Z</dcterms:modified>
</cp:coreProperties>
</file>