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交银施罗德环球精选价值证券投资基金</w:t>
      </w:r>
    </w:p>
    <w:p w:rsidP="005546C0" w:rsidR="00F22F00" w:rsidRDefault="00F22F00" w:rsidRPr="006A23FB">
      <w:pPr>
        <w:spacing w:before="29" w:line="288" w:lineRule="auto"/>
        <w:jc w:val="center"/>
        <w:rPr>
          <w:b/>
          <w:sz w:val="36"/>
          <w:szCs w:val="36"/>
        </w:rPr>
      </w:pPr>
      <w:r w:rsidRPr="006A23FB">
        <w:rPr>
          <w:b/>
          <w:sz w:val="36"/>
          <w:szCs w:val="36"/>
        </w:rPr>
        <w:t>2019年第2季度报告</w:t>
      </w:r>
    </w:p>
    <w:p w:rsidP="005546C0" w:rsidR="00397616" w:rsidRDefault="00623556" w:rsidRPr="006A23FB">
      <w:pPr>
        <w:spacing w:before="29" w:line="288" w:lineRule="auto"/>
        <w:jc w:val="center"/>
        <w:rPr>
          <w:b/>
          <w:sz w:val="36"/>
          <w:szCs w:val="36"/>
        </w:rPr>
      </w:pPr>
      <w:r w:rsidRPr="006A23FB">
        <w:rPr>
          <w:b/>
          <w:sz w:val="36"/>
          <w:szCs w:val="36"/>
        </w:rPr>
        <w:t>2019年6月30日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二〇一九年七月十七日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312" w:afterLines="100" w:before="312"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本报告期自2019年4月1日起至6月30日止。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交银环球精选混合(QDII)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2008年8月22日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60,003,232.74</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70%×标准普尔全球大中盘指数(S&amp;P Global LargeMidCap Index)+30%×恒生指数</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(2019年4月1日-2019年6月30日)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1,331,166.54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5,737,487.63</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0.0945</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118,978,152.90</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1.983</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5.03%</w:t>
            </w:r>
          </w:p>
        </w:tc>
        <w:tc>
          <w:tcPr>
            <w:vAlign w:val="center"/>
          </w:tcPr>
          <w:p>
            <w:pPr>
              <w:jc w:val="right"/>
            </w:pPr>
            <w:r>
              <w:rPr>
                <w:color w:val="000000"/>
                <w:sz w:val="24"/>
              </w:rPr>
              <w:t>0.59%</w:t>
            </w:r>
          </w:p>
        </w:tc>
        <w:tc>
          <w:tcPr>
            <w:vAlign w:val="center"/>
          </w:tcPr>
          <w:p>
            <w:pPr>
              <w:jc w:val="right"/>
            </w:pPr>
            <w:r>
              <w:rPr>
                <w:color w:val="000000"/>
                <w:sz w:val="24"/>
              </w:rPr>
              <w:t>1.66%</w:t>
            </w:r>
          </w:p>
        </w:tc>
        <w:tc>
          <w:tcPr>
            <w:vAlign w:val="center"/>
          </w:tcPr>
          <w:p>
            <w:pPr>
              <w:jc w:val="right"/>
            </w:pPr>
            <w:r>
              <w:rPr>
                <w:color w:val="000000"/>
                <w:sz w:val="24"/>
              </w:rPr>
              <w:t>0.62%</w:t>
            </w:r>
          </w:p>
        </w:tc>
        <w:tc>
          <w:tcPr>
            <w:vAlign w:val="center"/>
          </w:tcPr>
          <w:p>
            <w:pPr>
              <w:jc w:val="right"/>
            </w:pPr>
            <w:r>
              <w:rPr>
                <w:color w:val="000000"/>
                <w:sz w:val="24"/>
              </w:rPr>
              <w:t>3.37%</w:t>
            </w:r>
          </w:p>
        </w:tc>
        <w:tc>
          <w:tcPr>
            <w:vAlign w:val="center"/>
          </w:tcPr>
          <w:p>
            <w:pPr>
              <w:jc w:val="right"/>
            </w:pPr>
            <w:r>
              <w:rPr>
                <w:color w:val="000000"/>
                <w:sz w:val="24"/>
              </w:rPr>
              <w:t>-0.03%</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交银施罗德环球精选价值证券投资基金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2008年8月22日</w:t>
      </w:r>
      <w:r w:rsidRPr="008640AE">
        <w:rPr>
          <w:color w:val="000000"/>
          <w:kern w:val="0"/>
          <w:sz w:val="24"/>
        </w:rPr>
        <w:t>至</w:t>
      </w:r>
      <w:r w:rsidRPr="008640AE">
        <w:rPr>
          <w:color w:val="000000"/>
          <w:kern w:val="0"/>
          <w:sz w:val="24"/>
        </w:rPr>
        <w:t>2019年6月30日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交银环球精选混合(QDII)、交银全球资源混合(QDII)、交银沪港深价值精选混合、交银核心资产混合的基金经理，公司跨境投资副总监</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firstColumn="1" w:firstRow="1" w:lastColumn="0" w:lastRow="0" w:noHBand="0" w:noVBand="1"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20年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2019年二季度，贸易摩擦纷争和延缓的美联储降息预期，带动欧美股市发生了较大波动。美股五月单月下跌超过5%，是年内最大单月跌幅。香港方面，受到短期汇率波动的影响，市场在四、五月也出现了较大幅度的调整。六月，美联储降息预期再次提升，欧美和港股都出现了一定反弹，但力度不及一季度。总体而言，二季度，投资者的风险偏好显著降低。对于经济前景的担忧较一季度有所提升。</w:t>
      </w:r>
    </w:p>
    <w:p>
      <w:pPr>
        <w:spacing w:before="29" w:line="288" w:lineRule="auto"/>
        <w:ind w:firstLine="480" w:firstLineChars="200"/>
        <w:rPr>
          <w:color w:val="000000"/>
          <w:sz w:val="24"/>
        </w:rPr>
      </w:pPr>
      <w:r>
        <w:rPr>
          <w:color w:val="000000"/>
          <w:sz w:val="24"/>
        </w:rPr>
        <w:t>回顾二季度，我们优化仓位结构。欧美股市：降低工业、制造业仓位配置，提升消费、医疗板块配置；港股方面，减少了金融板块配置，阶段性参与了科技板块。回顾二季度操作，我们维持高仓位运行，力求通过行业配置结构的变化为投资者带来超额收益。未来，我们将继续优化操作策略，力求在收益与回撤间寻找平衡。</w:t>
      </w:r>
    </w:p>
    <w:p w:rsidP="005546C0" w:rsidR="00B0116D" w:rsidRDefault="00B0116D" w:rsidRPr="008640AE">
      <w:pPr>
        <w:spacing w:before="29" w:line="288" w:lineRule="auto"/>
        <w:ind w:firstLine="480" w:firstLineChars="200"/>
        <w:rPr>
          <w:color w:val="000000"/>
          <w:sz w:val="24"/>
        </w:rPr>
      </w:pPr>
      <w:r w:rsidRPr="008640AE">
        <w:rPr>
          <w:color w:val="000000"/>
          <w:sz w:val="24"/>
        </w:rPr>
        <w:t>展望2019年三季度，我们关注美联储降息进程，这会对海外股市的流动性产生较大影响。香港方面，我们相对更为乐观，对于大多数中国企业，伴随时间加长，贸易摩擦带来的影响，边际在减弱。而“减税降费”的实质性收益将逐步体现。三季度，我们会密切关注港股的中报情况。具体操作方面，我们仍坚持优选龙头，我们认为，在经济压力仍在的大背景下，行业龙头和财务稳健的公司有机会获取更多市场份额，提升自身竞争优势，从而有机会为投资者带来更多收益。我们将继续勤勉尽责地积极调研，努力为投资人赚取回报。</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 主要财务指标” 及“3.2.1本报告期基金份额净值增长率及其与同期业绩比较基准收益率的比较”部分披露。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P="007977A8" w:rsidR="007977A8" w:rsidRDefault="007977A8" w:rsidRPr="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
      </w:r>
      <w:r w:rsidRPr="007977A8">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p>
        </w:tc>
        <w:tc>
          <w:tcPr>
            <w:tcW w:type="dxa" w:w="1559"/>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102,840,332.38</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85.44</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101,296,418.58</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84.16</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1,543,913.80</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1.28</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r w:rsidR="0008226F" w:rsidRPr="008640AE">
              <w:rPr>
                <w:color w:val="000000"/>
                <w:sz w:val="24"/>
              </w:rPr>
              <w:t>凭证</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15,743,226.23</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13.08</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t>其他</w:t>
            </w:r>
            <w:r w:rsidR="0066673A">
              <w:rPr>
                <w:rFonts w:hint="eastAsia"/>
                <w:color w:val="000000"/>
                <w:sz w:val="24"/>
              </w:rPr>
              <w:t>各项</w:t>
            </w:r>
            <w:bookmarkStart w:id="2" w:name="_GoBack"/>
            <w:bookmarkEnd w:id="2"/>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1,782,115.61</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1.48</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120,365,674.22</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P="009F647F" w:rsidR="009F647F" w:rsidRDefault="009F647F" w:rsidRPr="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
      </w:r>
      <w:r w:rsidRPr="009F647F">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56,611,196.43</w:t>
            </w:r>
          </w:p>
        </w:tc>
        <w:tc>
          <w:tcPr>
            <w:vAlign w:val="center"/>
          </w:tcPr>
          <w:p>
            <w:pPr>
              <w:jc w:val="right"/>
            </w:pPr>
            <w:r>
              <w:rPr>
                <w:color w:val="000000"/>
                <w:sz w:val="24"/>
              </w:rPr>
              <w:t>47.58</w:t>
            </w:r>
          </w:p>
        </w:tc>
      </w:tr>
      <w:tr>
        <w:tc>
          <w:tcPr>
            <w:vAlign w:val="center"/>
          </w:tcPr>
          <w:p>
            <w:pPr>
              <w:jc w:val="left"/>
            </w:pPr>
            <w:r>
              <w:rPr>
                <w:color w:val="000000"/>
                <w:sz w:val="24"/>
              </w:rPr>
              <w:t>香港</w:t>
            </w:r>
          </w:p>
        </w:tc>
        <w:tc>
          <w:tcPr>
            <w:vAlign w:val="center"/>
          </w:tcPr>
          <w:p>
            <w:pPr>
              <w:jc w:val="right"/>
            </w:pPr>
            <w:r>
              <w:rPr>
                <w:color w:val="000000"/>
                <w:sz w:val="24"/>
              </w:rPr>
              <w:t>19,040,635.71</w:t>
            </w:r>
          </w:p>
        </w:tc>
        <w:tc>
          <w:tcPr>
            <w:vAlign w:val="center"/>
          </w:tcPr>
          <w:p>
            <w:pPr>
              <w:jc w:val="right"/>
            </w:pPr>
            <w:r>
              <w:rPr>
                <w:color w:val="000000"/>
                <w:sz w:val="24"/>
              </w:rPr>
              <w:t>16.00</w:t>
            </w:r>
          </w:p>
        </w:tc>
      </w:tr>
      <w:tr>
        <w:tc>
          <w:tcPr>
            <w:vAlign w:val="center"/>
          </w:tcPr>
          <w:p>
            <w:pPr>
              <w:jc w:val="left"/>
            </w:pPr>
            <w:r>
              <w:rPr>
                <w:color w:val="000000"/>
                <w:sz w:val="24"/>
              </w:rPr>
              <w:t>法国</w:t>
            </w:r>
          </w:p>
        </w:tc>
        <w:tc>
          <w:tcPr>
            <w:vAlign w:val="center"/>
          </w:tcPr>
          <w:p>
            <w:pPr>
              <w:jc w:val="right"/>
            </w:pPr>
            <w:r>
              <w:rPr>
                <w:color w:val="000000"/>
                <w:sz w:val="24"/>
              </w:rPr>
              <w:t>5,490,954.06</w:t>
            </w:r>
          </w:p>
        </w:tc>
        <w:tc>
          <w:tcPr>
            <w:vAlign w:val="center"/>
          </w:tcPr>
          <w:p>
            <w:pPr>
              <w:jc w:val="right"/>
            </w:pPr>
            <w:r>
              <w:rPr>
                <w:color w:val="000000"/>
                <w:sz w:val="24"/>
              </w:rPr>
              <w:t>4.62</w:t>
            </w:r>
          </w:p>
        </w:tc>
      </w:tr>
      <w:tr>
        <w:tc>
          <w:tcPr>
            <w:vAlign w:val="center"/>
          </w:tcPr>
          <w:p>
            <w:pPr>
              <w:jc w:val="left"/>
            </w:pPr>
            <w:r>
              <w:rPr>
                <w:color w:val="000000"/>
                <w:sz w:val="24"/>
              </w:rPr>
              <w:t>日本</w:t>
            </w:r>
          </w:p>
        </w:tc>
        <w:tc>
          <w:tcPr>
            <w:vAlign w:val="center"/>
          </w:tcPr>
          <w:p>
            <w:pPr>
              <w:jc w:val="right"/>
            </w:pPr>
            <w:r>
              <w:rPr>
                <w:color w:val="000000"/>
                <w:sz w:val="24"/>
              </w:rPr>
              <w:t>5,261,957.08</w:t>
            </w:r>
          </w:p>
        </w:tc>
        <w:tc>
          <w:tcPr>
            <w:vAlign w:val="center"/>
          </w:tcPr>
          <w:p>
            <w:pPr>
              <w:jc w:val="right"/>
            </w:pPr>
            <w:r>
              <w:rPr>
                <w:color w:val="000000"/>
                <w:sz w:val="24"/>
              </w:rPr>
              <w:t>4.42</w:t>
            </w:r>
          </w:p>
        </w:tc>
      </w:tr>
      <w:tr>
        <w:tc>
          <w:tcPr>
            <w:vAlign w:val="center"/>
          </w:tcPr>
          <w:p>
            <w:pPr>
              <w:jc w:val="left"/>
            </w:pPr>
            <w:r>
              <w:rPr>
                <w:color w:val="000000"/>
                <w:sz w:val="24"/>
              </w:rPr>
              <w:t>瑞士</w:t>
            </w:r>
          </w:p>
        </w:tc>
        <w:tc>
          <w:tcPr>
            <w:vAlign w:val="center"/>
          </w:tcPr>
          <w:p>
            <w:pPr>
              <w:jc w:val="right"/>
            </w:pPr>
            <w:r>
              <w:rPr>
                <w:color w:val="000000"/>
                <w:sz w:val="24"/>
              </w:rPr>
              <w:t>5,059,318.06</w:t>
            </w:r>
          </w:p>
        </w:tc>
        <w:tc>
          <w:tcPr>
            <w:vAlign w:val="center"/>
          </w:tcPr>
          <w:p>
            <w:pPr>
              <w:jc w:val="right"/>
            </w:pPr>
            <w:r>
              <w:rPr>
                <w:color w:val="000000"/>
                <w:sz w:val="24"/>
              </w:rPr>
              <w:t>4.25</w:t>
            </w:r>
          </w:p>
        </w:tc>
      </w:tr>
      <w:tr>
        <w:tc>
          <w:tcPr>
            <w:vAlign w:val="center"/>
          </w:tcPr>
          <w:p>
            <w:pPr>
              <w:jc w:val="left"/>
            </w:pPr>
            <w:r>
              <w:rPr>
                <w:color w:val="000000"/>
                <w:sz w:val="24"/>
              </w:rPr>
              <w:t>德国</w:t>
            </w:r>
          </w:p>
        </w:tc>
        <w:tc>
          <w:tcPr>
            <w:vAlign w:val="center"/>
          </w:tcPr>
          <w:p>
            <w:pPr>
              <w:jc w:val="right"/>
            </w:pPr>
            <w:r>
              <w:rPr>
                <w:color w:val="000000"/>
                <w:sz w:val="24"/>
              </w:rPr>
              <w:t>2,948,672.24</w:t>
            </w:r>
          </w:p>
        </w:tc>
        <w:tc>
          <w:tcPr>
            <w:vAlign w:val="center"/>
          </w:tcPr>
          <w:p>
            <w:pPr>
              <w:jc w:val="right"/>
            </w:pPr>
            <w:r>
              <w:rPr>
                <w:color w:val="000000"/>
                <w:sz w:val="24"/>
              </w:rPr>
              <w:t>2.48</w:t>
            </w:r>
          </w:p>
        </w:tc>
      </w:tr>
      <w:tr>
        <w:tc>
          <w:tcPr>
            <w:vAlign w:val="center"/>
          </w:tcPr>
          <w:p>
            <w:pPr>
              <w:jc w:val="left"/>
            </w:pPr>
            <w:r>
              <w:rPr>
                <w:color w:val="000000"/>
                <w:sz w:val="24"/>
              </w:rPr>
              <w:t>荷兰</w:t>
            </w:r>
          </w:p>
        </w:tc>
        <w:tc>
          <w:tcPr>
            <w:vAlign w:val="center"/>
          </w:tcPr>
          <w:p>
            <w:pPr>
              <w:jc w:val="right"/>
            </w:pPr>
            <w:r>
              <w:rPr>
                <w:color w:val="000000"/>
                <w:sz w:val="24"/>
              </w:rPr>
              <w:t>1,973,339.57</w:t>
            </w:r>
          </w:p>
        </w:tc>
        <w:tc>
          <w:tcPr>
            <w:vAlign w:val="center"/>
          </w:tcPr>
          <w:p>
            <w:pPr>
              <w:jc w:val="right"/>
            </w:pPr>
            <w:r>
              <w:rPr>
                <w:color w:val="000000"/>
                <w:sz w:val="24"/>
              </w:rPr>
              <w:t>1.66</w:t>
            </w:r>
          </w:p>
        </w:tc>
      </w:tr>
      <w:tr>
        <w:tc>
          <w:tcPr>
            <w:vAlign w:val="center"/>
          </w:tcPr>
          <w:p>
            <w:pPr>
              <w:jc w:val="left"/>
            </w:pPr>
            <w:r>
              <w:rPr>
                <w:color w:val="000000"/>
                <w:sz w:val="24"/>
              </w:rPr>
              <w:t>英国</w:t>
            </w:r>
          </w:p>
        </w:tc>
        <w:tc>
          <w:tcPr>
            <w:vAlign w:val="center"/>
          </w:tcPr>
          <w:p>
            <w:pPr>
              <w:jc w:val="right"/>
            </w:pPr>
            <w:r>
              <w:rPr>
                <w:color w:val="000000"/>
                <w:sz w:val="24"/>
              </w:rPr>
              <w:t>1,916,013.70</w:t>
            </w:r>
          </w:p>
        </w:tc>
        <w:tc>
          <w:tcPr>
            <w:vAlign w:val="center"/>
          </w:tcPr>
          <w:p>
            <w:pPr>
              <w:jc w:val="right"/>
            </w:pPr>
            <w:r>
              <w:rPr>
                <w:color w:val="000000"/>
                <w:sz w:val="24"/>
              </w:rPr>
              <w:t>1.61</w:t>
            </w:r>
          </w:p>
        </w:tc>
      </w:tr>
      <w:tr>
        <w:tc>
          <w:tcPr>
            <w:vAlign w:val="center"/>
          </w:tcPr>
          <w:p>
            <w:pPr>
              <w:jc w:val="left"/>
            </w:pPr>
            <w:r>
              <w:rPr>
                <w:color w:val="000000"/>
                <w:sz w:val="24"/>
              </w:rPr>
              <w:t>加拿大</w:t>
            </w:r>
          </w:p>
        </w:tc>
        <w:tc>
          <w:tcPr>
            <w:vAlign w:val="center"/>
          </w:tcPr>
          <w:p>
            <w:pPr>
              <w:jc w:val="right"/>
            </w:pPr>
            <w:r>
              <w:rPr>
                <w:color w:val="000000"/>
                <w:sz w:val="24"/>
              </w:rPr>
              <w:t>1,915,341.95</w:t>
            </w:r>
          </w:p>
        </w:tc>
        <w:tc>
          <w:tcPr>
            <w:vAlign w:val="center"/>
          </w:tcPr>
          <w:p>
            <w:pPr>
              <w:jc w:val="right"/>
            </w:pPr>
            <w:r>
              <w:rPr>
                <w:color w:val="000000"/>
                <w:sz w:val="24"/>
              </w:rPr>
              <w:t>1.61</w:t>
            </w:r>
          </w:p>
        </w:tc>
      </w:tr>
      <w:tr>
        <w:tc>
          <w:tcPr>
            <w:vAlign w:val="center"/>
          </w:tcPr>
          <w:p>
            <w:pPr>
              <w:jc w:val="left"/>
            </w:pPr>
            <w:r>
              <w:rPr>
                <w:color w:val="000000"/>
                <w:sz w:val="24"/>
              </w:rPr>
              <w:t>奥地利</w:t>
            </w:r>
          </w:p>
        </w:tc>
        <w:tc>
          <w:tcPr>
            <w:vAlign w:val="center"/>
          </w:tcPr>
          <w:p>
            <w:pPr>
              <w:jc w:val="right"/>
            </w:pPr>
            <w:r>
              <w:rPr>
                <w:color w:val="000000"/>
                <w:sz w:val="24"/>
              </w:rPr>
              <w:t>1,561,627.68</w:t>
            </w:r>
          </w:p>
        </w:tc>
        <w:tc>
          <w:tcPr>
            <w:vAlign w:val="center"/>
          </w:tcPr>
          <w:p>
            <w:pPr>
              <w:jc w:val="right"/>
            </w:pPr>
            <w:r>
              <w:rPr>
                <w:color w:val="000000"/>
                <w:sz w:val="24"/>
              </w:rPr>
              <w:t>1.31</w:t>
            </w:r>
          </w:p>
        </w:tc>
      </w:tr>
      <w:tr>
        <w:tc>
          <w:tcPr>
            <w:vAlign w:val="center"/>
          </w:tcPr>
          <w:p>
            <w:pPr>
              <w:jc w:val="left"/>
            </w:pPr>
            <w:r>
              <w:rPr>
                <w:color w:val="000000"/>
                <w:sz w:val="24"/>
              </w:rPr>
              <w:t>澳大利亚</w:t>
            </w:r>
          </w:p>
        </w:tc>
        <w:tc>
          <w:tcPr>
            <w:vAlign w:val="center"/>
          </w:tcPr>
          <w:p>
            <w:pPr>
              <w:jc w:val="right"/>
            </w:pPr>
            <w:r>
              <w:rPr>
                <w:color w:val="000000"/>
                <w:sz w:val="24"/>
              </w:rPr>
              <w:t>1,061,275.90</w:t>
            </w:r>
          </w:p>
        </w:tc>
        <w:tc>
          <w:tcPr>
            <w:vAlign w:val="center"/>
          </w:tcPr>
          <w:p>
            <w:pPr>
              <w:jc w:val="right"/>
            </w:pPr>
            <w:r>
              <w:rPr>
                <w:color w:val="000000"/>
                <w:sz w:val="24"/>
              </w:rPr>
              <w:t>0.89</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102,840,332.38</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86.44</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P="00DB3862" w:rsidR="00DB3862" w:rsidRDefault="00DB3862" w:rsidRPr="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
      </w:r>
      <w:r w:rsidRPr="00DB3862">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DB3862" w:rsidRPr="008640AE">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保健</w:t>
            </w:r>
          </w:p>
        </w:tc>
        <w:tc>
          <w:tcPr>
            <w:vAlign w:val="center"/>
          </w:tcPr>
          <w:p>
            <w:pPr>
              <w:jc w:val="right"/>
            </w:pPr>
            <w:r>
              <w:rPr>
                <w:color w:val="000000"/>
                <w:sz w:val="24"/>
              </w:rPr>
              <w:t>17,215,722.58</w:t>
            </w:r>
          </w:p>
        </w:tc>
        <w:tc>
          <w:tcPr>
            <w:vAlign w:val="center"/>
          </w:tcPr>
          <w:p>
            <w:pPr>
              <w:jc w:val="right"/>
            </w:pPr>
            <w:r>
              <w:rPr>
                <w:color w:val="000000"/>
                <w:sz w:val="24"/>
              </w:rPr>
              <w:t>14.47</w:t>
            </w:r>
          </w:p>
        </w:tc>
      </w:tr>
      <w:tr>
        <w:tc>
          <w:tcPr>
            <w:vAlign w:val="center"/>
          </w:tcPr>
          <w:p>
            <w:pPr>
              <w:jc w:val="left"/>
            </w:pPr>
            <w:r>
              <w:rPr>
                <w:color w:val="000000"/>
                <w:sz w:val="24"/>
              </w:rPr>
              <w:t>金融</w:t>
            </w:r>
          </w:p>
        </w:tc>
        <w:tc>
          <w:tcPr>
            <w:vAlign w:val="center"/>
          </w:tcPr>
          <w:p>
            <w:pPr>
              <w:jc w:val="right"/>
            </w:pPr>
            <w:r>
              <w:rPr>
                <w:color w:val="000000"/>
                <w:sz w:val="24"/>
              </w:rPr>
              <w:t>14,475,740.32</w:t>
            </w:r>
          </w:p>
        </w:tc>
        <w:tc>
          <w:tcPr>
            <w:vAlign w:val="center"/>
          </w:tcPr>
          <w:p>
            <w:pPr>
              <w:jc w:val="right"/>
            </w:pPr>
            <w:r>
              <w:rPr>
                <w:color w:val="000000"/>
                <w:sz w:val="24"/>
              </w:rPr>
              <w:t>12.17</w:t>
            </w:r>
          </w:p>
        </w:tc>
      </w:tr>
      <w:tr>
        <w:tc>
          <w:tcPr>
            <w:vAlign w:val="center"/>
          </w:tcPr>
          <w:p>
            <w:pPr>
              <w:jc w:val="left"/>
            </w:pPr>
            <w:r>
              <w:rPr>
                <w:color w:val="000000"/>
                <w:sz w:val="24"/>
              </w:rPr>
              <w:t>信息技术</w:t>
            </w:r>
          </w:p>
        </w:tc>
        <w:tc>
          <w:tcPr>
            <w:vAlign w:val="center"/>
          </w:tcPr>
          <w:p>
            <w:pPr>
              <w:jc w:val="right"/>
            </w:pPr>
            <w:r>
              <w:rPr>
                <w:color w:val="000000"/>
                <w:sz w:val="24"/>
              </w:rPr>
              <w:t>14,372,914.89</w:t>
            </w:r>
          </w:p>
        </w:tc>
        <w:tc>
          <w:tcPr>
            <w:vAlign w:val="center"/>
          </w:tcPr>
          <w:p>
            <w:pPr>
              <w:jc w:val="right"/>
            </w:pPr>
            <w:r>
              <w:rPr>
                <w:color w:val="000000"/>
                <w:sz w:val="24"/>
              </w:rPr>
              <w:t>12.08</w:t>
            </w:r>
          </w:p>
        </w:tc>
      </w:tr>
      <w:tr>
        <w:tc>
          <w:tcPr>
            <w:vAlign w:val="center"/>
          </w:tcPr>
          <w:p>
            <w:pPr>
              <w:jc w:val="left"/>
            </w:pPr>
            <w:r>
              <w:rPr>
                <w:color w:val="000000"/>
                <w:sz w:val="24"/>
              </w:rPr>
              <w:t>必需消费品</w:t>
            </w:r>
          </w:p>
        </w:tc>
        <w:tc>
          <w:tcPr>
            <w:vAlign w:val="center"/>
          </w:tcPr>
          <w:p>
            <w:pPr>
              <w:jc w:val="right"/>
            </w:pPr>
            <w:r>
              <w:rPr>
                <w:color w:val="000000"/>
                <w:sz w:val="24"/>
              </w:rPr>
              <w:t>11,686,916.60</w:t>
            </w:r>
          </w:p>
        </w:tc>
        <w:tc>
          <w:tcPr>
            <w:vAlign w:val="center"/>
          </w:tcPr>
          <w:p>
            <w:pPr>
              <w:jc w:val="right"/>
            </w:pPr>
            <w:r>
              <w:rPr>
                <w:color w:val="000000"/>
                <w:sz w:val="24"/>
              </w:rPr>
              <w:t>9.82</w:t>
            </w:r>
          </w:p>
        </w:tc>
      </w:tr>
      <w:tr>
        <w:tc>
          <w:tcPr>
            <w:vAlign w:val="center"/>
          </w:tcPr>
          <w:p>
            <w:pPr>
              <w:jc w:val="left"/>
            </w:pPr>
            <w:r>
              <w:rPr>
                <w:color w:val="000000"/>
                <w:sz w:val="24"/>
              </w:rPr>
              <w:t>非必需消费品</w:t>
            </w:r>
          </w:p>
        </w:tc>
        <w:tc>
          <w:tcPr>
            <w:vAlign w:val="center"/>
          </w:tcPr>
          <w:p>
            <w:pPr>
              <w:jc w:val="right"/>
            </w:pPr>
            <w:r>
              <w:rPr>
                <w:color w:val="000000"/>
                <w:sz w:val="24"/>
              </w:rPr>
              <w:t>11,556,118.03</w:t>
            </w:r>
          </w:p>
        </w:tc>
        <w:tc>
          <w:tcPr>
            <w:vAlign w:val="center"/>
          </w:tcPr>
          <w:p>
            <w:pPr>
              <w:jc w:val="right"/>
            </w:pPr>
            <w:r>
              <w:rPr>
                <w:color w:val="000000"/>
                <w:sz w:val="24"/>
              </w:rPr>
              <w:t>9.71</w:t>
            </w:r>
          </w:p>
        </w:tc>
      </w:tr>
      <w:tr>
        <w:tc>
          <w:tcPr>
            <w:vAlign w:val="center"/>
          </w:tcPr>
          <w:p>
            <w:pPr>
              <w:jc w:val="left"/>
            </w:pPr>
            <w:r>
              <w:rPr>
                <w:color w:val="000000"/>
                <w:sz w:val="24"/>
              </w:rPr>
              <w:t>电信服务</w:t>
            </w:r>
          </w:p>
        </w:tc>
        <w:tc>
          <w:tcPr>
            <w:vAlign w:val="center"/>
          </w:tcPr>
          <w:p>
            <w:pPr>
              <w:jc w:val="right"/>
            </w:pPr>
            <w:r>
              <w:rPr>
                <w:color w:val="000000"/>
                <w:sz w:val="24"/>
              </w:rPr>
              <w:t>11,052,882.97</w:t>
            </w:r>
          </w:p>
        </w:tc>
        <w:tc>
          <w:tcPr>
            <w:vAlign w:val="center"/>
          </w:tcPr>
          <w:p>
            <w:pPr>
              <w:jc w:val="right"/>
            </w:pPr>
            <w:r>
              <w:rPr>
                <w:color w:val="000000"/>
                <w:sz w:val="24"/>
              </w:rPr>
              <w:t>9.29</w:t>
            </w:r>
          </w:p>
        </w:tc>
      </w:tr>
      <w:tr>
        <w:tc>
          <w:tcPr>
            <w:vAlign w:val="center"/>
          </w:tcPr>
          <w:p>
            <w:pPr>
              <w:jc w:val="left"/>
            </w:pPr>
            <w:r>
              <w:rPr>
                <w:color w:val="000000"/>
                <w:sz w:val="24"/>
              </w:rPr>
              <w:t>工业</w:t>
            </w:r>
          </w:p>
        </w:tc>
        <w:tc>
          <w:tcPr>
            <w:vAlign w:val="center"/>
          </w:tcPr>
          <w:p>
            <w:pPr>
              <w:jc w:val="right"/>
            </w:pPr>
            <w:r>
              <w:rPr>
                <w:color w:val="000000"/>
                <w:sz w:val="24"/>
              </w:rPr>
              <w:t>10,834,731.08</w:t>
            </w:r>
          </w:p>
        </w:tc>
        <w:tc>
          <w:tcPr>
            <w:vAlign w:val="center"/>
          </w:tcPr>
          <w:p>
            <w:pPr>
              <w:jc w:val="right"/>
            </w:pPr>
            <w:r>
              <w:rPr>
                <w:color w:val="000000"/>
                <w:sz w:val="24"/>
              </w:rPr>
              <w:t>9.11</w:t>
            </w:r>
          </w:p>
        </w:tc>
      </w:tr>
      <w:tr>
        <w:tc>
          <w:tcPr>
            <w:vAlign w:val="center"/>
          </w:tcPr>
          <w:p>
            <w:pPr>
              <w:jc w:val="left"/>
            </w:pPr>
            <w:r>
              <w:rPr>
                <w:color w:val="000000"/>
                <w:sz w:val="24"/>
              </w:rPr>
              <w:t>材料</w:t>
            </w:r>
          </w:p>
        </w:tc>
        <w:tc>
          <w:tcPr>
            <w:vAlign w:val="center"/>
          </w:tcPr>
          <w:p>
            <w:pPr>
              <w:jc w:val="right"/>
            </w:pPr>
            <w:r>
              <w:rPr>
                <w:color w:val="000000"/>
                <w:sz w:val="24"/>
              </w:rPr>
              <w:t>3,900,143.91</w:t>
            </w:r>
          </w:p>
        </w:tc>
        <w:tc>
          <w:tcPr>
            <w:vAlign w:val="center"/>
          </w:tcPr>
          <w:p>
            <w:pPr>
              <w:jc w:val="right"/>
            </w:pPr>
            <w:r>
              <w:rPr>
                <w:color w:val="000000"/>
                <w:sz w:val="24"/>
              </w:rPr>
              <w:t>3.28</w:t>
            </w:r>
          </w:p>
        </w:tc>
      </w:tr>
      <w:tr>
        <w:tc>
          <w:tcPr>
            <w:vAlign w:val="center"/>
          </w:tcPr>
          <w:p>
            <w:pPr>
              <w:jc w:val="left"/>
            </w:pPr>
            <w:r>
              <w:rPr>
                <w:color w:val="000000"/>
                <w:sz w:val="24"/>
              </w:rPr>
              <w:t>能源</w:t>
            </w:r>
          </w:p>
        </w:tc>
        <w:tc>
          <w:tcPr>
            <w:vAlign w:val="center"/>
          </w:tcPr>
          <w:p>
            <w:pPr>
              <w:jc w:val="right"/>
            </w:pPr>
            <w:r>
              <w:rPr>
                <w:color w:val="000000"/>
                <w:sz w:val="24"/>
              </w:rPr>
              <w:t>3,661,183.22</w:t>
            </w:r>
          </w:p>
        </w:tc>
        <w:tc>
          <w:tcPr>
            <w:vAlign w:val="center"/>
          </w:tcPr>
          <w:p>
            <w:pPr>
              <w:jc w:val="right"/>
            </w:pPr>
            <w:r>
              <w:rPr>
                <w:color w:val="000000"/>
                <w:sz w:val="24"/>
              </w:rPr>
              <w:t>3.08</w:t>
            </w:r>
          </w:p>
        </w:tc>
      </w:tr>
      <w:tr>
        <w:tc>
          <w:tcPr>
            <w:vAlign w:val="center"/>
          </w:tcPr>
          <w:p>
            <w:pPr>
              <w:jc w:val="left"/>
            </w:pPr>
            <w:r>
              <w:rPr>
                <w:color w:val="000000"/>
                <w:sz w:val="24"/>
              </w:rPr>
              <w:t>房地产</w:t>
            </w:r>
          </w:p>
        </w:tc>
        <w:tc>
          <w:tcPr>
            <w:vAlign w:val="center"/>
          </w:tcPr>
          <w:p>
            <w:pPr>
              <w:jc w:val="right"/>
            </w:pPr>
            <w:r>
              <w:rPr>
                <w:color w:val="000000"/>
                <w:sz w:val="24"/>
              </w:rPr>
              <w:t>3,540,035.05</w:t>
            </w:r>
          </w:p>
        </w:tc>
        <w:tc>
          <w:tcPr>
            <w:vAlign w:val="center"/>
          </w:tcPr>
          <w:p>
            <w:pPr>
              <w:jc w:val="right"/>
            </w:pPr>
            <w:r>
              <w:rPr>
                <w:color w:val="000000"/>
                <w:sz w:val="24"/>
              </w:rPr>
              <w:t>2.98</w:t>
            </w:r>
          </w:p>
        </w:tc>
      </w:tr>
      <w:tr>
        <w:tc>
          <w:tcPr>
            <w:vAlign w:val="center"/>
          </w:tcPr>
          <w:p>
            <w:pPr>
              <w:jc w:val="left"/>
            </w:pPr>
            <w:r>
              <w:rPr>
                <w:color w:val="000000"/>
                <w:sz w:val="24"/>
              </w:rPr>
              <w:t>公共事业</w:t>
            </w:r>
          </w:p>
        </w:tc>
        <w:tc>
          <w:tcPr>
            <w:vAlign w:val="center"/>
          </w:tcPr>
          <w:p>
            <w:pPr>
              <w:jc w:val="right"/>
            </w:pPr>
            <w:r>
              <w:rPr>
                <w:color w:val="000000"/>
                <w:sz w:val="24"/>
              </w:rPr>
              <w:t>543,943.73</w:t>
            </w:r>
          </w:p>
        </w:tc>
        <w:tc>
          <w:tcPr>
            <w:vAlign w:val="center"/>
          </w:tcPr>
          <w:p>
            <w:pPr>
              <w:jc w:val="right"/>
            </w:pPr>
            <w:r>
              <w:rPr>
                <w:color w:val="000000"/>
                <w:sz w:val="24"/>
              </w:rPr>
              <w:t>0.46</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lastRenderedPageBreak/>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102,840,332.38</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86.44</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firstColumn="1" w:firstRow="1" w:lastColumn="0" w:lastRow="0" w:noHBand="0" w:noVBand="1"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Danaher Corporation</w:t>
            </w:r>
          </w:p>
        </w:tc>
        <w:tc>
          <w:tcPr>
            <w:vAlign w:val="center"/>
          </w:tcPr>
          <w:p>
            <w:pPr>
              <w:jc w:val="center"/>
            </w:pPr>
            <w:r>
              <w:rPr>
                <w:color w:val="000000"/>
                <w:sz w:val="24"/>
              </w:rPr>
              <w:t>丹纳赫</w:t>
            </w:r>
          </w:p>
        </w:tc>
        <w:tc>
          <w:tcPr>
            <w:vAlign w:val="center"/>
          </w:tcPr>
          <w:p>
            <w:pPr>
              <w:jc w:val="center"/>
            </w:pPr>
            <w:r>
              <w:rPr>
                <w:color w:val="000000"/>
                <w:sz w:val="24"/>
              </w:rPr>
              <w:t>DHR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3,265</w:t>
            </w:r>
          </w:p>
        </w:tc>
        <w:tc>
          <w:tcPr>
            <w:vAlign w:val="center"/>
          </w:tcPr>
          <w:p>
            <w:pPr>
              <w:jc w:val="right"/>
            </w:pPr>
            <w:r>
              <w:rPr>
                <w:color w:val="000000"/>
                <w:sz w:val="24"/>
              </w:rPr>
              <w:t>3,207,967.38</w:t>
            </w:r>
          </w:p>
        </w:tc>
        <w:tc>
          <w:tcPr>
            <w:vAlign w:val="center"/>
          </w:tcPr>
          <w:p>
            <w:pPr>
              <w:jc w:val="right"/>
            </w:pPr>
            <w:r>
              <w:rPr>
                <w:color w:val="000000"/>
                <w:sz w:val="24"/>
              </w:rPr>
              <w:t>2.70</w:t>
            </w:r>
          </w:p>
        </w:tc>
      </w:tr>
      <w:tr>
        <w:tc>
          <w:tcPr>
            <w:vAlign w:val="center"/>
          </w:tcPr>
          <w:p>
            <w:pPr>
              <w:jc w:val="center"/>
            </w:pPr>
            <w:r>
              <w:rPr>
                <w:color w:val="000000"/>
                <w:sz w:val="24"/>
              </w:rPr>
              <w:t>2</w:t>
            </w:r>
          </w:p>
        </w:tc>
        <w:tc>
          <w:tcPr>
            <w:vAlign w:val="center"/>
          </w:tcPr>
          <w:p>
            <w:pPr>
              <w:jc w:val="center"/>
            </w:pPr>
            <w:r>
              <w:rPr>
                <w:color w:val="000000"/>
                <w:sz w:val="24"/>
              </w:rPr>
              <w:t>the Nestlé Group</w:t>
            </w:r>
          </w:p>
        </w:tc>
        <w:tc>
          <w:tcPr>
            <w:vAlign w:val="center"/>
          </w:tcPr>
          <w:p>
            <w:pPr>
              <w:jc w:val="center"/>
            </w:pPr>
            <w:r>
              <w:rPr>
                <w:color w:val="000000"/>
                <w:sz w:val="24"/>
              </w:rPr>
              <w:t>雀巢集团</w:t>
            </w:r>
          </w:p>
        </w:tc>
        <w:tc>
          <w:tcPr>
            <w:vAlign w:val="center"/>
          </w:tcPr>
          <w:p>
            <w:pPr>
              <w:jc w:val="center"/>
            </w:pPr>
            <w:r>
              <w:rPr>
                <w:color w:val="000000"/>
                <w:sz w:val="24"/>
              </w:rPr>
              <w:t>NESN SW</w:t>
            </w:r>
          </w:p>
        </w:tc>
        <w:tc>
          <w:tcPr>
            <w:vAlign w:val="center"/>
          </w:tcPr>
          <w:p>
            <w:pPr>
              <w:jc w:val="center"/>
            </w:pPr>
            <w:r>
              <w:rPr>
                <w:color w:val="000000"/>
                <w:sz w:val="24"/>
              </w:rPr>
              <w:t>瑞士证券交易所</w:t>
            </w:r>
          </w:p>
        </w:tc>
        <w:tc>
          <w:tcPr>
            <w:vAlign w:val="center"/>
          </w:tcPr>
          <w:p>
            <w:pPr>
              <w:jc w:val="center"/>
            </w:pPr>
            <w:r>
              <w:rPr>
                <w:color w:val="000000"/>
                <w:sz w:val="24"/>
              </w:rPr>
              <w:t>瑞士</w:t>
            </w:r>
          </w:p>
        </w:tc>
        <w:tc>
          <w:tcPr>
            <w:vAlign w:val="center"/>
          </w:tcPr>
          <w:p>
            <w:pPr>
              <w:jc w:val="right"/>
            </w:pPr>
            <w:r>
              <w:rPr>
                <w:color w:val="000000"/>
                <w:sz w:val="24"/>
              </w:rPr>
              <w:t>4,221</w:t>
            </w:r>
          </w:p>
        </w:tc>
        <w:tc>
          <w:tcPr>
            <w:vAlign w:val="center"/>
          </w:tcPr>
          <w:p>
            <w:pPr>
              <w:jc w:val="right"/>
            </w:pPr>
            <w:r>
              <w:rPr>
                <w:color w:val="000000"/>
                <w:sz w:val="24"/>
              </w:rPr>
              <w:t>3,007,057.34</w:t>
            </w:r>
          </w:p>
        </w:tc>
        <w:tc>
          <w:tcPr>
            <w:vAlign w:val="center"/>
          </w:tcPr>
          <w:p>
            <w:pPr>
              <w:jc w:val="right"/>
            </w:pPr>
            <w:r>
              <w:rPr>
                <w:color w:val="000000"/>
                <w:sz w:val="24"/>
              </w:rPr>
              <w:t>2.53</w:t>
            </w:r>
          </w:p>
        </w:tc>
      </w:tr>
      <w:tr>
        <w:tc>
          <w:tcPr>
            <w:vAlign w:val="center"/>
          </w:tcPr>
          <w:p>
            <w:pPr>
              <w:jc w:val="center"/>
            </w:pPr>
            <w:r>
              <w:rPr>
                <w:color w:val="000000"/>
                <w:sz w:val="24"/>
              </w:rPr>
              <w:t>3</w:t>
            </w:r>
          </w:p>
        </w:tc>
        <w:tc>
          <w:tcPr>
            <w:vAlign w:val="center"/>
          </w:tcPr>
          <w:p>
            <w:pPr>
              <w:jc w:val="center"/>
            </w:pPr>
            <w:r>
              <w:rPr>
                <w:color w:val="000000"/>
                <w:sz w:val="24"/>
              </w:rPr>
              <w:t>Amazon.Com Inc</w:t>
            </w:r>
          </w:p>
        </w:tc>
        <w:tc>
          <w:tcPr>
            <w:vAlign w:val="center"/>
          </w:tcPr>
          <w:p>
            <w:pPr>
              <w:jc w:val="center"/>
            </w:pPr>
            <w:r>
              <w:rPr>
                <w:color w:val="000000"/>
                <w:sz w:val="24"/>
              </w:rPr>
              <w:t>亚马逊公司</w:t>
            </w:r>
          </w:p>
        </w:tc>
        <w:tc>
          <w:tcPr>
            <w:vAlign w:val="center"/>
          </w:tcPr>
          <w:p>
            <w:pPr>
              <w:jc w:val="center"/>
            </w:pPr>
            <w:r>
              <w:rPr>
                <w:color w:val="000000"/>
                <w:sz w:val="24"/>
              </w:rPr>
              <w:t>AMZN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212</w:t>
            </w:r>
          </w:p>
        </w:tc>
        <w:tc>
          <w:tcPr>
            <w:vAlign w:val="center"/>
          </w:tcPr>
          <w:p>
            <w:pPr>
              <w:jc w:val="right"/>
            </w:pPr>
            <w:r>
              <w:rPr>
                <w:color w:val="000000"/>
                <w:sz w:val="24"/>
              </w:rPr>
              <w:t>2,759,845.29</w:t>
            </w:r>
          </w:p>
        </w:tc>
        <w:tc>
          <w:tcPr>
            <w:vAlign w:val="center"/>
          </w:tcPr>
          <w:p>
            <w:pPr>
              <w:jc w:val="right"/>
            </w:pPr>
            <w:r>
              <w:rPr>
                <w:color w:val="000000"/>
                <w:sz w:val="24"/>
              </w:rPr>
              <w:t>2.32</w:t>
            </w:r>
          </w:p>
        </w:tc>
      </w:tr>
      <w:tr>
        <w:tc>
          <w:tcPr>
            <w:vAlign w:val="center"/>
          </w:tcPr>
          <w:p>
            <w:pPr>
              <w:jc w:val="center"/>
            </w:pPr>
            <w:r>
              <w:rPr>
                <w:color w:val="000000"/>
                <w:sz w:val="24"/>
              </w:rPr>
              <w:t>4</w:t>
            </w:r>
          </w:p>
        </w:tc>
        <w:tc>
          <w:tcPr>
            <w:vAlign w:val="center"/>
          </w:tcPr>
          <w:p>
            <w:pPr>
              <w:jc w:val="center"/>
            </w:pPr>
            <w:r>
              <w:rPr>
                <w:color w:val="000000"/>
                <w:sz w:val="24"/>
              </w:rPr>
              <w:t>Comcast Corporation</w:t>
            </w:r>
          </w:p>
        </w:tc>
        <w:tc>
          <w:tcPr>
            <w:vAlign w:val="center"/>
          </w:tcPr>
          <w:p>
            <w:pPr>
              <w:jc w:val="center"/>
            </w:pPr>
            <w:r>
              <w:rPr>
                <w:color w:val="000000"/>
                <w:sz w:val="24"/>
              </w:rPr>
              <w:t>康卡斯特公司</w:t>
            </w:r>
          </w:p>
        </w:tc>
        <w:tc>
          <w:tcPr>
            <w:vAlign w:val="center"/>
          </w:tcPr>
          <w:p>
            <w:pPr>
              <w:jc w:val="center"/>
            </w:pPr>
            <w:r>
              <w:rPr>
                <w:color w:val="000000"/>
                <w:sz w:val="24"/>
              </w:rPr>
              <w:t>CMCSA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9,086</w:t>
            </w:r>
          </w:p>
        </w:tc>
        <w:tc>
          <w:tcPr>
            <w:vAlign w:val="center"/>
          </w:tcPr>
          <w:p>
            <w:pPr>
              <w:jc w:val="right"/>
            </w:pPr>
            <w:r>
              <w:rPr>
                <w:color w:val="000000"/>
                <w:sz w:val="24"/>
              </w:rPr>
              <w:t>2,640,957.80</w:t>
            </w:r>
          </w:p>
        </w:tc>
        <w:tc>
          <w:tcPr>
            <w:vAlign w:val="center"/>
          </w:tcPr>
          <w:p>
            <w:pPr>
              <w:jc w:val="right"/>
            </w:pPr>
            <w:r>
              <w:rPr>
                <w:color w:val="000000"/>
                <w:sz w:val="24"/>
              </w:rPr>
              <w:t>2.22</w:t>
            </w:r>
          </w:p>
        </w:tc>
      </w:tr>
      <w:tr>
        <w:tc>
          <w:tcPr>
            <w:vAlign w:val="center"/>
          </w:tcPr>
          <w:p>
            <w:pPr>
              <w:jc w:val="center"/>
            </w:pPr>
            <w:r>
              <w:rPr>
                <w:color w:val="000000"/>
                <w:sz w:val="24"/>
              </w:rPr>
              <w:t>5</w:t>
            </w:r>
          </w:p>
        </w:tc>
        <w:tc>
          <w:tcPr>
            <w:vAlign w:val="center"/>
          </w:tcPr>
          <w:p>
            <w:pPr>
              <w:jc w:val="center"/>
            </w:pPr>
            <w:r>
              <w:rPr>
                <w:color w:val="000000"/>
                <w:sz w:val="24"/>
              </w:rPr>
              <w:t>Visa Inc</w:t>
            </w:r>
          </w:p>
        </w:tc>
        <w:tc>
          <w:tcPr>
            <w:vAlign w:val="center"/>
          </w:tcPr>
          <w:p>
            <w:pPr>
              <w:jc w:val="center"/>
            </w:pPr>
            <w:r>
              <w:rPr>
                <w:color w:val="000000"/>
                <w:sz w:val="24"/>
              </w:rPr>
              <w:t>维萨公司</w:t>
            </w:r>
          </w:p>
        </w:tc>
        <w:tc>
          <w:tcPr>
            <w:vAlign w:val="center"/>
          </w:tcPr>
          <w:p>
            <w:pPr>
              <w:jc w:val="center"/>
            </w:pPr>
            <w:r>
              <w:rPr>
                <w:color w:val="000000"/>
                <w:sz w:val="24"/>
              </w:rPr>
              <w:t>V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2,119</w:t>
            </w:r>
          </w:p>
        </w:tc>
        <w:tc>
          <w:tcPr>
            <w:vAlign w:val="center"/>
          </w:tcPr>
          <w:p>
            <w:pPr>
              <w:jc w:val="right"/>
            </w:pPr>
            <w:r>
              <w:rPr>
                <w:color w:val="000000"/>
                <w:sz w:val="24"/>
              </w:rPr>
              <w:t>2,528,187.77</w:t>
            </w:r>
          </w:p>
        </w:tc>
        <w:tc>
          <w:tcPr>
            <w:vAlign w:val="center"/>
          </w:tcPr>
          <w:p>
            <w:pPr>
              <w:jc w:val="right"/>
            </w:pPr>
            <w:r>
              <w:rPr>
                <w:color w:val="000000"/>
                <w:sz w:val="24"/>
              </w:rPr>
              <w:t>2.12</w:t>
            </w:r>
          </w:p>
        </w:tc>
      </w:tr>
      <w:tr>
        <w:tc>
          <w:tcPr>
            <w:vAlign w:val="center"/>
          </w:tcPr>
          <w:p>
            <w:pPr>
              <w:jc w:val="center"/>
            </w:pPr>
            <w:r>
              <w:rPr>
                <w:color w:val="000000"/>
                <w:sz w:val="24"/>
              </w:rPr>
              <w:t>6</w:t>
            </w:r>
          </w:p>
        </w:tc>
        <w:tc>
          <w:tcPr>
            <w:vAlign w:val="center"/>
          </w:tcPr>
          <w:p>
            <w:pPr>
              <w:jc w:val="center"/>
            </w:pPr>
            <w:r>
              <w:rPr>
                <w:color w:val="000000"/>
                <w:sz w:val="24"/>
              </w:rPr>
              <w:t>Microsoft Corp.</w:t>
            </w:r>
          </w:p>
        </w:tc>
        <w:tc>
          <w:tcPr>
            <w:vAlign w:val="center"/>
          </w:tcPr>
          <w:p>
            <w:pPr>
              <w:jc w:val="center"/>
            </w:pPr>
            <w:r>
              <w:rPr>
                <w:color w:val="000000"/>
                <w:sz w:val="24"/>
              </w:rPr>
              <w:t>微软公司</w:t>
            </w:r>
          </w:p>
        </w:tc>
        <w:tc>
          <w:tcPr>
            <w:vAlign w:val="center"/>
          </w:tcPr>
          <w:p>
            <w:pPr>
              <w:jc w:val="center"/>
            </w:pPr>
            <w:r>
              <w:rPr>
                <w:color w:val="000000"/>
                <w:sz w:val="24"/>
              </w:rPr>
              <w:t>MSFT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2,660</w:t>
            </w:r>
          </w:p>
        </w:tc>
        <w:tc>
          <w:tcPr>
            <w:vAlign w:val="center"/>
          </w:tcPr>
          <w:p>
            <w:pPr>
              <w:jc w:val="right"/>
            </w:pPr>
            <w:r>
              <w:rPr>
                <w:color w:val="000000"/>
                <w:sz w:val="24"/>
              </w:rPr>
              <w:t>2,449,686.60</w:t>
            </w:r>
          </w:p>
        </w:tc>
        <w:tc>
          <w:tcPr>
            <w:vAlign w:val="center"/>
          </w:tcPr>
          <w:p>
            <w:pPr>
              <w:jc w:val="right"/>
            </w:pPr>
            <w:r>
              <w:rPr>
                <w:color w:val="000000"/>
                <w:sz w:val="24"/>
              </w:rPr>
              <w:t>2.06</w:t>
            </w:r>
          </w:p>
        </w:tc>
      </w:tr>
      <w:tr>
        <w:tc>
          <w:tcPr>
            <w:vAlign w:val="center"/>
          </w:tcPr>
          <w:p>
            <w:pPr>
              <w:jc w:val="center"/>
            </w:pPr>
            <w:r>
              <w:rPr>
                <w:color w:val="000000"/>
                <w:sz w:val="24"/>
              </w:rPr>
              <w:t>7</w:t>
            </w:r>
          </w:p>
        </w:tc>
        <w:tc>
          <w:tcPr>
            <w:vAlign w:val="center"/>
          </w:tcPr>
          <w:p>
            <w:pPr>
              <w:jc w:val="center"/>
            </w:pPr>
            <w:r>
              <w:rPr>
                <w:color w:val="000000"/>
                <w:sz w:val="24"/>
              </w:rPr>
              <w:t>Texas Instruments Inc</w:t>
            </w:r>
          </w:p>
        </w:tc>
        <w:tc>
          <w:tcPr>
            <w:vAlign w:val="center"/>
          </w:tcPr>
          <w:p>
            <w:pPr>
              <w:jc w:val="center"/>
            </w:pPr>
            <w:r>
              <w:rPr>
                <w:color w:val="000000"/>
                <w:sz w:val="24"/>
              </w:rPr>
              <w:t>德州仪器公司</w:t>
            </w:r>
          </w:p>
        </w:tc>
        <w:tc>
          <w:tcPr>
            <w:vAlign w:val="center"/>
          </w:tcPr>
          <w:p>
            <w:pPr>
              <w:jc w:val="center"/>
            </w:pPr>
            <w:r>
              <w:rPr>
                <w:color w:val="000000"/>
                <w:sz w:val="24"/>
              </w:rPr>
              <w:t>TXN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3,003</w:t>
            </w:r>
          </w:p>
        </w:tc>
        <w:tc>
          <w:tcPr>
            <w:vAlign w:val="center"/>
          </w:tcPr>
          <w:p>
            <w:pPr>
              <w:jc w:val="right"/>
            </w:pPr>
            <w:r>
              <w:rPr>
                <w:color w:val="000000"/>
                <w:sz w:val="24"/>
              </w:rPr>
              <w:t>2,369,188.54</w:t>
            </w:r>
          </w:p>
        </w:tc>
        <w:tc>
          <w:tcPr>
            <w:vAlign w:val="center"/>
          </w:tcPr>
          <w:p>
            <w:pPr>
              <w:jc w:val="right"/>
            </w:pPr>
            <w:r>
              <w:rPr>
                <w:color w:val="000000"/>
                <w:sz w:val="24"/>
              </w:rPr>
              <w:t>1.99</w:t>
            </w:r>
          </w:p>
        </w:tc>
      </w:tr>
      <w:tr>
        <w:tc>
          <w:tcPr>
            <w:vAlign w:val="center"/>
          </w:tcPr>
          <w:p>
            <w:pPr>
              <w:jc w:val="center"/>
            </w:pPr>
            <w:r>
              <w:rPr>
                <w:color w:val="000000"/>
                <w:sz w:val="24"/>
              </w:rPr>
              <w:t>8</w:t>
            </w:r>
          </w:p>
        </w:tc>
        <w:tc>
          <w:tcPr>
            <w:vAlign w:val="center"/>
          </w:tcPr>
          <w:p>
            <w:pPr>
              <w:jc w:val="center"/>
            </w:pPr>
            <w:r>
              <w:rPr>
                <w:color w:val="000000"/>
                <w:sz w:val="24"/>
              </w:rPr>
              <w:t>Unitedhealth Group Inc</w:t>
            </w:r>
          </w:p>
        </w:tc>
        <w:tc>
          <w:tcPr>
            <w:vAlign w:val="center"/>
          </w:tcPr>
          <w:p>
            <w:pPr>
              <w:jc w:val="center"/>
            </w:pPr>
            <w:r>
              <w:rPr>
                <w:color w:val="000000"/>
                <w:sz w:val="24"/>
              </w:rPr>
              <w:t>美国联合健康集团</w:t>
            </w:r>
          </w:p>
        </w:tc>
        <w:tc>
          <w:tcPr>
            <w:vAlign w:val="center"/>
          </w:tcPr>
          <w:p>
            <w:pPr>
              <w:jc w:val="center"/>
            </w:pPr>
            <w:r>
              <w:rPr>
                <w:color w:val="000000"/>
                <w:sz w:val="24"/>
              </w:rPr>
              <w:t>UNH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1,382</w:t>
            </w:r>
          </w:p>
        </w:tc>
        <w:tc>
          <w:tcPr>
            <w:vAlign w:val="center"/>
          </w:tcPr>
          <w:p>
            <w:pPr>
              <w:jc w:val="right"/>
            </w:pPr>
            <w:r>
              <w:rPr>
                <w:color w:val="000000"/>
                <w:sz w:val="24"/>
              </w:rPr>
              <w:t>2,318,298.85</w:t>
            </w:r>
          </w:p>
        </w:tc>
        <w:tc>
          <w:tcPr>
            <w:vAlign w:val="center"/>
          </w:tcPr>
          <w:p>
            <w:pPr>
              <w:jc w:val="right"/>
            </w:pPr>
            <w:r>
              <w:rPr>
                <w:color w:val="000000"/>
                <w:sz w:val="24"/>
              </w:rPr>
              <w:t>1.95</w:t>
            </w:r>
          </w:p>
        </w:tc>
      </w:tr>
      <w:tr>
        <w:tc>
          <w:tcPr>
            <w:vAlign w:val="center"/>
          </w:tcPr>
          <w:p>
            <w:pPr>
              <w:jc w:val="center"/>
            </w:pPr>
            <w:r>
              <w:rPr>
                <w:color w:val="000000"/>
                <w:sz w:val="24"/>
              </w:rPr>
              <w:t>9</w:t>
            </w:r>
          </w:p>
        </w:tc>
        <w:tc>
          <w:tcPr>
            <w:vAlign w:val="center"/>
          </w:tcPr>
          <w:p>
            <w:pPr>
              <w:jc w:val="center"/>
            </w:pPr>
            <w:r>
              <w:rPr>
                <w:color w:val="000000"/>
                <w:sz w:val="24"/>
              </w:rPr>
              <w:t>T-Mobile US Inc</w:t>
            </w:r>
          </w:p>
        </w:tc>
        <w:tc>
          <w:tcPr>
            <w:vAlign w:val="center"/>
          </w:tcPr>
          <w:p>
            <w:pPr>
              <w:jc w:val="center"/>
            </w:pPr>
            <w:r>
              <w:rPr>
                <w:color w:val="000000"/>
                <w:sz w:val="24"/>
              </w:rPr>
              <w:t>T-Mobile US有限公司</w:t>
            </w:r>
          </w:p>
        </w:tc>
        <w:tc>
          <w:tcPr>
            <w:vAlign w:val="center"/>
          </w:tcPr>
          <w:p>
            <w:pPr>
              <w:jc w:val="center"/>
            </w:pPr>
            <w:r>
              <w:rPr>
                <w:color w:val="000000"/>
                <w:sz w:val="24"/>
              </w:rPr>
              <w:t>TMUS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4,357</w:t>
            </w:r>
          </w:p>
        </w:tc>
        <w:tc>
          <w:tcPr>
            <w:vAlign w:val="center"/>
          </w:tcPr>
          <w:p>
            <w:pPr>
              <w:jc w:val="right"/>
            </w:pPr>
            <w:r>
              <w:rPr>
                <w:color w:val="000000"/>
                <w:sz w:val="24"/>
              </w:rPr>
              <w:t>2,220,720.45</w:t>
            </w:r>
          </w:p>
        </w:tc>
        <w:tc>
          <w:tcPr>
            <w:vAlign w:val="center"/>
          </w:tcPr>
          <w:p>
            <w:pPr>
              <w:jc w:val="right"/>
            </w:pPr>
            <w:r>
              <w:rPr>
                <w:color w:val="000000"/>
                <w:sz w:val="24"/>
              </w:rPr>
              <w:t>1.87</w:t>
            </w:r>
          </w:p>
        </w:tc>
      </w:tr>
      <w:tr>
        <w:tc>
          <w:tcPr>
            <w:vAlign w:val="center"/>
          </w:tcPr>
          <w:p>
            <w:pPr>
              <w:jc w:val="center"/>
            </w:pPr>
            <w:r>
              <w:rPr>
                <w:color w:val="000000"/>
                <w:sz w:val="24"/>
              </w:rPr>
              <w:t>10</w:t>
            </w:r>
          </w:p>
        </w:tc>
        <w:tc>
          <w:tcPr>
            <w:vAlign w:val="center"/>
          </w:tcPr>
          <w:p>
            <w:pPr>
              <w:jc w:val="center"/>
            </w:pPr>
            <w:r>
              <w:rPr>
                <w:color w:val="000000"/>
                <w:sz w:val="24"/>
              </w:rPr>
              <w:t>Union Pacific Corp</w:t>
            </w:r>
          </w:p>
        </w:tc>
        <w:tc>
          <w:tcPr>
            <w:vAlign w:val="center"/>
          </w:tcPr>
          <w:p>
            <w:pPr>
              <w:jc w:val="center"/>
            </w:pPr>
            <w:r>
              <w:rPr>
                <w:color w:val="000000"/>
                <w:sz w:val="24"/>
              </w:rPr>
              <w:t>联合太平洋公司</w:t>
            </w:r>
          </w:p>
        </w:tc>
        <w:tc>
          <w:tcPr>
            <w:vAlign w:val="center"/>
          </w:tcPr>
          <w:p>
            <w:pPr>
              <w:jc w:val="center"/>
            </w:pPr>
            <w:r>
              <w:rPr>
                <w:color w:val="000000"/>
                <w:sz w:val="24"/>
              </w:rPr>
              <w:t>UNP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1,875</w:t>
            </w:r>
          </w:p>
        </w:tc>
        <w:tc>
          <w:tcPr>
            <w:vAlign w:val="center"/>
          </w:tcPr>
          <w:p>
            <w:pPr>
              <w:jc w:val="right"/>
            </w:pPr>
            <w:r>
              <w:rPr>
                <w:color w:val="000000"/>
                <w:sz w:val="24"/>
              </w:rPr>
              <w:t>2,179,838.47</w:t>
            </w:r>
          </w:p>
        </w:tc>
        <w:tc>
          <w:tcPr>
            <w:vAlign w:val="center"/>
          </w:tcPr>
          <w:p>
            <w:pPr>
              <w:jc w:val="right"/>
            </w:pPr>
            <w:r>
              <w:rPr>
                <w:color w:val="000000"/>
                <w:sz w:val="24"/>
              </w:rPr>
              <w:t>1.83</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pPr>
        <w:autoSpaceDE w:val="0"/>
        <w:autoSpaceDN w:val="0"/>
        <w:adjustRightInd w:val="0"/>
        <w:spacing w:before="29" w:line="288" w:lineRule="auto"/>
        <w:jc w:val="left"/>
        <w:rPr>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p w:rsidP="00B93C3A" w:rsidR="00B93C3A" w:rsidRDefault="00B93C3A" w:rsidRPr="008640AE">
      <w:pPr>
        <w:autoSpaceDE w:val="0"/>
        <w:autoSpaceDN w:val="0"/>
        <w:adjustRightInd w:val="0"/>
        <w:spacing w:before="29" w:line="288" w:lineRule="auto"/>
        <w:jc w:val="right"/>
        <w:rPr>
          <w:color w:val="000000"/>
          <w:kern w:val="0"/>
          <w:sz w:val="24"/>
        </w:rPr>
      </w:pPr>
      <w:r w:rsidRPr="00B93C3A">
        <w:rPr>
          <w:rFonts w:hint="eastAsia"/>
          <w:color w:val="000000"/>
          <w:kern w:val="0"/>
          <w:sz w:val="24"/>
        </w:rPr>
        <w:t/>
      </w:r>
      <w:r w:rsidRPr="00B93C3A">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1,311,923.82</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322,792.53</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743.79</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146,655.47</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1,782,115.61</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8640AE">
      <w:pPr>
        <w:autoSpaceDE w:val="0"/>
        <w:autoSpaceDN w:val="0"/>
        <w:adjustRightInd w:val="0"/>
        <w:spacing w:before="29" w:line="288" w:lineRule="auto"/>
        <w:jc w:val="left"/>
        <w:rPr>
          <w:color w:val="000000"/>
          <w:kern w:val="0"/>
          <w:sz w:val="24"/>
        </w:rPr>
      </w:pPr>
      <w:r w:rsidRPr="008640AE">
        <w:rPr>
          <w:color w:val="000000"/>
          <w:kern w:val="0"/>
          <w:sz w:val="24"/>
        </w:rPr>
        <w:t/>
      </w:r>
      <w:r w:rsidR="0076518F" w:rsidRPr="008640AE">
        <w:rPr>
          <w:color w:val="000000"/>
          <w:kern w:val="0"/>
          <w:sz w:val="24"/>
        </w:rPr>
        <w:t>5.10.6</w:t>
      </w:r>
      <w:r w:rsidR="001C46E1" w:rsidRPr="008640AE">
        <w:rPr>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lastRenderedPageBreak/>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firstColumn="0" w:firstRow="0" w:lastColumn="0" w:lastRow="0" w:noHBand="0" w:noVBand="0"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61,492,145.06</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3,322,601.17</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4,811,513.49</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60,003,232.74</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lastRenderedPageBreak/>
        <w:t>本基金管理人本报告期内未进行本基金的申购、赎回、红利再投等；本基金管理人本报告期末持有本基金27,024,464.49份，占本基金期末总份额的45.04%。</w:t>
      </w:r>
    </w:p>
    <w:p w:rsidP="005546C0" w:rsidR="00200B62" w:rsidRDefault="00200B62" w:rsidRPr="008640AE">
      <w:pPr>
        <w:autoSpaceDE w:val="0"/>
        <w:autoSpaceDN w:val="0"/>
        <w:adjustRightInd w:val="0"/>
        <w:spacing w:before="29" w:line="288" w:lineRule="auto"/>
        <w:jc w:val="left"/>
        <w:rPr>
          <w:color w:val="000000"/>
          <w:sz w:val="24"/>
        </w:rPr>
      </w:pPr>
    </w:p>
    <w:p w:rsidP="00BB3041" w:rsidR="00ED3DCF" w:rsidRDefault="00ED3DCF">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ED3DCF" w:rsidR="00ED3DCF" w:rsidRDefault="00ED3DCF">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3DCF" w:rsidTr="00ED3DCF">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type="dxa" w:w="993"/>
            <w:vMerge/>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45.04%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9</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1、中国证监会批准交银施罗德环球精选价值证券投资基金募集的文件；</w:t>
      </w:r>
    </w:p>
    <w:p>
      <w:pPr>
        <w:spacing w:before="29" w:line="288" w:lineRule="auto"/>
        <w:ind w:firstLine="480" w:firstLineChars="200"/>
        <w:rPr>
          <w:color w:val="000000"/>
          <w:sz w:val="24"/>
        </w:rPr>
      </w:pPr>
      <w:r>
        <w:rPr>
          <w:color w:val="000000"/>
          <w:sz w:val="24"/>
        </w:rPr>
        <w:t>2、《交银施罗德环球精选价值证券投资基金基金合同》；</w:t>
      </w:r>
    </w:p>
    <w:p>
      <w:pPr>
        <w:spacing w:before="29" w:line="288" w:lineRule="auto"/>
        <w:ind w:firstLine="480" w:firstLineChars="200"/>
        <w:rPr>
          <w:color w:val="000000"/>
          <w:sz w:val="24"/>
        </w:rPr>
      </w:pPr>
      <w:r>
        <w:rPr>
          <w:color w:val="000000"/>
          <w:sz w:val="24"/>
        </w:rPr>
        <w:t>3、《交银施罗德环球精选价值证券投资基金招募说明书》；</w:t>
      </w:r>
    </w:p>
    <w:p>
      <w:pPr>
        <w:spacing w:before="29" w:line="288" w:lineRule="auto"/>
        <w:ind w:firstLine="480" w:firstLineChars="200"/>
        <w:rPr>
          <w:color w:val="000000"/>
          <w:sz w:val="24"/>
        </w:rPr>
      </w:pPr>
      <w:r>
        <w:rPr>
          <w:color w:val="000000"/>
          <w:sz w:val="24"/>
        </w:rPr>
        <w:t xml:space="preserve">4、《交银施罗德环球精选价值证券投资基金托管协议》； </w:t>
      </w:r>
    </w:p>
    <w:p>
      <w:pPr>
        <w:spacing w:before="29" w:line="288" w:lineRule="auto"/>
        <w:ind w:firstLine="480" w:firstLineChars="200"/>
        <w:rPr>
          <w:color w:val="000000"/>
          <w:sz w:val="24"/>
        </w:rPr>
      </w:pPr>
      <w:r>
        <w:rPr>
          <w:color w:val="000000"/>
          <w:sz w:val="24"/>
        </w:rPr>
        <w:t>5、关于申请募集交银施罗德环球精选价值证券投资基金之法律意见书；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7、基金托管人业务资格批件、营业执照；</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8、报告期内交银施罗德环球精选价值证券投资基金在指定报刊上各项公告的原稿。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18" w:rsidRDefault="00BB3E18">
      <w:r>
        <w:separator/>
      </w:r>
    </w:p>
  </w:endnote>
  <w:endnote w:type="continuationSeparator" w:id="0">
    <w:p w:rsidR="00BB3E18" w:rsidRDefault="00BB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66673A">
      <w:rPr>
        <w:noProof/>
        <w:kern w:val="0"/>
        <w:szCs w:val="21"/>
      </w:rPr>
      <w:t>9</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66673A">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B3E18" w:rsidRDefault="00BB3E18">
      <w:r>
        <w:separator/>
      </w:r>
    </w:p>
  </w:footnote>
  <w:footnote w:id="0" w:type="continuationSeparator">
    <w:p w:rsidR="00BB3E18" w:rsidRDefault="00BB3E1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交银施罗德环球精选价值证券投资基金2019年第2季度报告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9"/>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9"/>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110</TotalTime>
  <Pages>19</Pages>
  <Words>3089</Words>
  <Characters>17611</Characters>
  <Application>Microsoft Office Word</Application>
  <DocSecurity>0</DocSecurity>
  <Lines>146</Lines>
  <Paragraphs>41</Paragraphs>
  <ScaleCrop>false</ScaleCrop>
  <Company>TRT. Ltd. Co.</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业务系统</cp:lastModifiedBy>
  <cp:lastPrinted>2007-07-19T00:46:00Z</cp:lastPrinted>
  <dcterms:modified xsi:type="dcterms:W3CDTF">2019-07-04T03:10:00Z</dcterms:modified>
  <cp:revision>247</cp:revision>
</cp:coreProperties>
</file>