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兴业银行股份有限公司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基金托管人兴业银行股份有限公司根据本基金合同规定，于2019年7月16日复核了本报告中的财务指标、净值表现和投资组合报告等内容，保证复核内容不存在虚假记载、误导性陈述或者重大遗漏。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2015年12月29日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1,176,474,208.77</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交银裕通纯债债券A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交银裕通纯债债券C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519762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519763</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701,949,773.49</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474,524,435.28</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(2019年4月1日-2019年6月30日)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交银裕通纯债债券A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交银裕通纯债债券C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5,355,276.53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924,527.60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3,318,820.14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1,634,102.80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0.0047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0.0138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709,404,726.64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484,227,052.35</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1.011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1.020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交银裕通纯债债券A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0.49%</w:t>
            </w:r>
          </w:p>
        </w:tc>
        <w:tc>
          <w:tcPr>
            <w:vAlign w:val="center"/>
          </w:tcPr>
          <w:p>
            <w:pPr>
              <w:jc w:val="center"/>
            </w:pPr>
            <w:r>
              <w:rPr>
                <w:color w:val="000000"/>
                <w:sz w:val="24"/>
              </w:rPr>
              <w:t>0.06%</w:t>
            </w:r>
          </w:p>
        </w:tc>
        <w:tc>
          <w:tcPr>
            <w:vAlign w:val="center"/>
          </w:tcPr>
          <w:p>
            <w:pPr>
              <w:jc w:val="center"/>
            </w:pPr>
            <w:r>
              <w:rPr>
                <w:color w:val="000000"/>
                <w:sz w:val="24"/>
              </w:rPr>
              <w:t>-0.23%</w:t>
            </w:r>
          </w:p>
        </w:tc>
        <w:tc>
          <w:tcPr>
            <w:vAlign w:val="center"/>
          </w:tcPr>
          <w:p>
            <w:pPr>
              <w:jc w:val="center"/>
            </w:pPr>
            <w:r>
              <w:rPr>
                <w:color w:val="000000"/>
                <w:sz w:val="24"/>
              </w:rPr>
              <w:t>0.06%</w:t>
            </w:r>
          </w:p>
        </w:tc>
        <w:tc>
          <w:tcPr>
            <w:vAlign w:val="center"/>
          </w:tcPr>
          <w:p>
            <w:pPr>
              <w:jc w:val="center"/>
            </w:pPr>
            <w:r>
              <w:rPr>
                <w:color w:val="000000"/>
                <w:sz w:val="24"/>
              </w:rPr>
              <w:t>0.72%</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交银裕通纯债债券C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0.29%</w:t>
            </w:r>
          </w:p>
        </w:tc>
        <w:tc>
          <w:tcPr>
            <w:vAlign w:val="center"/>
          </w:tcPr>
          <w:p>
            <w:pPr>
              <w:jc w:val="center"/>
            </w:pPr>
            <w:r>
              <w:rPr>
                <w:color w:val="000000"/>
                <w:sz w:val="24"/>
              </w:rPr>
              <w:t>0.05%</w:t>
            </w:r>
          </w:p>
        </w:tc>
        <w:tc>
          <w:tcPr>
            <w:vAlign w:val="center"/>
          </w:tcPr>
          <w:p>
            <w:pPr>
              <w:jc w:val="center"/>
            </w:pPr>
            <w:r>
              <w:rPr>
                <w:color w:val="000000"/>
                <w:sz w:val="24"/>
              </w:rPr>
              <w:t>-0.23%</w:t>
            </w:r>
          </w:p>
        </w:tc>
        <w:tc>
          <w:tcPr>
            <w:vAlign w:val="center"/>
          </w:tcPr>
          <w:p>
            <w:pPr>
              <w:jc w:val="center"/>
            </w:pPr>
            <w:r>
              <w:rPr>
                <w:color w:val="000000"/>
                <w:sz w:val="24"/>
              </w:rPr>
              <w:t>0.06%</w:t>
            </w:r>
          </w:p>
        </w:tc>
        <w:tc>
          <w:tcPr>
            <w:vAlign w:val="center"/>
          </w:tcPr>
          <w:p>
            <w:pPr>
              <w:jc w:val="center"/>
            </w:pPr>
            <w:r>
              <w:rPr>
                <w:color w:val="000000"/>
                <w:sz w:val="24"/>
              </w:rPr>
              <w:t>0.52%</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交银施罗德裕通纯债债券型证券投资基金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2015年12月29日</w:t>
      </w:r>
      <w:r w:rsidR="009A045B" w:rsidRPr="007F52FA">
        <w:rPr>
          <w:rFonts w:ascii="Times New Roman" w:hAnsi="Times New Roman"/>
          <w:sz w:val="24"/>
          <w:szCs w:val="24"/>
        </w:rPr>
        <w:t>至</w:t>
      </w:r>
      <w:r w:rsidRPr="007F52FA">
        <w:rPr>
          <w:rFonts w:ascii="Times New Roman" w:hAnsi="Times New Roman"/>
          <w:sz w:val="24"/>
          <w:szCs w:val="24"/>
        </w:rPr>
        <w:t>2019年6月30日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交银裕通纯债债券C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交银稳鑫短债债券的基金经理</w:t>
            </w:r>
          </w:p>
        </w:tc>
        <w:tc>
          <w:tcPr>
            <w:vAlign w:val="center"/>
          </w:tcPr>
          <w:p>
            <w:pPr>
              <w:jc w:val="center"/>
            </w:pPr>
            <w:r>
              <w:rPr>
                <w:color w:val="000000"/>
                <w:sz w:val="24"/>
              </w:rPr>
              <w:t>2015-12-29</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交银信用添利债券(LOF)、交银双利债券、交银双轮动债券、交银裕通纯债债券、交银安心收益债券、交银荣鑫灵活配置混合的基金经理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市受到经济基本面、海外事件及资金面等多重因素影响。经济预期的反复在前一阶段带来长端收益率的扰动。三月春节错位令市场对于经济的预期高涨，十年活跃国开收益率一度接近3.90%。此后，经济环比数据回落，并伴随着中观行业订单季节性下降，地产销量逐步走低，五月中美贸易争端再起，经济预期进一步回落，十年活跃国开下行至3.75%位置，并在该中枢上下震荡。五月随着季末来临，基金融资相对困难，银行间流动性中性分化，短久期债券收益率上行，信用利差明显走廓。随着跨季资金面的宽松，短端收益率下行，中高等级信用债收益率也出现回落，但中低等级信用债成交依然不多。我们认为，二季度经济环比回落，叠加中美贸易不确定性的加强，债券市场存在结构性配置价值。考虑到流动性较为充分且组合资产以利率为主，因此二季度我们适度提高了组合杠杆，并增配了两年附近的利率债品种。</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三季度，从高频数据看，我们认为经济基本面面临下行压力，因此对于债券市场我们维持中性偏乐观的看法，上行风险来自于中美关系进展好于预期以及货币政策放松幅度不及预期。组合方面，我们将维持中性久期配置，并通过把握宏观预期的变化进行久期和杠杆的调整，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1,485,816,000.00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97.96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1,485,816,000.00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97.96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997,959.08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29,895,489.54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1,516,709,448.62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1,485,816,000.00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124.48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1,485,816,000.00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124.48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1,485,816,000.00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124.48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180208</w:t>
            </w:r>
          </w:p>
        </w:tc>
        <w:tc>
          <w:tcPr>
            <w:vAlign w:val="center"/>
          </w:tcPr>
          <w:p>
            <w:pPr>
              <w:jc w:val="center"/>
            </w:pPr>
            <w:r>
              <w:rPr>
                <w:color w:val="000000"/>
                <w:sz w:val="24"/>
              </w:rPr>
              <w:t>18国开08</w:t>
            </w:r>
          </w:p>
        </w:tc>
        <w:tc>
          <w:tcPr>
            <w:vAlign w:val="center"/>
          </w:tcPr>
          <w:p>
            <w:pPr>
              <w:jc w:val="right"/>
            </w:pPr>
            <w:r>
              <w:rPr>
                <w:color w:val="000000"/>
                <w:sz w:val="24"/>
              </w:rPr>
              <w:t>4,300,000</w:t>
            </w:r>
          </w:p>
        </w:tc>
        <w:tc>
          <w:tcPr>
            <w:vAlign w:val="center"/>
          </w:tcPr>
          <w:p>
            <w:pPr>
              <w:jc w:val="right"/>
            </w:pPr>
            <w:r>
              <w:rPr>
                <w:color w:val="000000"/>
                <w:sz w:val="24"/>
              </w:rPr>
              <w:t>437,568,000.00</w:t>
            </w:r>
          </w:p>
        </w:tc>
        <w:tc>
          <w:tcPr>
            <w:vAlign w:val="center"/>
          </w:tcPr>
          <w:p>
            <w:pPr>
              <w:jc w:val="right"/>
            </w:pPr>
            <w:r>
              <w:rPr>
                <w:color w:val="000000"/>
                <w:sz w:val="24"/>
              </w:rPr>
              <w:t>36.66</w:t>
            </w:r>
          </w:p>
        </w:tc>
      </w:tr>
      <w:tr>
        <w:tc>
          <w:tcPr>
            <w:vAlign w:val="center"/>
          </w:tcPr>
          <w:p>
            <w:pPr>
              <w:jc w:val="center"/>
            </w:pPr>
            <w:r>
              <w:rPr>
                <w:color w:val="000000"/>
                <w:sz w:val="24"/>
              </w:rPr>
              <w:t>2</w:t>
            </w:r>
          </w:p>
        </w:tc>
        <w:tc>
          <w:tcPr>
            <w:vAlign w:val="center"/>
          </w:tcPr>
          <w:p>
            <w:pPr>
              <w:jc w:val="center"/>
            </w:pPr>
            <w:r>
              <w:rPr>
                <w:color w:val="000000"/>
                <w:sz w:val="24"/>
              </w:rPr>
              <w:t>180212</w:t>
            </w:r>
          </w:p>
        </w:tc>
        <w:tc>
          <w:tcPr>
            <w:vAlign w:val="center"/>
          </w:tcPr>
          <w:p>
            <w:pPr>
              <w:jc w:val="center"/>
            </w:pPr>
            <w:r>
              <w:rPr>
                <w:color w:val="000000"/>
                <w:sz w:val="24"/>
              </w:rPr>
              <w:t>18国开12</w:t>
            </w:r>
          </w:p>
        </w:tc>
        <w:tc>
          <w:tcPr>
            <w:vAlign w:val="center"/>
          </w:tcPr>
          <w:p>
            <w:pPr>
              <w:jc w:val="right"/>
            </w:pPr>
            <w:r>
              <w:rPr>
                <w:color w:val="000000"/>
                <w:sz w:val="24"/>
              </w:rPr>
              <w:t>3,500,000</w:t>
            </w:r>
          </w:p>
        </w:tc>
        <w:tc>
          <w:tcPr>
            <w:vAlign w:val="center"/>
          </w:tcPr>
          <w:p>
            <w:pPr>
              <w:jc w:val="right"/>
            </w:pPr>
            <w:r>
              <w:rPr>
                <w:color w:val="000000"/>
                <w:sz w:val="24"/>
              </w:rPr>
              <w:t>353,920,000.00</w:t>
            </w:r>
          </w:p>
        </w:tc>
        <w:tc>
          <w:tcPr>
            <w:vAlign w:val="center"/>
          </w:tcPr>
          <w:p>
            <w:pPr>
              <w:jc w:val="right"/>
            </w:pPr>
            <w:r>
              <w:rPr>
                <w:color w:val="000000"/>
                <w:sz w:val="24"/>
              </w:rPr>
              <w:t>29.65</w:t>
            </w:r>
          </w:p>
        </w:tc>
      </w:tr>
      <w:tr>
        <w:tc>
          <w:tcPr>
            <w:vAlign w:val="center"/>
          </w:tcPr>
          <w:p>
            <w:pPr>
              <w:jc w:val="center"/>
            </w:pPr>
            <w:r>
              <w:rPr>
                <w:color w:val="000000"/>
                <w:sz w:val="24"/>
              </w:rPr>
              <w:t>3</w:t>
            </w:r>
          </w:p>
        </w:tc>
        <w:tc>
          <w:tcPr>
            <w:vAlign w:val="center"/>
          </w:tcPr>
          <w:p>
            <w:pPr>
              <w:jc w:val="center"/>
            </w:pPr>
            <w:r>
              <w:rPr>
                <w:color w:val="000000"/>
                <w:sz w:val="24"/>
              </w:rPr>
              <w:t>170209</w:t>
            </w:r>
          </w:p>
        </w:tc>
        <w:tc>
          <w:tcPr>
            <w:vAlign w:val="center"/>
          </w:tcPr>
          <w:p>
            <w:pPr>
              <w:jc w:val="center"/>
            </w:pPr>
            <w:r>
              <w:rPr>
                <w:color w:val="000000"/>
                <w:sz w:val="24"/>
              </w:rPr>
              <w:t>17国开09</w:t>
            </w:r>
          </w:p>
        </w:tc>
        <w:tc>
          <w:tcPr>
            <w:vAlign w:val="center"/>
          </w:tcPr>
          <w:p>
            <w:pPr>
              <w:jc w:val="right"/>
            </w:pPr>
            <w:r>
              <w:rPr>
                <w:color w:val="000000"/>
                <w:sz w:val="24"/>
              </w:rPr>
              <w:t>2,400,000</w:t>
            </w:r>
          </w:p>
        </w:tc>
        <w:tc>
          <w:tcPr>
            <w:vAlign w:val="center"/>
          </w:tcPr>
          <w:p>
            <w:pPr>
              <w:jc w:val="right"/>
            </w:pPr>
            <w:r>
              <w:rPr>
                <w:color w:val="000000"/>
                <w:sz w:val="24"/>
              </w:rPr>
              <w:t>243,360,000.00</w:t>
            </w:r>
          </w:p>
        </w:tc>
        <w:tc>
          <w:tcPr>
            <w:vAlign w:val="center"/>
          </w:tcPr>
          <w:p>
            <w:pPr>
              <w:jc w:val="right"/>
            </w:pPr>
            <w:r>
              <w:rPr>
                <w:color w:val="000000"/>
                <w:sz w:val="24"/>
              </w:rPr>
              <w:t>20.39</w:t>
            </w:r>
          </w:p>
        </w:tc>
      </w:tr>
      <w:tr>
        <w:tc>
          <w:tcPr>
            <w:vAlign w:val="center"/>
          </w:tcPr>
          <w:p>
            <w:pPr>
              <w:jc w:val="center"/>
            </w:pPr>
            <w:r>
              <w:rPr>
                <w:color w:val="000000"/>
                <w:sz w:val="24"/>
              </w:rPr>
              <w:t>4</w:t>
            </w:r>
          </w:p>
        </w:tc>
        <w:tc>
          <w:tcPr>
            <w:vAlign w:val="center"/>
          </w:tcPr>
          <w:p>
            <w:pPr>
              <w:jc w:val="center"/>
            </w:pPr>
            <w:r>
              <w:rPr>
                <w:color w:val="000000"/>
                <w:sz w:val="24"/>
              </w:rPr>
              <w:t>190202</w:t>
            </w:r>
          </w:p>
        </w:tc>
        <w:tc>
          <w:tcPr>
            <w:vAlign w:val="center"/>
          </w:tcPr>
          <w:p>
            <w:pPr>
              <w:jc w:val="center"/>
            </w:pPr>
            <w:r>
              <w:rPr>
                <w:color w:val="000000"/>
                <w:sz w:val="24"/>
              </w:rPr>
              <w:t>19国开02</w:t>
            </w:r>
          </w:p>
        </w:tc>
        <w:tc>
          <w:tcPr>
            <w:vAlign w:val="center"/>
          </w:tcPr>
          <w:p>
            <w:pPr>
              <w:jc w:val="right"/>
            </w:pPr>
            <w:r>
              <w:rPr>
                <w:color w:val="000000"/>
                <w:sz w:val="24"/>
              </w:rPr>
              <w:t>2,100,000</w:t>
            </w:r>
          </w:p>
        </w:tc>
        <w:tc>
          <w:tcPr>
            <w:vAlign w:val="center"/>
          </w:tcPr>
          <w:p>
            <w:pPr>
              <w:jc w:val="right"/>
            </w:pPr>
            <w:r>
              <w:rPr>
                <w:color w:val="000000"/>
                <w:sz w:val="24"/>
              </w:rPr>
              <w:t>209,307,000.00</w:t>
            </w:r>
          </w:p>
        </w:tc>
        <w:tc>
          <w:tcPr>
            <w:vAlign w:val="center"/>
          </w:tcPr>
          <w:p>
            <w:pPr>
              <w:jc w:val="right"/>
            </w:pPr>
            <w:r>
              <w:rPr>
                <w:color w:val="000000"/>
                <w:sz w:val="24"/>
              </w:rPr>
              <w:t>17.54</w:t>
            </w:r>
          </w:p>
        </w:tc>
      </w:tr>
      <w:tr>
        <w:tc>
          <w:tcPr>
            <w:vAlign w:val="center"/>
          </w:tcPr>
          <w:p>
            <w:pPr>
              <w:jc w:val="center"/>
            </w:pPr>
            <w:r>
              <w:rPr>
                <w:color w:val="000000"/>
                <w:sz w:val="24"/>
              </w:rPr>
              <w:t>5</w:t>
            </w:r>
          </w:p>
        </w:tc>
        <w:tc>
          <w:tcPr>
            <w:vAlign w:val="center"/>
          </w:tcPr>
          <w:p>
            <w:pPr>
              <w:jc w:val="center"/>
            </w:pPr>
            <w:r>
              <w:rPr>
                <w:color w:val="000000"/>
                <w:sz w:val="24"/>
              </w:rPr>
              <w:t>160206</w:t>
            </w:r>
          </w:p>
        </w:tc>
        <w:tc>
          <w:tcPr>
            <w:vAlign w:val="center"/>
          </w:tcPr>
          <w:p>
            <w:pPr>
              <w:jc w:val="center"/>
            </w:pPr>
            <w:r>
              <w:rPr>
                <w:color w:val="000000"/>
                <w:sz w:val="24"/>
              </w:rPr>
              <w:t>16国开06</w:t>
            </w:r>
          </w:p>
        </w:tc>
        <w:tc>
          <w:tcPr>
            <w:vAlign w:val="center"/>
          </w:tcPr>
          <w:p>
            <w:pPr>
              <w:jc w:val="right"/>
            </w:pPr>
            <w:r>
              <w:rPr>
                <w:color w:val="000000"/>
                <w:sz w:val="24"/>
              </w:rPr>
              <w:t>700,000</w:t>
            </w:r>
          </w:p>
        </w:tc>
        <w:tc>
          <w:tcPr>
            <w:vAlign w:val="center"/>
          </w:tcPr>
          <w:p>
            <w:pPr>
              <w:jc w:val="right"/>
            </w:pPr>
            <w:r>
              <w:rPr>
                <w:color w:val="000000"/>
                <w:sz w:val="24"/>
              </w:rPr>
              <w:t>69,874,000.00</w:t>
            </w:r>
          </w:p>
        </w:tc>
        <w:tc>
          <w:tcPr>
            <w:vAlign w:val="center"/>
          </w:tcPr>
          <w:p>
            <w:pPr>
              <w:jc w:val="right"/>
            </w:pPr>
            <w:r>
              <w:rPr>
                <w:color w:val="000000"/>
                <w:sz w:val="24"/>
              </w:rPr>
              <w:t>5.85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10,179.83</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1,900,499.73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27,984,799.98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10.00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29,895,489.54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交银裕通纯债债券A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交银裕通纯债债券C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730,339,600.08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2,050,508.13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324,846.45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474,623,381.45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28,714,673.04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2,149,454.30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701,949,773.49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474,524,435.28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2019/4/1-2019/6/30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473,429,951.69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473,429,951.69</w:t>
            </w:r>
          </w:p>
        </w:tc>
        <w:tc>
          <w:tcPr>
            <w:vAlign w:val="center"/>
          </w:tcPr>
          <w:p>
            <w:pPr>
              <w:jc w:val="center"/>
            </w:pPr>
            <w:r>
              <w:rPr>
                <w:rFonts w:ascii="宋体" w:hAnsi="宋体" w:hint="eastAsia"/>
                <w:color w:val="000000"/>
                <w:kern w:val="0"/>
                <w:szCs w:val="21"/>
              </w:rPr>
              <w:t>40.24%</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2019/4/1-2019/6/30</w:t>
            </w:r>
          </w:p>
        </w:tc>
        <w:tc>
          <w:tcPr>
            <w:vAlign w:val="center"/>
          </w:tcPr>
          <w:p>
            <w:pPr>
              <w:jc w:val="center"/>
            </w:pPr>
            <w:r>
              <w:rPr>
                <w:rFonts w:ascii="宋体" w:hAnsi="宋体" w:hint="eastAsia"/>
                <w:color w:val="000000"/>
                <w:kern w:val="0"/>
                <w:szCs w:val="21"/>
              </w:rPr>
              <w:t>192,306,730.77</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192,306,730.77</w:t>
            </w:r>
          </w:p>
        </w:tc>
        <w:tc>
          <w:tcPr>
            <w:vAlign w:val="center"/>
          </w:tcPr>
          <w:p>
            <w:pPr>
              <w:jc w:val="center"/>
            </w:pPr>
            <w:r>
              <w:rPr>
                <w:rFonts w:ascii="宋体" w:hAnsi="宋体" w:hint="eastAsia"/>
                <w:color w:val="000000"/>
                <w:kern w:val="0"/>
                <w:szCs w:val="21"/>
              </w:rPr>
              <w:t>16.35%</w:t>
            </w:r>
          </w:p>
        </w:tc>
      </w:tr>
      <w:tr>
        <w:tc>
          <w:tcPr>
            <w:vMerge/>
          </w:tcPr>
          <w:p/>
        </w:tc>
        <w:tc>
          <w:tcPr>
            <w:vAlign w:val="center"/>
          </w:tcPr>
          <w:p>
            <w:pPr>
              <w:jc w:val="center"/>
            </w:pPr>
            <w:r>
              <w:rPr>
                <w:rFonts w:ascii="宋体" w:hAnsi="宋体" w:hint="eastAsia"/>
                <w:color w:val="000000"/>
                <w:kern w:val="0"/>
                <w:szCs w:val="21"/>
              </w:rPr>
              <w:t>3</w:t>
            </w:r>
          </w:p>
        </w:tc>
        <w:tc>
          <w:tcPr>
            <w:vAlign w:val="center"/>
          </w:tcPr>
          <w:p>
            <w:pPr>
              <w:jc w:val="center"/>
            </w:pPr>
            <w:r>
              <w:rPr>
                <w:rFonts w:ascii="宋体" w:hAnsi="宋体" w:hint="eastAsia"/>
                <w:color w:val="000000"/>
                <w:kern w:val="0"/>
                <w:szCs w:val="21"/>
              </w:rPr>
              <w:t>2019/4/1-2019/6/30</w:t>
            </w:r>
          </w:p>
        </w:tc>
        <w:tc>
          <w:tcPr>
            <w:vAlign w:val="center"/>
          </w:tcPr>
          <w:p>
            <w:pPr>
              <w:jc w:val="center"/>
            </w:pPr>
            <w:r>
              <w:rPr>
                <w:rFonts w:ascii="宋体" w:hAnsi="宋体" w:hint="eastAsia"/>
                <w:color w:val="000000"/>
                <w:kern w:val="0"/>
                <w:szCs w:val="21"/>
              </w:rPr>
              <w:t>476,189,523.81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476,189,523.81</w:t>
            </w:r>
          </w:p>
        </w:tc>
        <w:tc>
          <w:tcPr>
            <w:vAlign w:val="center"/>
          </w:tcPr>
          <w:p>
            <w:pPr>
              <w:jc w:val="center"/>
            </w:pPr>
            <w:r>
              <w:rPr>
                <w:rFonts w:ascii="宋体" w:hAnsi="宋体" w:hint="eastAsia"/>
                <w:color w:val="000000"/>
                <w:kern w:val="0"/>
                <w:szCs w:val="21"/>
              </w:rPr>
              <w:t>40.48%</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1、中国证监会准予交银施罗德裕通纯债债券型证券投资基金募集注册的文件；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2、《交银施罗德裕通纯债债券型证券投资基金基金合同》；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3、《交银施罗德裕通纯债债券型证券投资基金招募说明书》；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4、《交银施罗德裕通纯债债券型证券投资基金托管协议》；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7、关于申请募集注册交银施罗德裕通纯债债券型证券投资基金的法律意见书；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8、报告期内交银施罗德裕通纯债债券型证券投资基金在指定报刊上各项公告的原稿。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87122">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87122">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CE3F08" w:rsidRDefault="00CE3F08">
      <w:r>
        <w:separator/>
      </w:r>
    </w:p>
  </w:footnote>
  <w:footnote w:id="0" w:type="continuationSeparator">
    <w:p w:rsidR="00CE3F08" w:rsidRDefault="00CE3F08">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交银施罗德裕通纯债债券型证券投资基金2019年第2季度报告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A756-3F40-4048-9F43-4670680D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214</TotalTime>
  <Pages>27</Pages>
  <Words>4288</Words>
  <Characters>24444</Characters>
  <Application>Microsoft Office Word</Application>
  <DocSecurity>0</DocSecurity>
  <Lines>203</Lines>
  <Paragraphs>57</Paragraphs>
  <ScaleCrop>false</ScaleCrop>
  <Company>TRT. Ltd. Co.</Company>
  <LinksUpToDate>false</LinksUpToDate>
  <CharactersWithSpaces>28675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2019-07-04T03:19:00Z</dcterms:modified>
  <cp:revision>389</cp:revision>
</cp:coreProperties>
</file>