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
      </w:r>
      <w:proofErr w:type="spellStart"/>
      <w:proofErr w:type="gramStart"/>
      <w:r w:rsidRPr="0081286B">
        <w:rPr>
          <w:b/>
          <w:sz w:val="36"/>
          <w:szCs w:val="36"/>
        </w:rPr>
        <w:t/>
      </w:r>
      <w:proofErr w:type="spellEnd"/>
      <w:proofErr w:type="gramEnd"/>
      <w:r w:rsidRPr="0081286B">
        <w:rPr>
          <w:b/>
          <w:sz w:val="36"/>
          <w:szCs w:val="36"/>
        </w:rPr>
        <w:t>交银施罗德安心收益债券型证券投资基金</w:t>
      </w:r>
    </w:p>
    <w:p w:rsidP="00C15CAC" w:rsidR="002279D3" w:rsidRDefault="002279D3" w:rsidRPr="0081286B">
      <w:pPr>
        <w:spacing w:before="29" w:line="288" w:lineRule="auto"/>
        <w:jc w:val="center"/>
        <w:rPr>
          <w:b/>
          <w:sz w:val="36"/>
          <w:szCs w:val="36"/>
        </w:rPr>
      </w:pPr>
      <w:r w:rsidRPr="0081286B">
        <w:rPr>
          <w:b/>
          <w:sz w:val="36"/>
          <w:szCs w:val="36"/>
        </w:rPr>
        <w:t/>
      </w:r>
      <w:proofErr w:type="spellStart"/>
      <w:r w:rsidRPr="0081286B">
        <w:rPr>
          <w:b/>
          <w:sz w:val="36"/>
          <w:szCs w:val="36"/>
        </w:rPr>
        <w:t/>
      </w:r>
      <w:proofErr w:type="spellEnd"/>
      <w:r w:rsidRPr="0081286B">
        <w:rPr>
          <w:b/>
          <w:sz w:val="36"/>
          <w:szCs w:val="36"/>
        </w:rPr>
        <w:t>2019年第2季度报告</w:t>
      </w:r>
    </w:p>
    <w:p w:rsidP="00C15CAC" w:rsidR="004061AC" w:rsidRDefault="00655CD8" w:rsidRPr="0081286B">
      <w:pPr>
        <w:spacing w:before="29" w:line="288" w:lineRule="auto"/>
        <w:jc w:val="center"/>
        <w:rPr>
          <w:b/>
          <w:sz w:val="36"/>
          <w:szCs w:val="36"/>
        </w:rPr>
      </w:pPr>
      <w:r w:rsidRPr="0081286B">
        <w:rPr>
          <w:b/>
          <w:sz w:val="36"/>
          <w:szCs w:val="36"/>
        </w:rPr>
        <w:t/>
      </w:r>
      <w:proofErr w:type="spellStart"/>
      <w:proofErr w:type="gramStart"/>
      <w:r w:rsidRPr="0081286B">
        <w:rPr>
          <w:b/>
          <w:sz w:val="36"/>
          <w:szCs w:val="36"/>
        </w:rPr>
        <w:t/>
      </w:r>
      <w:proofErr w:type="spellEnd"/>
      <w:proofErr w:type="gramEnd"/>
      <w:r w:rsidRPr="0081286B">
        <w:rPr>
          <w:b/>
          <w:sz w:val="36"/>
          <w:szCs w:val="36"/>
        </w:rPr>
        <w:t>2019年6月30日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
      </w:r>
      <w:proofErr w:type="spellStart"/>
      <w:proofErr w:type="gramStart"/>
      <w:r w:rsidRPr="0081286B">
        <w:rPr>
          <w:b/>
          <w:color w:val="000000"/>
          <w:sz w:val="24"/>
          <w:szCs w:val="24"/>
        </w:rPr>
        <w:t/>
      </w:r>
      <w:proofErr w:type="spellEnd"/>
      <w:proofErr w:type="gramEnd"/>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
      </w:r>
      <w:proofErr w:type="spellStart"/>
      <w:proofErr w:type="gramStart"/>
      <w:r w:rsidRPr="0081286B">
        <w:rPr>
          <w:b/>
          <w:color w:val="000000"/>
          <w:sz w:val="24"/>
          <w:szCs w:val="24"/>
        </w:rPr>
        <w:t/>
      </w:r>
      <w:proofErr w:type="spellEnd"/>
      <w:proofErr w:type="gramEnd"/>
      <w:r w:rsidRPr="0081286B">
        <w:rPr>
          <w:b/>
          <w:color w:val="000000"/>
          <w:sz w:val="24"/>
          <w:szCs w:val="24"/>
        </w:rPr>
        <w:t>中国民生银行股份有限公司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proofErr w:type="spellStart"/>
      <w:proofErr w:type="gramStart"/>
      <w:r w:rsidR="00F16E3F" w:rsidRPr="0081286B">
        <w:rPr>
          <w:b/>
          <w:color w:val="000000"/>
          <w:sz w:val="24"/>
          <w:szCs w:val="24"/>
        </w:rPr>
        <w:t/>
      </w:r>
      <w:r w:rsidR="0042009D" w:rsidRPr="0081286B">
        <w:rPr>
          <w:b/>
          <w:color w:val="000000"/>
          <w:sz w:val="24"/>
          <w:szCs w:val="24"/>
        </w:rPr>
        <w:t/>
      </w:r>
      <w:proofErr w:type="spellEnd"/>
      <w:proofErr w:type="gramEnd"/>
      <w:r w:rsidR="00F16E3F" w:rsidRPr="0081286B">
        <w:rPr>
          <w:b/>
          <w:color w:val="000000"/>
          <w:sz w:val="24"/>
          <w:szCs w:val="24"/>
        </w:rPr>
        <w:t>二〇一九年七月十七日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基金托管人中国民生银行股份有限公司根据本基金合同规定，于2019年7月16日复核了本报告中的财务指标、净值表现和投资组合报告等内容，保证复核内容不存在虚假记载、误导性陈述或者重大遗漏。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本报告期自2019年4月1日起至6月30日止。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交银安心收益债券</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519753</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
            </w:r>
            <w:proofErr w:type="spellStart"/>
            <w:r w:rsidRPr="00414345">
              <w:rPr>
                <w:kern w:val="0"/>
                <w:sz w:val="24"/>
              </w:rPr>
              <w:t/>
            </w:r>
            <w:proofErr w:type="spellEnd"/>
            <w:r w:rsidRPr="00414345">
              <w:rPr>
                <w:kern w:val="0"/>
                <w:sz w:val="24"/>
              </w:rPr>
              <w:t/>
            </w:r>
            <w:proofErr w:type="spellStart"/>
            <w:r w:rsidRPr="00414345">
              <w:rPr>
                <w:kern w:val="0"/>
                <w:sz w:val="24"/>
              </w:rPr>
              <w:t/>
            </w:r>
            <w:proofErr w:type="spellEnd"/>
            <w:r w:rsidRPr="00414345">
              <w:rPr>
                <w:kern w:val="0"/>
                <w:sz w:val="24"/>
              </w:rPr>
              <w:t/>
            </w:r>
            <w:proofErr w:type="spellStart"/>
            <w:r w:rsidRPr="00414345">
              <w:rPr>
                <w:kern w:val="0"/>
                <w:sz w:val="24"/>
              </w:rPr>
              <w:t/>
            </w:r>
            <w:proofErr w:type="spellEnd"/>
            <w:r w:rsidRPr="00414345">
              <w:rPr>
                <w:kern w:val="0"/>
                <w:sz w:val="24"/>
              </w:rPr>
              <w:t>519753</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2018年6月2日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50,483,389.23</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在严格控制投资风险和保持资产流动性的基础上，力争实现基金资产的长期稳定增值。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基金充分发挥基金管理人的研究优势，将严谨、规范化的基本面研究分析与积极主动的投资风格相结合，在分析和判断宏观经济运行状况和金融市场运行趋势的基础上，动态调整债券、股票等大类资产比例。本基金以债券投资为核心，重点关注债券组合久期调整、期限结构配置及债券类属配置，并在严谨深入的信用分析基础上，综合考量信用债券的信用评级，以及各类债券的流动性、供求关系和收益率水平等，同时本基金也通过综合运用骑乘操作、套利操作等策略精选个券，提高投资组合收益。此外，在风险可控的前提下，本基金适度关注股票、权证市场的运行状况与相应风险收益特征，有效把握投资机会，适时增强组合收益。</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中债综合全价指数</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本基金为债券型证券投资基金，其长期平均的预期收益和风险高于货币市场基金，低于混合型基金和股票型基金。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中国民生银行股份有限公司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roofErr w:type="spellStart"/>
            <w:r w:rsidR="00D96C8D" w:rsidRPr="00414345">
              <w:rPr>
                <w:kern w:val="0"/>
                <w:sz w:val="24"/>
                <w:szCs w:val="24"/>
              </w:rPr>
              <w:t/>
            </w:r>
            <w:proofErr w:type="spellEnd"/>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w:t>
            </w:r>
            <w:proofErr w:type="spellStart"/>
            <w:r w:rsidRPr="00414345">
              <w:rPr>
                <w:color w:val="000000"/>
                <w:sz w:val="24"/>
                <w:szCs w:val="24"/>
              </w:rPr>
              <w:t/>
            </w:r>
            <w:proofErr w:type="spellEnd"/>
            <w:r w:rsidRPr="00414345">
              <w:rPr>
                <w:color w:val="000000"/>
                <w:sz w:val="24"/>
                <w:szCs w:val="24"/>
              </w:rPr>
              <w:t>2019年4月1日-</w:t>
            </w:r>
            <w:proofErr w:type="spellStart"/>
            <w:r w:rsidRPr="00414345">
              <w:rPr>
                <w:color w:val="000000"/>
                <w:sz w:val="24"/>
                <w:szCs w:val="24"/>
              </w:rPr>
              <w:t/>
            </w:r>
            <w:proofErr w:type="spellEnd"/>
            <w:r w:rsidRPr="00414345">
              <w:rPr>
                <w:color w:val="000000"/>
                <w:sz w:val="24"/>
                <w:szCs w:val="24"/>
              </w:rPr>
              <w:t>2019年6月30日)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roofErr w:type="spellStart"/>
            <w:r w:rsidR="006A7AF1" w:rsidRPr="00414345">
              <w:rPr>
                <w:color w:val="000000"/>
                <w:sz w:val="24"/>
                <w:szCs w:val="24"/>
              </w:rPr>
              <w:t/>
            </w:r>
            <w:proofErr w:type="spellEnd"/>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-409,791.08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-602,762.56</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-0.0111</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51,661,868.47</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1.023</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 xml:space="preserve">注：1、上述基金业绩指标不包括持有人认购或交易基金的各项费用，计入费用后的实际收益水平要低于所列数字。  </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w:t>
      </w:r>
      <w:proofErr w:type="gramStart"/>
      <w:r w:rsidRPr="00414345">
        <w:rPr>
          <w:b/>
          <w:bCs/>
          <w:color w:val="000000"/>
          <w:kern w:val="0"/>
          <w:sz w:val="24"/>
          <w:szCs w:val="24"/>
        </w:rPr>
        <w:t>期基金</w:t>
      </w:r>
      <w:proofErr w:type="gramEnd"/>
      <w:r w:rsidRPr="00414345">
        <w:rPr>
          <w:b/>
          <w:bCs/>
          <w:color w:val="000000"/>
          <w:kern w:val="0"/>
          <w:sz w:val="24"/>
          <w:szCs w:val="24"/>
        </w:rPr>
        <w:t>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roofErr w:type="spellStart"/>
            <w:r w:rsidR="00200FAB" w:rsidRPr="00414345">
              <w:rPr>
                <w:color w:val="000000"/>
                <w:sz w:val="24"/>
                <w:szCs w:val="24"/>
              </w:rPr>
              <w:t/>
            </w:r>
            <w:proofErr w:type="spellEnd"/>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-0.97%</w:t>
            </w:r>
          </w:p>
        </w:tc>
        <w:tc>
          <w:tcPr>
            <w:vAlign w:val="center"/>
          </w:tcPr>
          <w:p>
            <w:pPr>
              <w:jc w:val="center"/>
            </w:pPr>
            <w:r>
              <w:rPr>
                <w:color w:val="000000"/>
                <w:sz w:val="24"/>
                <w:szCs w:val="24"/>
              </w:rPr>
              <w:t>0.17%</w:t>
            </w:r>
          </w:p>
        </w:tc>
        <w:tc>
          <w:tcPr>
            <w:vAlign w:val="center"/>
          </w:tcPr>
          <w:p>
            <w:pPr>
              <w:jc w:val="center"/>
            </w:pPr>
            <w:r>
              <w:rPr>
                <w:color w:val="000000"/>
                <w:sz w:val="24"/>
                <w:szCs w:val="24"/>
              </w:rPr>
              <w:t>-0.23%</w:t>
            </w:r>
          </w:p>
        </w:tc>
        <w:tc>
          <w:tcPr>
            <w:vAlign w:val="center"/>
          </w:tcPr>
          <w:p>
            <w:pPr>
              <w:jc w:val="center"/>
            </w:pPr>
            <w:r>
              <w:rPr>
                <w:color w:val="000000"/>
                <w:sz w:val="24"/>
                <w:szCs w:val="24"/>
              </w:rPr>
              <w:t>0.06%</w:t>
            </w:r>
          </w:p>
        </w:tc>
        <w:tc>
          <w:tcPr>
            <w:vAlign w:val="center"/>
          </w:tcPr>
          <w:p>
            <w:pPr>
              <w:jc w:val="center"/>
            </w:pPr>
            <w:r>
              <w:rPr>
                <w:color w:val="000000"/>
                <w:sz w:val="24"/>
                <w:szCs w:val="24"/>
              </w:rPr>
              <w:t>-0.74%</w:t>
            </w:r>
          </w:p>
        </w:tc>
        <w:tc>
          <w:tcPr>
            <w:vAlign w:val="center"/>
          </w:tcPr>
          <w:p>
            <w:pPr>
              <w:jc w:val="center"/>
            </w:pPr>
            <w:r>
              <w:rPr>
                <w:color w:val="000000"/>
                <w:sz w:val="24"/>
                <w:szCs w:val="24"/>
              </w:rPr>
              <w:t>0.11%</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
      </w:r>
      <w:proofErr w:type="spellStart"/>
      <w:r w:rsidR="000824E7" w:rsidRPr="00F81917">
        <w:rPr>
          <w:rFonts w:hint="eastAsia"/>
          <w:b/>
          <w:bCs/>
          <w:color w:val="000000"/>
          <w:kern w:val="0"/>
          <w:sz w:val="24"/>
          <w:szCs w:val="24"/>
        </w:rPr>
        <w:t/>
      </w:r>
      <w:proofErr w:type="spellEnd"/>
      <w:r w:rsidR="000824E7" w:rsidRPr="00F81917">
        <w:rPr>
          <w:rFonts w:hint="eastAsia"/>
          <w:b/>
          <w:bCs/>
          <w:color w:val="000000"/>
          <w:kern w:val="0"/>
          <w:sz w:val="24"/>
          <w:szCs w:val="24"/>
        </w:rPr>
        <w:t>自基金转型以来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交银施罗德安心收益债券型证券投资基金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
      </w:r>
      <w:proofErr w:type="spellStart"/>
      <w:r w:rsidR="0042009D" w:rsidRPr="00414345">
        <w:rPr>
          <w:rFonts w:ascii="Times New Roman" w:cs="Times New Roman" w:hAnsi="Times New Roman"/>
          <w:sz w:val="24"/>
          <w:szCs w:val="24"/>
        </w:rPr>
        <w:t/>
      </w:r>
      <w:proofErr w:type="spellEnd"/>
      <w:r w:rsidR="0042009D" w:rsidRPr="00414345">
        <w:rPr>
          <w:rFonts w:ascii="Times New Roman" w:cs="Times New Roman" w:hAnsi="Times New Roman"/>
          <w:sz w:val="24"/>
          <w:szCs w:val="24"/>
        </w:rPr>
        <w:t>2018年6月2日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
      </w:r>
      <w:proofErr w:type="spellStart"/>
      <w:r w:rsidR="00AE7962" w:rsidRPr="00414345">
        <w:rPr>
          <w:rFonts w:ascii="Times New Roman" w:cs="Times New Roman" w:hAnsi="Times New Roman"/>
          <w:sz w:val="24"/>
          <w:szCs w:val="24"/>
        </w:rPr>
        <w:t/>
      </w:r>
      <w:proofErr w:type="spellEnd"/>
      <w:r w:rsidR="00AE7962" w:rsidRPr="00414345">
        <w:rPr>
          <w:rFonts w:ascii="Times New Roman" w:cs="Times New Roman" w:hAnsi="Times New Roman"/>
          <w:sz w:val="24"/>
          <w:szCs w:val="24"/>
        </w:rPr>
        <w:t>2019年6月30日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r w:rsidR="008700EC"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注：本基金由交银施罗德荣和保本混合型证券投资基金转型而来。本基金转型日为2018年6月2日。本基金的投资转型期为交银施罗德荣和保本混合型证券投资基金保本周期到期期间截止日的次日（即2018年6月2日）起的3个月。截至投资转型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proofErr w:type="gramStart"/>
            <w:r w:rsidRPr="00414345">
              <w:rPr>
                <w:color w:val="000000"/>
                <w:kern w:val="0"/>
                <w:sz w:val="24"/>
                <w:szCs w:val="24"/>
              </w:rPr>
              <w:t>任本基金</w:t>
            </w:r>
            <w:proofErr w:type="gramEnd"/>
            <w:r w:rsidRPr="00414345">
              <w:rPr>
                <w:color w:val="000000"/>
                <w:kern w:val="0"/>
                <w:sz w:val="24"/>
                <w:szCs w:val="24"/>
              </w:rPr>
              <w:t>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唐赟</w:t>
            </w:r>
          </w:p>
        </w:tc>
        <w:tc>
          <w:tcPr>
            <w:vAlign w:val="center"/>
          </w:tcPr>
          <w:p>
            <w:pPr>
              <w:jc w:val="center"/>
            </w:pPr>
            <w:r>
              <w:rPr>
                <w:color w:val="000000"/>
                <w:sz w:val="24"/>
                <w:szCs w:val="24"/>
              </w:rPr>
              <w:t>交银信用添利债券(LOF)、交银双利债券、交银双轮动债券、交银裕通纯债债券、交银安心收益债券、交银荣鑫灵活配置混合的基金经理</w:t>
            </w:r>
          </w:p>
        </w:tc>
        <w:tc>
          <w:tcPr>
            <w:vAlign w:val="center"/>
          </w:tcPr>
          <w:p>
            <w:pPr>
              <w:jc w:val="center"/>
            </w:pPr>
            <w:r>
              <w:rPr>
                <w:color w:val="000000"/>
                <w:sz w:val="24"/>
                <w:szCs w:val="24"/>
              </w:rPr>
              <w:t>2015-11-07</w:t>
            </w:r>
          </w:p>
        </w:tc>
        <w:tc>
          <w:tcPr>
            <w:vAlign w:val="center"/>
          </w:tcPr>
          <w:p>
            <w:pPr>
              <w:jc w:val="center"/>
            </w:pPr>
            <w:r>
              <w:rPr>
                <w:color w:val="000000"/>
                <w:sz w:val="24"/>
                <w:szCs w:val="24"/>
              </w:rPr>
              <w:t>-</w:t>
            </w:r>
          </w:p>
        </w:tc>
        <w:tc>
          <w:tcPr>
            <w:vAlign w:val="center"/>
          </w:tcPr>
          <w:p>
            <w:pPr>
              <w:jc w:val="center"/>
            </w:pPr>
            <w:r>
              <w:rPr>
                <w:color w:val="000000"/>
                <w:sz w:val="24"/>
                <w:szCs w:val="24"/>
              </w:rPr>
              <w:t>9年</w:t>
            </w:r>
          </w:p>
        </w:tc>
        <w:tc>
          <w:tcPr>
            <w:vAlign w:val="center"/>
          </w:tcPr>
          <w:p>
            <w:pPr>
              <w:jc w:val="both"/>
            </w:pPr>
            <w:r>
              <w:rPr>
                <w:color w:val="000000"/>
                <w:sz w:val="24"/>
                <w:szCs w:val="24"/>
              </w:rPr>
              <w:t>唐赟先生，香港城市大学电子工程硕士。历任渣打银行环球企业部助理客户经理、平安资产管理公司信用分析员。2012年加入交银施罗德基金管理有限公司，历任固定收益研究员、基金经理助理。2015年11月7日至2018年6月1日担任转型前的交银施罗德荣和保本混合型证券投资基金的基金经理。</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proofErr w:type="gramStart"/>
      <w:r w:rsidR="004061AC" w:rsidRPr="00414345">
        <w:rPr>
          <w:color w:val="000000"/>
          <w:sz w:val="24"/>
          <w:szCs w:val="24"/>
        </w:rPr>
        <w:t/>
      </w:r>
      <w:proofErr w:type="gramEnd"/>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00957594" w:rsidRPr="00414345">
        <w:rPr>
          <w:color w:val="000000"/>
          <w:sz w:val="24"/>
          <w:szCs w:val="24"/>
        </w:rPr>
        <w:t/>
      </w:r>
      <w:proofErr w:type="spellEnd"/>
      <w:proofErr w:type="gramEnd"/>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5%的情况有1次，是投资组合因投资策略需要而发生同日反向交易，未发现不公平交易和利益输送的情况。本基金与本公司管理的其他投资组合在不同时间窗下（如日内、3日内、5日内）同向交易的交易价差未发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本报告期内，债市受到经济基本面、海外事件及资金面等多重因素影响。经济预期的反复在前一阶段带来长端收益率的扰动。三月春节错位令市场对于经济的预期高涨，十年活跃国开收益率一度接近3.90%。此后，经济环比数据回落，并伴随着中观行业订单季节性下降，地产销量逐步走低，五月中美贸易争端再起，经济预期进一步回落，十年活跃国开下行至3.75%位置，并在该中枢上下震荡。五月随着季末来临，基金融资相对困难，银行间流动性中性分化，短久期债券收益率上行，信用利差明显走廓。随着跨季资金面的宽松，短端收益率下行，中高等级信用债收益率也出现回落，但中低等级信用债成交依然不多。受经济环比回落，中美贸易争端再度演绎等事件影响，权益市场自四月中下旬震荡下行。行业层面看，部分消费及金融有一定绝对收益，TMT及强周期等板块均有10%以上跌幅。</w:t>
      </w:r>
    </w:p>
    <w:p>
      <w:pPr>
        <w:spacing w:before="29" w:line="288" w:lineRule="auto"/>
        <w:ind w:firstLine="480" w:firstLineChars="200"/>
        <w:rPr>
          <w:color w:val="000000"/>
          <w:sz w:val="24"/>
          <w:szCs w:val="24"/>
        </w:rPr>
      </w:pPr>
      <w:r>
        <w:rPr>
          <w:color w:val="000000"/>
          <w:sz w:val="24"/>
          <w:szCs w:val="24"/>
        </w:rPr>
        <w:t>我们认为，前期权益市场估值偏高，经济环比回落，叠加中美贸易不确定性的加强，债券市场存在结构性配置价值。因此在组合操作中，我们维持中等久期信用底仓仓位，并通过长端利率债波段操作增厚组合债券部分收益。权益方面，组合维持较低仓位，通过自下而上选择成长类品种增厚收益。</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展望2019年三季度，从高频数据看，我们认为经济基本面面临下行压力，因此对于债券市场我们维持中性偏乐观的看法，上行风险来自于中美关系进展好于预期，以及货币政策放松幅度不及预期。组合方面，我们将维持中性久期配置，并通过把握宏观预期的变化进行长债波段操作以赚取超额收益。权益方面，我们将密切关注市场的走势变化，精选景气改善的行业与个股，以期增强组合收益。</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本基金（各类）份额净值及业绩表现请见“3.1 主要财务指标” 及“3.2.1本报告期基金份额净值增长率及其与同期业绩比较基准收益率的比较”部分披露。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
      </w:r>
      <w:proofErr w:type="spellStart"/>
      <w:r w:rsidRPr="002070B4">
        <w:rPr>
          <w:b/>
          <w:color w:val="000000"/>
          <w:kern w:val="0"/>
          <w:sz w:val="24"/>
        </w:rPr>
        <w:t/>
      </w:r>
      <w:proofErr w:type="spellEnd"/>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
      </w:r>
      <w:proofErr w:type="gramStart"/>
      <w:r w:rsidRPr="002070B4">
        <w:rPr>
          <w:color w:val="000000"/>
          <w:sz w:val="24"/>
        </w:rPr>
        <w:t/>
      </w:r>
      <w:proofErr w:type="gramEnd"/>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proofErr w:type="spellStart"/>
      <w:r w:rsidRPr="009C1009">
        <w:rPr>
          <w:rFonts w:hint="eastAsia"/>
          <w:color w:val="000000"/>
          <w:kern w:val="0"/>
        </w:rPr>
        <w:t/>
      </w:r>
      <w:proofErr w:type="spellEnd"/>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hint="eastAsia"/>
                <w:color w:themeColor="text1" w:val="000000"/>
                <w:sz w:val="24"/>
                <w:szCs w:val="24"/>
              </w:rPr>
            </w:pPr>
            <w:r w:rsidRPr="007B5F21">
              <w:rPr>
                <w:rFonts w:eastAsiaTheme="minorEastAsia"/>
                <w:color w:themeColor="text1" w:val="000000"/>
                <w:sz w:val="24"/>
                <w:szCs w:val="24"/>
              </w:rPr>
              <w:t>占基金总资产的比例</w:t>
            </w:r>
            <w:r w:rsidR="00CE39AB">
              <w:rPr>
                <w:rFonts w:eastAsiaTheme="minorEastAsia" w:hint="eastAsia"/>
                <w:color w:themeColor="text1" w:val="000000"/>
                <w:sz w:val="24"/>
                <w:szCs w:val="24"/>
              </w:rPr>
              <w:t>（</w:t>
            </w:r>
            <w:r w:rsidR="00CE39AB">
              <w:rPr>
                <w:rFonts w:eastAsiaTheme="minorEastAsia" w:hint="eastAsia"/>
                <w:color w:themeColor="text1" w:val="000000"/>
                <w:sz w:val="24"/>
                <w:szCs w:val="24"/>
              </w:rPr>
              <w:t>%</w:t>
            </w:r>
            <w:bookmarkStart w:id="2" w:name="_GoBack"/>
            <w:bookmarkEnd w:id="2"/>
            <w:r w:rsidR="00CE39A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6,568,053.20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10.92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6,568,053.20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10.92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45,112,011.80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75.00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45,112,011.80</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75.00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w:t>
            </w:r>
            <w:proofErr w:type="gramStart"/>
            <w:r w:rsidRPr="007B5F21">
              <w:rPr>
                <w:rFonts w:eastAsiaTheme="minorEastAsia"/>
                <w:color w:themeColor="text1" w:val="000000"/>
                <w:sz w:val="24"/>
                <w:szCs w:val="24"/>
              </w:rPr>
              <w:t>品投资</w:t>
            </w:r>
            <w:proofErr w:type="gramEnd"/>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
            </w:r>
            <w:proofErr w:type="spellEnd"/>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1,212,540.26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2.02</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7,255,369.13</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12.06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60,147,974.39</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
            </w:r>
            <w:proofErr w:type="spellStart"/>
            <w:r w:rsidRPr="007B5F21">
              <w:rPr>
                <w:rFonts w:eastAsiaTheme="minorEastAsia"/>
                <w:color w:themeColor="text1" w:val="000000"/>
                <w:sz w:val="24"/>
                <w:szCs w:val="24"/>
              </w:rPr>
              <w:t/>
            </w:r>
            <w:proofErr w:type="spellEnd"/>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proofErr w:type="spellStart"/>
      <w:r w:rsidRPr="004A3846">
        <w:rPr>
          <w:b/>
          <w:color w:themeColor="text1" w:val="000000"/>
          <w:sz w:val="24"/>
        </w:rPr>
        <w:t/>
      </w:r>
      <w:proofErr w:type="spellEnd"/>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proofErr w:type="spellStart"/>
      <w:r w:rsidRPr="009C1009">
        <w:rPr>
          <w:rFonts w:eastAsiaTheme="minorEastAsia" w:hint="eastAsia"/>
          <w:color w:themeColor="text1" w:val="000000"/>
          <w:kern w:val="0"/>
          <w:sz w:val="24"/>
        </w:rPr>
        <w:t/>
      </w:r>
      <w:proofErr w:type="spellEnd"/>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roofErr w:type="spellStart"/>
            <w:r w:rsidR="005E475E" w:rsidRPr="00414345">
              <w:rPr>
                <w:sz w:val="24"/>
                <w:szCs w:val="24"/>
              </w:rPr>
              <w:t/>
            </w:r>
            <w:proofErr w:type="spellEnd"/>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6,088,106.00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11.78</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r w:rsidRPr="00414345">
              <w:rPr>
                <w:sz w:val="24"/>
                <w:szCs w:val="24"/>
              </w:rPr>
              <w:lastRenderedPageBreak/>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proofErr w:type="spellStart"/>
            <w:r w:rsidRPr="00414345">
              <w:rPr>
                <w:sz w:val="24"/>
                <w:szCs w:val="24"/>
              </w:rPr>
              <w:t/>
            </w:r>
            <w:r w:rsidRPr="00414345">
              <w:rPr>
                <w:sz w:val="24"/>
                <w:szCs w:val="24"/>
              </w:rPr>
              <w:lastRenderedPageBreak/>
              <w:t/>
            </w:r>
            <w:proofErr w:type="spellEnd"/>
            <w:r w:rsidRPr="00414345">
              <w:rPr>
                <w:sz w:val="24"/>
                <w:szCs w:val="24"/>
              </w:rPr>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1,927.20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478,020.00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0.93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6,568,053.20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proofErr w:type="spellStart"/>
            <w:r w:rsidRPr="00414345">
              <w:rPr>
                <w:sz w:val="24"/>
                <w:szCs w:val="24"/>
              </w:rPr>
              <w:t/>
            </w:r>
            <w:proofErr w:type="spellEnd"/>
            <w:r w:rsidRPr="00414345">
              <w:rPr>
                <w:sz w:val="24"/>
                <w:szCs w:val="24"/>
              </w:rPr>
              <w:t>12.71</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proofErr w:type="spellStart"/>
      <w:r w:rsidRPr="008A409E">
        <w:rPr>
          <w:rFonts w:asciiTheme="minorEastAsia" w:eastAsiaTheme="minorEastAsia" w:hAnsiTheme="minorEastAsia"/>
          <w:b/>
          <w:bCs/>
          <w:color w:themeColor="text1" w:val="000000"/>
          <w:kern w:val="0"/>
          <w:sz w:val="24"/>
        </w:rPr>
        <w:t/>
      </w:r>
      <w:proofErr w:type="spellEnd"/>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
      </w:r>
      <w:proofErr w:type="spellStart"/>
      <w:r w:rsidRPr="00FF0BBF">
        <w:rPr>
          <w:color w:val="000000"/>
          <w:sz w:val="24"/>
        </w:rPr>
        <w:t/>
      </w:r>
      <w:proofErr w:type="spellEnd"/>
      <w:r w:rsidRPr="00FF0BBF">
        <w:rPr>
          <w:color w:val="000000"/>
          <w:sz w:val="24"/>
        </w:rPr>
        <w:t/>
      </w:r>
      <w:proofErr w:type="spellStart"/>
      <w:proofErr w:type="gramStart"/>
      <w:r w:rsidRPr="00FF0BBF">
        <w:rPr>
          <w:color w:val="000000"/>
          <w:sz w:val="24"/>
        </w:rPr>
        <w:t/>
      </w:r>
      <w:proofErr w:type="spellEnd"/>
      <w:proofErr w:type="gramEnd"/>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000858</w:t>
            </w:r>
          </w:p>
        </w:tc>
        <w:tc>
          <w:tcPr>
            <w:vAlign w:val="center"/>
          </w:tcPr>
          <w:p>
            <w:pPr>
              <w:jc w:val="center"/>
            </w:pPr>
            <w:r>
              <w:rPr>
                <w:color w:val="000000"/>
                <w:sz w:val="24"/>
                <w:szCs w:val="24"/>
              </w:rPr>
              <w:t>五粮液</w:t>
            </w:r>
          </w:p>
        </w:tc>
        <w:tc>
          <w:tcPr>
            <w:vAlign w:val="center"/>
          </w:tcPr>
          <w:p>
            <w:pPr>
              <w:jc w:val="right"/>
            </w:pPr>
            <w:r>
              <w:rPr>
                <w:color w:val="000000"/>
                <w:sz w:val="24"/>
                <w:szCs w:val="24"/>
              </w:rPr>
              <w:t>9,600</w:t>
            </w:r>
          </w:p>
        </w:tc>
        <w:tc>
          <w:tcPr>
            <w:vAlign w:val="center"/>
          </w:tcPr>
          <w:p>
            <w:pPr>
              <w:jc w:val="right"/>
            </w:pPr>
            <w:r>
              <w:rPr>
                <w:color w:val="000000"/>
                <w:sz w:val="24"/>
                <w:szCs w:val="24"/>
              </w:rPr>
              <w:t>1,132,320.00</w:t>
            </w:r>
          </w:p>
        </w:tc>
        <w:tc>
          <w:tcPr>
            <w:vAlign w:val="center"/>
          </w:tcPr>
          <w:p>
            <w:pPr>
              <w:jc w:val="right"/>
            </w:pPr>
            <w:r>
              <w:rPr>
                <w:color w:val="000000"/>
                <w:sz w:val="24"/>
                <w:szCs w:val="24"/>
              </w:rPr>
              <w:t>2.19</w:t>
            </w:r>
          </w:p>
        </w:tc>
      </w:tr>
      <w:tr>
        <w:tc>
          <w:tcPr>
            <w:vAlign w:val="center"/>
          </w:tcPr>
          <w:p>
            <w:pPr>
              <w:jc w:val="center"/>
            </w:pPr>
            <w:r>
              <w:rPr>
                <w:color w:val="000000"/>
                <w:sz w:val="24"/>
                <w:szCs w:val="24"/>
              </w:rPr>
              <w:t>2</w:t>
            </w:r>
          </w:p>
        </w:tc>
        <w:tc>
          <w:tcPr>
            <w:vAlign w:val="center"/>
          </w:tcPr>
          <w:p>
            <w:pPr>
              <w:jc w:val="center"/>
            </w:pPr>
            <w:r>
              <w:rPr>
                <w:color w:val="000000"/>
                <w:sz w:val="24"/>
                <w:szCs w:val="24"/>
              </w:rPr>
              <w:t>002414</w:t>
            </w:r>
          </w:p>
        </w:tc>
        <w:tc>
          <w:tcPr>
            <w:vAlign w:val="center"/>
          </w:tcPr>
          <w:p>
            <w:pPr>
              <w:jc w:val="center"/>
            </w:pPr>
            <w:r>
              <w:rPr>
                <w:color w:val="000000"/>
                <w:sz w:val="24"/>
                <w:szCs w:val="24"/>
              </w:rPr>
              <w:t>高德红外</w:t>
            </w:r>
          </w:p>
        </w:tc>
        <w:tc>
          <w:tcPr>
            <w:vAlign w:val="center"/>
          </w:tcPr>
          <w:p>
            <w:pPr>
              <w:jc w:val="right"/>
            </w:pPr>
            <w:r>
              <w:rPr>
                <w:color w:val="000000"/>
                <w:sz w:val="24"/>
                <w:szCs w:val="24"/>
              </w:rPr>
              <w:t>43,400</w:t>
            </w:r>
          </w:p>
        </w:tc>
        <w:tc>
          <w:tcPr>
            <w:vAlign w:val="center"/>
          </w:tcPr>
          <w:p>
            <w:pPr>
              <w:jc w:val="right"/>
            </w:pPr>
            <w:r>
              <w:rPr>
                <w:color w:val="000000"/>
                <w:sz w:val="24"/>
                <w:szCs w:val="24"/>
              </w:rPr>
              <w:t>833,280.00</w:t>
            </w:r>
          </w:p>
        </w:tc>
        <w:tc>
          <w:tcPr>
            <w:vAlign w:val="center"/>
          </w:tcPr>
          <w:p>
            <w:pPr>
              <w:jc w:val="right"/>
            </w:pPr>
            <w:r>
              <w:rPr>
                <w:color w:val="000000"/>
                <w:sz w:val="24"/>
                <w:szCs w:val="24"/>
              </w:rPr>
              <w:t>1.61</w:t>
            </w:r>
          </w:p>
        </w:tc>
      </w:tr>
      <w:tr>
        <w:tc>
          <w:tcPr>
            <w:vAlign w:val="center"/>
          </w:tcPr>
          <w:p>
            <w:pPr>
              <w:jc w:val="center"/>
            </w:pPr>
            <w:r>
              <w:rPr>
                <w:color w:val="000000"/>
                <w:sz w:val="24"/>
                <w:szCs w:val="24"/>
              </w:rPr>
              <w:t>3</w:t>
            </w:r>
          </w:p>
        </w:tc>
        <w:tc>
          <w:tcPr>
            <w:vAlign w:val="center"/>
          </w:tcPr>
          <w:p>
            <w:pPr>
              <w:jc w:val="center"/>
            </w:pPr>
            <w:r>
              <w:rPr>
                <w:color w:val="000000"/>
                <w:sz w:val="24"/>
                <w:szCs w:val="24"/>
              </w:rPr>
              <w:t>600887</w:t>
            </w:r>
          </w:p>
        </w:tc>
        <w:tc>
          <w:tcPr>
            <w:vAlign w:val="center"/>
          </w:tcPr>
          <w:p>
            <w:pPr>
              <w:jc w:val="center"/>
            </w:pPr>
            <w:r>
              <w:rPr>
                <w:color w:val="000000"/>
                <w:sz w:val="24"/>
                <w:szCs w:val="24"/>
              </w:rPr>
              <w:t>伊利股份</w:t>
            </w:r>
          </w:p>
        </w:tc>
        <w:tc>
          <w:tcPr>
            <w:vAlign w:val="center"/>
          </w:tcPr>
          <w:p>
            <w:pPr>
              <w:jc w:val="right"/>
            </w:pPr>
            <w:r>
              <w:rPr>
                <w:color w:val="000000"/>
                <w:sz w:val="24"/>
                <w:szCs w:val="24"/>
              </w:rPr>
              <w:t>24,900</w:t>
            </w:r>
          </w:p>
        </w:tc>
        <w:tc>
          <w:tcPr>
            <w:vAlign w:val="center"/>
          </w:tcPr>
          <w:p>
            <w:pPr>
              <w:jc w:val="right"/>
            </w:pPr>
            <w:r>
              <w:rPr>
                <w:color w:val="000000"/>
                <w:sz w:val="24"/>
                <w:szCs w:val="24"/>
              </w:rPr>
              <w:t>831,909.00</w:t>
            </w:r>
          </w:p>
        </w:tc>
        <w:tc>
          <w:tcPr>
            <w:vAlign w:val="center"/>
          </w:tcPr>
          <w:p>
            <w:pPr>
              <w:jc w:val="right"/>
            </w:pPr>
            <w:r>
              <w:rPr>
                <w:color w:val="000000"/>
                <w:sz w:val="24"/>
                <w:szCs w:val="24"/>
              </w:rPr>
              <w:t>1.61</w:t>
            </w:r>
          </w:p>
        </w:tc>
      </w:tr>
      <w:tr>
        <w:tc>
          <w:tcPr>
            <w:vAlign w:val="center"/>
          </w:tcPr>
          <w:p>
            <w:pPr>
              <w:jc w:val="center"/>
            </w:pPr>
            <w:r>
              <w:rPr>
                <w:color w:val="000000"/>
                <w:sz w:val="24"/>
                <w:szCs w:val="24"/>
              </w:rPr>
              <w:t>4</w:t>
            </w:r>
          </w:p>
        </w:tc>
        <w:tc>
          <w:tcPr>
            <w:vAlign w:val="center"/>
          </w:tcPr>
          <w:p>
            <w:pPr>
              <w:jc w:val="center"/>
            </w:pPr>
            <w:r>
              <w:rPr>
                <w:color w:val="000000"/>
                <w:sz w:val="24"/>
                <w:szCs w:val="24"/>
              </w:rPr>
              <w:t>002821</w:t>
            </w:r>
          </w:p>
        </w:tc>
        <w:tc>
          <w:tcPr>
            <w:vAlign w:val="center"/>
          </w:tcPr>
          <w:p>
            <w:pPr>
              <w:jc w:val="center"/>
            </w:pPr>
            <w:r>
              <w:rPr>
                <w:color w:val="000000"/>
                <w:sz w:val="24"/>
                <w:szCs w:val="24"/>
              </w:rPr>
              <w:t>凯莱英</w:t>
            </w:r>
          </w:p>
        </w:tc>
        <w:tc>
          <w:tcPr>
            <w:vAlign w:val="center"/>
          </w:tcPr>
          <w:p>
            <w:pPr>
              <w:jc w:val="right"/>
            </w:pPr>
            <w:r>
              <w:rPr>
                <w:color w:val="000000"/>
                <w:sz w:val="24"/>
                <w:szCs w:val="24"/>
              </w:rPr>
              <w:t>8,100</w:t>
            </w:r>
          </w:p>
        </w:tc>
        <w:tc>
          <w:tcPr>
            <w:vAlign w:val="center"/>
          </w:tcPr>
          <w:p>
            <w:pPr>
              <w:jc w:val="right"/>
            </w:pPr>
            <w:r>
              <w:rPr>
                <w:color w:val="000000"/>
                <w:sz w:val="24"/>
                <w:szCs w:val="24"/>
              </w:rPr>
              <w:t>794,448.00</w:t>
            </w:r>
          </w:p>
        </w:tc>
        <w:tc>
          <w:tcPr>
            <w:vAlign w:val="center"/>
          </w:tcPr>
          <w:p>
            <w:pPr>
              <w:jc w:val="right"/>
            </w:pPr>
            <w:r>
              <w:rPr>
                <w:color w:val="000000"/>
                <w:sz w:val="24"/>
                <w:szCs w:val="24"/>
              </w:rPr>
              <w:t>1.54</w:t>
            </w:r>
          </w:p>
        </w:tc>
      </w:tr>
      <w:tr>
        <w:tc>
          <w:tcPr>
            <w:vAlign w:val="center"/>
          </w:tcPr>
          <w:p>
            <w:pPr>
              <w:jc w:val="center"/>
            </w:pPr>
            <w:r>
              <w:rPr>
                <w:color w:val="000000"/>
                <w:sz w:val="24"/>
                <w:szCs w:val="24"/>
              </w:rPr>
              <w:t>5</w:t>
            </w:r>
          </w:p>
        </w:tc>
        <w:tc>
          <w:tcPr>
            <w:vAlign w:val="center"/>
          </w:tcPr>
          <w:p>
            <w:pPr>
              <w:jc w:val="center"/>
            </w:pPr>
            <w:r>
              <w:rPr>
                <w:color w:val="000000"/>
                <w:sz w:val="24"/>
                <w:szCs w:val="24"/>
              </w:rPr>
              <w:t>000860</w:t>
            </w:r>
          </w:p>
        </w:tc>
        <w:tc>
          <w:tcPr>
            <w:vAlign w:val="center"/>
          </w:tcPr>
          <w:p>
            <w:pPr>
              <w:jc w:val="center"/>
            </w:pPr>
            <w:r>
              <w:rPr>
                <w:color w:val="000000"/>
                <w:sz w:val="24"/>
                <w:szCs w:val="24"/>
              </w:rPr>
              <w:t>顺鑫农业</w:t>
            </w:r>
          </w:p>
        </w:tc>
        <w:tc>
          <w:tcPr>
            <w:vAlign w:val="center"/>
          </w:tcPr>
          <w:p>
            <w:pPr>
              <w:jc w:val="right"/>
            </w:pPr>
            <w:r>
              <w:rPr>
                <w:color w:val="000000"/>
                <w:sz w:val="24"/>
                <w:szCs w:val="24"/>
              </w:rPr>
              <w:t>16,400</w:t>
            </w:r>
          </w:p>
        </w:tc>
        <w:tc>
          <w:tcPr>
            <w:vAlign w:val="center"/>
          </w:tcPr>
          <w:p>
            <w:pPr>
              <w:jc w:val="right"/>
            </w:pPr>
            <w:r>
              <w:rPr>
                <w:color w:val="000000"/>
                <w:sz w:val="24"/>
                <w:szCs w:val="24"/>
              </w:rPr>
              <w:t>765,060.00</w:t>
            </w:r>
          </w:p>
        </w:tc>
        <w:tc>
          <w:tcPr>
            <w:vAlign w:val="center"/>
          </w:tcPr>
          <w:p>
            <w:pPr>
              <w:jc w:val="right"/>
            </w:pPr>
            <w:r>
              <w:rPr>
                <w:color w:val="000000"/>
                <w:sz w:val="24"/>
                <w:szCs w:val="24"/>
              </w:rPr>
              <w:t>1.48</w:t>
            </w:r>
          </w:p>
        </w:tc>
      </w:tr>
      <w:tr>
        <w:tc>
          <w:tcPr>
            <w:vAlign w:val="center"/>
          </w:tcPr>
          <w:p>
            <w:pPr>
              <w:jc w:val="center"/>
            </w:pPr>
            <w:r>
              <w:rPr>
                <w:color w:val="000000"/>
                <w:sz w:val="24"/>
                <w:szCs w:val="24"/>
              </w:rPr>
              <w:t>6</w:t>
            </w:r>
          </w:p>
        </w:tc>
        <w:tc>
          <w:tcPr>
            <w:vAlign w:val="center"/>
          </w:tcPr>
          <w:p>
            <w:pPr>
              <w:jc w:val="center"/>
            </w:pPr>
            <w:r>
              <w:rPr>
                <w:color w:val="000000"/>
                <w:sz w:val="24"/>
                <w:szCs w:val="24"/>
              </w:rPr>
              <w:t>603508</w:t>
            </w:r>
          </w:p>
        </w:tc>
        <w:tc>
          <w:tcPr>
            <w:vAlign w:val="center"/>
          </w:tcPr>
          <w:p>
            <w:pPr>
              <w:jc w:val="center"/>
            </w:pPr>
            <w:r>
              <w:rPr>
                <w:color w:val="000000"/>
                <w:sz w:val="24"/>
                <w:szCs w:val="24"/>
              </w:rPr>
              <w:t>思维列控</w:t>
            </w:r>
          </w:p>
        </w:tc>
        <w:tc>
          <w:tcPr>
            <w:vAlign w:val="center"/>
          </w:tcPr>
          <w:p>
            <w:pPr>
              <w:jc w:val="right"/>
            </w:pPr>
            <w:r>
              <w:rPr>
                <w:color w:val="000000"/>
                <w:sz w:val="24"/>
                <w:szCs w:val="24"/>
              </w:rPr>
              <w:t>9,900</w:t>
            </w:r>
          </w:p>
        </w:tc>
        <w:tc>
          <w:tcPr>
            <w:vAlign w:val="center"/>
          </w:tcPr>
          <w:p>
            <w:pPr>
              <w:jc w:val="right"/>
            </w:pPr>
            <w:r>
              <w:rPr>
                <w:color w:val="000000"/>
                <w:sz w:val="24"/>
                <w:szCs w:val="24"/>
              </w:rPr>
              <w:t>644,292.00</w:t>
            </w:r>
          </w:p>
        </w:tc>
        <w:tc>
          <w:tcPr>
            <w:vAlign w:val="center"/>
          </w:tcPr>
          <w:p>
            <w:pPr>
              <w:jc w:val="right"/>
            </w:pPr>
            <w:r>
              <w:rPr>
                <w:color w:val="000000"/>
                <w:sz w:val="24"/>
                <w:szCs w:val="24"/>
              </w:rPr>
              <w:t>1.25</w:t>
            </w:r>
          </w:p>
        </w:tc>
      </w:tr>
      <w:tr>
        <w:tc>
          <w:tcPr>
            <w:vAlign w:val="center"/>
          </w:tcPr>
          <w:p>
            <w:pPr>
              <w:jc w:val="center"/>
            </w:pPr>
            <w:r>
              <w:rPr>
                <w:color w:val="000000"/>
                <w:sz w:val="24"/>
                <w:szCs w:val="24"/>
              </w:rPr>
              <w:t>7</w:t>
            </w:r>
          </w:p>
        </w:tc>
        <w:tc>
          <w:tcPr>
            <w:vAlign w:val="center"/>
          </w:tcPr>
          <w:p>
            <w:pPr>
              <w:jc w:val="center"/>
            </w:pPr>
            <w:r>
              <w:rPr>
                <w:color w:val="000000"/>
                <w:sz w:val="24"/>
                <w:szCs w:val="24"/>
              </w:rPr>
              <w:t>603027</w:t>
            </w:r>
          </w:p>
        </w:tc>
        <w:tc>
          <w:tcPr>
            <w:vAlign w:val="center"/>
          </w:tcPr>
          <w:p>
            <w:pPr>
              <w:jc w:val="center"/>
            </w:pPr>
            <w:r>
              <w:rPr>
                <w:color w:val="000000"/>
                <w:sz w:val="24"/>
                <w:szCs w:val="24"/>
              </w:rPr>
              <w:t>千禾味业</w:t>
            </w:r>
          </w:p>
        </w:tc>
        <w:tc>
          <w:tcPr>
            <w:vAlign w:val="center"/>
          </w:tcPr>
          <w:p>
            <w:pPr>
              <w:jc w:val="right"/>
            </w:pPr>
            <w:r>
              <w:rPr>
                <w:color w:val="000000"/>
                <w:sz w:val="24"/>
                <w:szCs w:val="24"/>
              </w:rPr>
              <w:t>24,300</w:t>
            </w:r>
          </w:p>
        </w:tc>
        <w:tc>
          <w:tcPr>
            <w:vAlign w:val="center"/>
          </w:tcPr>
          <w:p>
            <w:pPr>
              <w:jc w:val="right"/>
            </w:pPr>
            <w:r>
              <w:rPr>
                <w:color w:val="000000"/>
                <w:sz w:val="24"/>
                <w:szCs w:val="24"/>
              </w:rPr>
              <w:t>580,041.00</w:t>
            </w:r>
          </w:p>
        </w:tc>
        <w:tc>
          <w:tcPr>
            <w:vAlign w:val="center"/>
          </w:tcPr>
          <w:p>
            <w:pPr>
              <w:jc w:val="right"/>
            </w:pPr>
            <w:r>
              <w:rPr>
                <w:color w:val="000000"/>
                <w:sz w:val="24"/>
                <w:szCs w:val="24"/>
              </w:rPr>
              <w:t>1.12</w:t>
            </w:r>
          </w:p>
        </w:tc>
      </w:tr>
      <w:tr>
        <w:tc>
          <w:tcPr>
            <w:vAlign w:val="center"/>
          </w:tcPr>
          <w:p>
            <w:pPr>
              <w:jc w:val="center"/>
            </w:pPr>
            <w:r>
              <w:rPr>
                <w:color w:val="000000"/>
                <w:sz w:val="24"/>
                <w:szCs w:val="24"/>
              </w:rPr>
              <w:t>8</w:t>
            </w:r>
          </w:p>
        </w:tc>
        <w:tc>
          <w:tcPr>
            <w:vAlign w:val="center"/>
          </w:tcPr>
          <w:p>
            <w:pPr>
              <w:jc w:val="center"/>
            </w:pPr>
            <w:r>
              <w:rPr>
                <w:color w:val="000000"/>
                <w:sz w:val="24"/>
                <w:szCs w:val="24"/>
              </w:rPr>
              <w:t>300482</w:t>
            </w:r>
          </w:p>
        </w:tc>
        <w:tc>
          <w:tcPr>
            <w:vAlign w:val="center"/>
          </w:tcPr>
          <w:p>
            <w:pPr>
              <w:jc w:val="center"/>
            </w:pPr>
            <w:r>
              <w:rPr>
                <w:color w:val="000000"/>
                <w:sz w:val="24"/>
                <w:szCs w:val="24"/>
              </w:rPr>
              <w:t>万孚生物</w:t>
            </w:r>
          </w:p>
        </w:tc>
        <w:tc>
          <w:tcPr>
            <w:vAlign w:val="center"/>
          </w:tcPr>
          <w:p>
            <w:pPr>
              <w:jc w:val="right"/>
            </w:pPr>
            <w:r>
              <w:rPr>
                <w:color w:val="000000"/>
                <w:sz w:val="24"/>
                <w:szCs w:val="24"/>
              </w:rPr>
              <w:t>13,300</w:t>
            </w:r>
          </w:p>
        </w:tc>
        <w:tc>
          <w:tcPr>
            <w:vAlign w:val="center"/>
          </w:tcPr>
          <w:p>
            <w:pPr>
              <w:jc w:val="right"/>
            </w:pPr>
            <w:r>
              <w:rPr>
                <w:color w:val="000000"/>
                <w:sz w:val="24"/>
                <w:szCs w:val="24"/>
              </w:rPr>
              <w:t>501,410.00</w:t>
            </w:r>
          </w:p>
        </w:tc>
        <w:tc>
          <w:tcPr>
            <w:vAlign w:val="center"/>
          </w:tcPr>
          <w:p>
            <w:pPr>
              <w:jc w:val="right"/>
            </w:pPr>
            <w:r>
              <w:rPr>
                <w:color w:val="000000"/>
                <w:sz w:val="24"/>
                <w:szCs w:val="24"/>
              </w:rPr>
              <w:t>0.97</w:t>
            </w:r>
          </w:p>
        </w:tc>
      </w:tr>
      <w:tr>
        <w:tc>
          <w:tcPr>
            <w:vAlign w:val="center"/>
          </w:tcPr>
          <w:p>
            <w:pPr>
              <w:jc w:val="center"/>
            </w:pPr>
            <w:r>
              <w:rPr>
                <w:color w:val="000000"/>
                <w:sz w:val="24"/>
                <w:szCs w:val="24"/>
              </w:rPr>
              <w:t>9</w:t>
            </w:r>
          </w:p>
        </w:tc>
        <w:tc>
          <w:tcPr>
            <w:vAlign w:val="center"/>
          </w:tcPr>
          <w:p>
            <w:pPr>
              <w:jc w:val="center"/>
            </w:pPr>
            <w:r>
              <w:rPr>
                <w:color w:val="000000"/>
                <w:sz w:val="24"/>
                <w:szCs w:val="24"/>
              </w:rPr>
              <w:t>300347</w:t>
            </w:r>
          </w:p>
        </w:tc>
        <w:tc>
          <w:tcPr>
            <w:vAlign w:val="center"/>
          </w:tcPr>
          <w:p>
            <w:pPr>
              <w:jc w:val="center"/>
            </w:pPr>
            <w:r>
              <w:rPr>
                <w:color w:val="000000"/>
                <w:sz w:val="24"/>
                <w:szCs w:val="24"/>
              </w:rPr>
              <w:t>泰格医药</w:t>
            </w:r>
          </w:p>
        </w:tc>
        <w:tc>
          <w:tcPr>
            <w:vAlign w:val="center"/>
          </w:tcPr>
          <w:p>
            <w:pPr>
              <w:jc w:val="right"/>
            </w:pPr>
            <w:r>
              <w:rPr>
                <w:color w:val="000000"/>
                <w:sz w:val="24"/>
                <w:szCs w:val="24"/>
              </w:rPr>
              <w:t>6,200</w:t>
            </w:r>
          </w:p>
        </w:tc>
        <w:tc>
          <w:tcPr>
            <w:vAlign w:val="center"/>
          </w:tcPr>
          <w:p>
            <w:pPr>
              <w:jc w:val="right"/>
            </w:pPr>
            <w:r>
              <w:rPr>
                <w:color w:val="000000"/>
                <w:sz w:val="24"/>
                <w:szCs w:val="24"/>
              </w:rPr>
              <w:t>478,020.00</w:t>
            </w:r>
          </w:p>
        </w:tc>
        <w:tc>
          <w:tcPr>
            <w:vAlign w:val="center"/>
          </w:tcPr>
          <w:p>
            <w:pPr>
              <w:jc w:val="right"/>
            </w:pPr>
            <w:r>
              <w:rPr>
                <w:color w:val="000000"/>
                <w:sz w:val="24"/>
                <w:szCs w:val="24"/>
              </w:rPr>
              <w:t>0.93</w:t>
            </w:r>
          </w:p>
        </w:tc>
      </w:tr>
      <w:tr>
        <w:tc>
          <w:tcPr>
            <w:vAlign w:val="center"/>
          </w:tcPr>
          <w:p>
            <w:pPr>
              <w:jc w:val="center"/>
            </w:pPr>
            <w:r>
              <w:rPr>
                <w:color w:val="000000"/>
                <w:sz w:val="24"/>
                <w:szCs w:val="24"/>
              </w:rPr>
              <w:t>10</w:t>
            </w:r>
          </w:p>
        </w:tc>
        <w:tc>
          <w:tcPr>
            <w:vAlign w:val="center"/>
          </w:tcPr>
          <w:p>
            <w:pPr>
              <w:jc w:val="center"/>
            </w:pPr>
            <w:r>
              <w:rPr>
                <w:color w:val="000000"/>
                <w:sz w:val="24"/>
                <w:szCs w:val="24"/>
              </w:rPr>
              <w:t>600276</w:t>
            </w:r>
          </w:p>
        </w:tc>
        <w:tc>
          <w:tcPr>
            <w:vAlign w:val="center"/>
          </w:tcPr>
          <w:p>
            <w:pPr>
              <w:jc w:val="center"/>
            </w:pPr>
            <w:r>
              <w:rPr>
                <w:color w:val="000000"/>
                <w:sz w:val="24"/>
                <w:szCs w:val="24"/>
              </w:rPr>
              <w:t>恒瑞医药</w:t>
            </w:r>
          </w:p>
        </w:tc>
        <w:tc>
          <w:tcPr>
            <w:vAlign w:val="center"/>
          </w:tcPr>
          <w:p>
            <w:pPr>
              <w:jc w:val="right"/>
            </w:pPr>
            <w:r>
              <w:rPr>
                <w:color w:val="000000"/>
                <w:sz w:val="24"/>
                <w:szCs w:val="24"/>
              </w:rPr>
              <w:t>81</w:t>
            </w:r>
          </w:p>
        </w:tc>
        <w:tc>
          <w:tcPr>
            <w:vAlign w:val="center"/>
          </w:tcPr>
          <w:p>
            <w:pPr>
              <w:jc w:val="right"/>
            </w:pPr>
            <w:r>
              <w:rPr>
                <w:color w:val="000000"/>
                <w:sz w:val="24"/>
                <w:szCs w:val="24"/>
              </w:rPr>
              <w:t>5,346.00</w:t>
            </w:r>
          </w:p>
        </w:tc>
        <w:tc>
          <w:tcPr>
            <w:vAlign w:val="center"/>
          </w:tcPr>
          <w:p>
            <w:pPr>
              <w:jc w:val="right"/>
            </w:pPr>
            <w:r>
              <w:rPr>
                <w:color w:val="000000"/>
                <w:sz w:val="24"/>
                <w:szCs w:val="24"/>
              </w:rPr>
              <w:t>0.01</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proofErr w:type="spellStart"/>
      <w:r w:rsidRPr="009C1009">
        <w:rPr>
          <w:rFonts w:hint="eastAsia"/>
          <w:bCs/>
          <w:color w:val="000000"/>
          <w:kern w:val="0"/>
          <w:sz w:val="24"/>
          <w:szCs w:val="24"/>
        </w:rPr>
        <w:t/>
      </w:r>
      <w:proofErr w:type="spellEnd"/>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roofErr w:type="spellStart"/>
            <w:r w:rsidR="00F71057" w:rsidRPr="00414345">
              <w:rPr>
                <w:color w:val="000000"/>
                <w:sz w:val="24"/>
                <w:szCs w:val="24"/>
              </w:rPr>
              <w:t/>
            </w:r>
            <w:proofErr w:type="spellEnd"/>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7,075,033.20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13.69</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36,088,909.80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69.86</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36,088,909.80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69.86</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proofErr w:type="gramStart"/>
            <w:r w:rsidR="00963F40" w:rsidRPr="00414345">
              <w:rPr>
                <w:color w:val="000000"/>
                <w:sz w:val="24"/>
                <w:szCs w:val="24"/>
              </w:rPr>
              <w:t>券</w:t>
            </w:r>
            <w:proofErr w:type="gramEnd"/>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1,948,068.80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3.77</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proofErr w:type="spellStart"/>
            <w:r w:rsidRPr="007A70C2">
              <w:rPr>
                <w:color w:val="000000"/>
                <w:sz w:val="24"/>
                <w:szCs w:val="24"/>
              </w:rPr>
              <w:t/>
            </w:r>
            <w:proofErr w:type="spellEnd"/>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proofErr w:type="spellStart"/>
            <w:r w:rsidRPr="007A70C2">
              <w:rPr>
                <w:color w:val="000000"/>
                <w:sz w:val="24"/>
                <w:szCs w:val="24"/>
              </w:rPr>
              <w:t/>
            </w:r>
            <w:proofErr w:type="spellEnd"/>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45,112,011.80</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87.32</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proofErr w:type="spellStart"/>
      <w:r w:rsidRPr="009C1009">
        <w:rPr>
          <w:rFonts w:hint="eastAsia"/>
          <w:bCs/>
          <w:color w:val="000000"/>
          <w:kern w:val="0"/>
          <w:sz w:val="24"/>
          <w:szCs w:val="24"/>
        </w:rPr>
        <w:t/>
      </w:r>
      <w:proofErr w:type="spellEnd"/>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170209</w:t>
            </w:r>
          </w:p>
        </w:tc>
        <w:tc>
          <w:tcPr>
            <w:vAlign w:val="center"/>
          </w:tcPr>
          <w:p>
            <w:pPr>
              <w:jc w:val="center"/>
            </w:pPr>
            <w:r>
              <w:rPr>
                <w:color w:val="000000"/>
                <w:sz w:val="24"/>
                <w:szCs w:val="24"/>
              </w:rPr>
              <w:t>17国开09</w:t>
            </w:r>
          </w:p>
        </w:tc>
        <w:tc>
          <w:tcPr>
            <w:vAlign w:val="center"/>
          </w:tcPr>
          <w:p>
            <w:pPr>
              <w:jc w:val="right"/>
            </w:pPr>
            <w:r>
              <w:rPr>
                <w:color w:val="000000"/>
                <w:sz w:val="24"/>
                <w:szCs w:val="24"/>
              </w:rPr>
              <w:t>100,000</w:t>
            </w:r>
          </w:p>
        </w:tc>
        <w:tc>
          <w:tcPr>
            <w:vAlign w:val="center"/>
          </w:tcPr>
          <w:p>
            <w:pPr>
              <w:jc w:val="right"/>
            </w:pPr>
            <w:r>
              <w:rPr>
                <w:color w:val="000000"/>
                <w:sz w:val="24"/>
                <w:szCs w:val="24"/>
              </w:rPr>
              <w:t>10,140,000.00</w:t>
            </w:r>
          </w:p>
        </w:tc>
        <w:tc>
          <w:tcPr>
            <w:vAlign w:val="center"/>
          </w:tcPr>
          <w:p>
            <w:pPr>
              <w:jc w:val="right"/>
            </w:pPr>
            <w:r>
              <w:rPr>
                <w:color w:val="000000"/>
                <w:sz w:val="24"/>
                <w:szCs w:val="24"/>
              </w:rPr>
              <w:t>19.63</w:t>
            </w:r>
          </w:p>
        </w:tc>
      </w:tr>
      <w:tr>
        <w:tc>
          <w:tcPr>
            <w:vAlign w:val="center"/>
          </w:tcPr>
          <w:p>
            <w:pPr>
              <w:jc w:val="center"/>
            </w:pPr>
            <w:r>
              <w:rPr>
                <w:color w:val="000000"/>
                <w:sz w:val="24"/>
                <w:szCs w:val="24"/>
              </w:rPr>
              <w:t>2</w:t>
            </w:r>
          </w:p>
        </w:tc>
        <w:tc>
          <w:tcPr>
            <w:vAlign w:val="center"/>
          </w:tcPr>
          <w:p>
            <w:pPr>
              <w:jc w:val="center"/>
            </w:pPr>
            <w:r>
              <w:rPr>
                <w:color w:val="000000"/>
                <w:sz w:val="24"/>
                <w:szCs w:val="24"/>
              </w:rPr>
              <w:t>108602</w:t>
            </w:r>
          </w:p>
        </w:tc>
        <w:tc>
          <w:tcPr>
            <w:vAlign w:val="center"/>
          </w:tcPr>
          <w:p>
            <w:pPr>
              <w:jc w:val="center"/>
            </w:pPr>
            <w:r>
              <w:rPr>
                <w:color w:val="000000"/>
                <w:sz w:val="24"/>
                <w:szCs w:val="24"/>
              </w:rPr>
              <w:t>国开1704</w:t>
            </w:r>
          </w:p>
        </w:tc>
        <w:tc>
          <w:tcPr>
            <w:vAlign w:val="center"/>
          </w:tcPr>
          <w:p>
            <w:pPr>
              <w:jc w:val="right"/>
            </w:pPr>
            <w:r>
              <w:rPr>
                <w:color w:val="000000"/>
                <w:sz w:val="24"/>
                <w:szCs w:val="24"/>
              </w:rPr>
              <w:t>87,790</w:t>
            </w:r>
          </w:p>
        </w:tc>
        <w:tc>
          <w:tcPr>
            <w:vAlign w:val="center"/>
          </w:tcPr>
          <w:p>
            <w:pPr>
              <w:jc w:val="right"/>
            </w:pPr>
            <w:r>
              <w:rPr>
                <w:color w:val="000000"/>
                <w:sz w:val="24"/>
                <w:szCs w:val="24"/>
              </w:rPr>
              <w:t>8,867,667.90</w:t>
            </w:r>
          </w:p>
        </w:tc>
        <w:tc>
          <w:tcPr>
            <w:vAlign w:val="center"/>
          </w:tcPr>
          <w:p>
            <w:pPr>
              <w:jc w:val="right"/>
            </w:pPr>
            <w:r>
              <w:rPr>
                <w:color w:val="000000"/>
                <w:sz w:val="24"/>
                <w:szCs w:val="24"/>
              </w:rPr>
              <w:t>17.16</w:t>
            </w:r>
          </w:p>
        </w:tc>
      </w:tr>
      <w:tr>
        <w:tc>
          <w:tcPr>
            <w:vAlign w:val="center"/>
          </w:tcPr>
          <w:p>
            <w:pPr>
              <w:jc w:val="center"/>
            </w:pPr>
            <w:r>
              <w:rPr>
                <w:color w:val="000000"/>
                <w:sz w:val="24"/>
                <w:szCs w:val="24"/>
              </w:rPr>
              <w:t>3</w:t>
            </w:r>
          </w:p>
        </w:tc>
        <w:tc>
          <w:tcPr>
            <w:vAlign w:val="center"/>
          </w:tcPr>
          <w:p>
            <w:pPr>
              <w:jc w:val="center"/>
            </w:pPr>
            <w:r>
              <w:rPr>
                <w:color w:val="000000"/>
                <w:sz w:val="24"/>
                <w:szCs w:val="24"/>
              </w:rPr>
              <w:t>018007</w:t>
            </w:r>
          </w:p>
        </w:tc>
        <w:tc>
          <w:tcPr>
            <w:vAlign w:val="center"/>
          </w:tcPr>
          <w:p>
            <w:pPr>
              <w:jc w:val="center"/>
            </w:pPr>
            <w:r>
              <w:rPr>
                <w:color w:val="000000"/>
                <w:sz w:val="24"/>
                <w:szCs w:val="24"/>
              </w:rPr>
              <w:t>国开1801</w:t>
            </w:r>
          </w:p>
        </w:tc>
        <w:tc>
          <w:tcPr>
            <w:vAlign w:val="center"/>
          </w:tcPr>
          <w:p>
            <w:pPr>
              <w:jc w:val="right"/>
            </w:pPr>
            <w:r>
              <w:rPr>
                <w:color w:val="000000"/>
                <w:sz w:val="24"/>
                <w:szCs w:val="24"/>
              </w:rPr>
              <w:t>68,970</w:t>
            </w:r>
          </w:p>
        </w:tc>
        <w:tc>
          <w:tcPr>
            <w:vAlign w:val="center"/>
          </w:tcPr>
          <w:p>
            <w:pPr>
              <w:jc w:val="right"/>
            </w:pPr>
            <w:r>
              <w:rPr>
                <w:color w:val="000000"/>
                <w:sz w:val="24"/>
                <w:szCs w:val="24"/>
              </w:rPr>
              <w:t>6,957,003.90</w:t>
            </w:r>
          </w:p>
        </w:tc>
        <w:tc>
          <w:tcPr>
            <w:vAlign w:val="center"/>
          </w:tcPr>
          <w:p>
            <w:pPr>
              <w:jc w:val="right"/>
            </w:pPr>
            <w:r>
              <w:rPr>
                <w:color w:val="000000"/>
                <w:sz w:val="24"/>
                <w:szCs w:val="24"/>
              </w:rPr>
              <w:t>13.47</w:t>
            </w:r>
          </w:p>
        </w:tc>
      </w:tr>
      <w:tr>
        <w:tc>
          <w:tcPr>
            <w:vAlign w:val="center"/>
          </w:tcPr>
          <w:p>
            <w:pPr>
              <w:jc w:val="center"/>
            </w:pPr>
            <w:r>
              <w:rPr>
                <w:color w:val="000000"/>
                <w:sz w:val="24"/>
                <w:szCs w:val="24"/>
              </w:rPr>
              <w:t>4</w:t>
            </w:r>
          </w:p>
        </w:tc>
        <w:tc>
          <w:tcPr>
            <w:vAlign w:val="center"/>
          </w:tcPr>
          <w:p>
            <w:pPr>
              <w:jc w:val="center"/>
            </w:pPr>
            <w:r>
              <w:rPr>
                <w:color w:val="000000"/>
                <w:sz w:val="24"/>
                <w:szCs w:val="24"/>
              </w:rPr>
              <w:t>018006</w:t>
            </w:r>
          </w:p>
        </w:tc>
        <w:tc>
          <w:tcPr>
            <w:vAlign w:val="center"/>
          </w:tcPr>
          <w:p>
            <w:pPr>
              <w:jc w:val="center"/>
            </w:pPr>
            <w:r>
              <w:rPr>
                <w:color w:val="000000"/>
                <w:sz w:val="24"/>
                <w:szCs w:val="24"/>
              </w:rPr>
              <w:t>国开1702</w:t>
            </w:r>
          </w:p>
        </w:tc>
        <w:tc>
          <w:tcPr>
            <w:vAlign w:val="center"/>
          </w:tcPr>
          <w:p>
            <w:pPr>
              <w:jc w:val="right"/>
            </w:pPr>
            <w:r>
              <w:rPr>
                <w:color w:val="000000"/>
                <w:sz w:val="24"/>
                <w:szCs w:val="24"/>
              </w:rPr>
              <w:t>38,150</w:t>
            </w:r>
          </w:p>
        </w:tc>
        <w:tc>
          <w:tcPr>
            <w:vAlign w:val="center"/>
          </w:tcPr>
          <w:p>
            <w:pPr>
              <w:jc w:val="right"/>
            </w:pPr>
            <w:r>
              <w:rPr>
                <w:color w:val="000000"/>
                <w:sz w:val="24"/>
                <w:szCs w:val="24"/>
              </w:rPr>
              <w:t>3,895,115.00</w:t>
            </w:r>
          </w:p>
        </w:tc>
        <w:tc>
          <w:tcPr>
            <w:vAlign w:val="center"/>
          </w:tcPr>
          <w:p>
            <w:pPr>
              <w:jc w:val="right"/>
            </w:pPr>
            <w:r>
              <w:rPr>
                <w:color w:val="000000"/>
                <w:sz w:val="24"/>
                <w:szCs w:val="24"/>
              </w:rPr>
              <w:t>7.54</w:t>
            </w:r>
          </w:p>
        </w:tc>
      </w:tr>
      <w:tr>
        <w:tc>
          <w:tcPr>
            <w:vAlign w:val="center"/>
          </w:tcPr>
          <w:p>
            <w:pPr>
              <w:jc w:val="center"/>
            </w:pPr>
            <w:r>
              <w:rPr>
                <w:color w:val="000000"/>
                <w:sz w:val="24"/>
                <w:szCs w:val="24"/>
              </w:rPr>
              <w:t>5</w:t>
            </w:r>
          </w:p>
        </w:tc>
        <w:tc>
          <w:tcPr>
            <w:vAlign w:val="center"/>
          </w:tcPr>
          <w:p>
            <w:pPr>
              <w:jc w:val="center"/>
            </w:pPr>
            <w:r>
              <w:rPr>
                <w:color w:val="000000"/>
                <w:sz w:val="24"/>
                <w:szCs w:val="24"/>
              </w:rPr>
              <w:t>019547</w:t>
            </w:r>
          </w:p>
        </w:tc>
        <w:tc>
          <w:tcPr>
            <w:vAlign w:val="center"/>
          </w:tcPr>
          <w:p>
            <w:pPr>
              <w:jc w:val="center"/>
            </w:pPr>
            <w:r>
              <w:rPr>
                <w:color w:val="000000"/>
                <w:sz w:val="24"/>
                <w:szCs w:val="24"/>
              </w:rPr>
              <w:t>16国债19</w:t>
            </w:r>
          </w:p>
        </w:tc>
        <w:tc>
          <w:tcPr>
            <w:vAlign w:val="center"/>
          </w:tcPr>
          <w:p>
            <w:pPr>
              <w:jc w:val="right"/>
            </w:pPr>
            <w:r>
              <w:rPr>
                <w:color w:val="000000"/>
                <w:sz w:val="24"/>
                <w:szCs w:val="24"/>
              </w:rPr>
              <w:t>40,000</w:t>
            </w:r>
          </w:p>
        </w:tc>
        <w:tc>
          <w:tcPr>
            <w:vAlign w:val="center"/>
          </w:tcPr>
          <w:p>
            <w:pPr>
              <w:jc w:val="right"/>
            </w:pPr>
            <w:r>
              <w:rPr>
                <w:color w:val="000000"/>
                <w:sz w:val="24"/>
                <w:szCs w:val="24"/>
              </w:rPr>
              <w:t>3,666,400.00</w:t>
            </w:r>
          </w:p>
        </w:tc>
        <w:tc>
          <w:tcPr>
            <w:vAlign w:val="center"/>
          </w:tcPr>
          <w:p>
            <w:pPr>
              <w:jc w:val="right"/>
            </w:pPr>
            <w:r>
              <w:rPr>
                <w:color w:val="000000"/>
                <w:sz w:val="24"/>
                <w:szCs w:val="24"/>
              </w:rPr>
              <w:t>7.10</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w:t>
      </w:r>
      <w:proofErr w:type="gramStart"/>
      <w:r w:rsidRPr="00414345">
        <w:rPr>
          <w:b/>
          <w:bCs/>
          <w:color w:val="000000"/>
          <w:kern w:val="0"/>
          <w:sz w:val="24"/>
          <w:szCs w:val="24"/>
        </w:rPr>
        <w:t>.</w:t>
      </w:r>
      <w:proofErr w:type="gramEnd"/>
      <w:r w:rsidRPr="00414345">
        <w:rPr>
          <w:b/>
          <w:bCs/>
          <w:color w:val="000000"/>
          <w:kern w:val="0"/>
          <w:sz w:val="24"/>
          <w:szCs w:val="24"/>
        </w:rPr>
        <w:t>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
      </w:r>
      <w:proofErr w:type="spellStart"/>
      <w:r w:rsidRPr="00414345">
        <w:rPr>
          <w:sz w:val="24"/>
          <w:szCs w:val="24"/>
        </w:rPr>
        <w:t/>
      </w:r>
      <w:proofErr w:type="spellEnd"/>
      <w:r w:rsidRPr="00414345">
        <w:rPr>
          <w:sz w:val="24"/>
          <w:szCs w:val="24"/>
        </w:rPr>
        <w:t/>
      </w:r>
      <w:proofErr w:type="spellStart"/>
      <w:proofErr w:type="gramStart"/>
      <w:r w:rsidRPr="00414345">
        <w:rPr>
          <w:sz w:val="24"/>
          <w:szCs w:val="24"/>
        </w:rPr>
        <w:t/>
      </w:r>
      <w:proofErr w:type="spellEnd"/>
      <w:proofErr w:type="gramEnd"/>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Pr="00414345">
        <w:rPr>
          <w:b/>
          <w:bCs/>
          <w:color w:val="000000"/>
          <w:kern w:val="0"/>
          <w:sz w:val="24"/>
          <w:szCs w:val="24"/>
        </w:rPr>
        <w:t/>
      </w:r>
      <w:proofErr w:type="gramEnd"/>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315D5D" w:rsidRPr="00414345">
        <w:rPr>
          <w:color w:val="000000"/>
          <w:sz w:val="24"/>
          <w:szCs w:val="24"/>
        </w:rPr>
        <w:t/>
      </w:r>
      <w:proofErr w:type="spellEnd"/>
      <w:proofErr w:type="gramEnd"/>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spellStart"/>
      <w:r w:rsidRPr="00414345">
        <w:rPr>
          <w:b/>
          <w:bCs/>
          <w:color w:val="000000"/>
          <w:kern w:val="0"/>
          <w:sz w:val="24"/>
          <w:szCs w:val="24"/>
        </w:rPr>
        <w:t/>
      </w:r>
      <w:proofErr w:type="spellEnd"/>
      <w:r w:rsidR="00A83500" w:rsidRPr="00414345">
        <w:rPr>
          <w:b/>
          <w:bCs/>
          <w:color w:val="000000"/>
          <w:kern w:val="0"/>
          <w:sz w:val="24"/>
          <w:szCs w:val="24"/>
        </w:rPr>
        <w:t/>
      </w:r>
      <w:r w:rsidR="003259C8" w:rsidRPr="00414345">
        <w:rPr>
          <w:b/>
          <w:bCs/>
          <w:color w:val="000000"/>
          <w:kern w:val="0"/>
          <w:sz w:val="24"/>
          <w:szCs w:val="24"/>
        </w:rPr>
        <w:t/>
      </w:r>
      <w:proofErr w:type="gramStart"/>
      <w:r w:rsidR="003259C8" w:rsidRPr="00414345">
        <w:rPr>
          <w:b/>
          <w:bCs/>
          <w:color w:val="000000"/>
          <w:kern w:val="0"/>
          <w:sz w:val="24"/>
          <w:szCs w:val="24"/>
        </w:rPr>
        <w:t/>
      </w:r>
      <w:proofErr w:type="gramEnd"/>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spellStart"/>
      <w:r w:rsidRPr="00414345">
        <w:rPr>
          <w:b/>
          <w:bCs/>
          <w:color w:val="000000"/>
          <w:kern w:val="0"/>
          <w:sz w:val="24"/>
          <w:szCs w:val="24"/>
        </w:rPr>
        <w:t/>
      </w:r>
      <w:proofErr w:type="spellEnd"/>
      <w:r w:rsidRPr="00414345">
        <w:rPr>
          <w:b/>
          <w:bCs/>
          <w:color w:val="000000"/>
          <w:kern w:val="0"/>
          <w:sz w:val="24"/>
          <w:szCs w:val="24"/>
        </w:rPr>
        <w:t/>
      </w:r>
      <w:proofErr w:type="gramStart"/>
      <w:r w:rsidRPr="00414345">
        <w:rPr>
          <w:b/>
          <w:bCs/>
          <w:color w:val="000000"/>
          <w:kern w:val="0"/>
          <w:sz w:val="24"/>
          <w:szCs w:val="24"/>
        </w:rPr>
        <w:t/>
      </w:r>
      <w:proofErr w:type="gramEnd"/>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Pr="00414345">
        <w:rPr>
          <w:b/>
          <w:bCs/>
          <w:color w:val="000000"/>
          <w:kern w:val="0"/>
          <w:sz w:val="24"/>
          <w:szCs w:val="24"/>
        </w:rPr>
        <w:t/>
      </w:r>
      <w:proofErr w:type="gramEnd"/>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
      </w:r>
      <w:proofErr w:type="gramStart"/>
      <w:r w:rsidRPr="00BE5388">
        <w:rPr>
          <w:bCs/>
          <w:color w:val="000000"/>
          <w:kern w:val="0"/>
          <w:sz w:val="24"/>
          <w:szCs w:val="24"/>
        </w:rPr>
        <w:t/>
      </w:r>
      <w:proofErr w:type="gramEnd"/>
      <w:r w:rsidRPr="00BE5388">
        <w:rPr>
          <w:bCs/>
          <w:color w:val="000000"/>
          <w:kern w:val="0"/>
          <w:sz w:val="24"/>
          <w:szCs w:val="24"/>
        </w:rPr>
        <w:t>5.11.1报告期内本基金投资的前十名证券的发行主体未被监管部门立案调查，在本报告编制日前一年内本基金投资的前十名证券的发行主体未受到公开谴责和处罚。</w:t>
      </w:r>
    </w:p>
    <w:p w:rsidP="00E40D31" w:rsidR="00BE5388" w:rsidRDefault="00BE5388" w:rsidRPr="00BE5388">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
      </w:r>
      <w:proofErr w:type="gramStart"/>
      <w:r w:rsidRPr="00BE5388">
        <w:rPr>
          <w:bCs/>
          <w:color w:val="000000"/>
          <w:kern w:val="0"/>
          <w:sz w:val="24"/>
          <w:szCs w:val="24"/>
        </w:rPr>
        <w:t/>
      </w:r>
      <w:proofErr w:type="gramEnd"/>
      <w:r w:rsidRPr="00BE5388">
        <w:rPr>
          <w:bCs/>
          <w:color w:val="000000"/>
          <w:kern w:val="0"/>
          <w:sz w:val="24"/>
          <w:szCs w:val="24"/>
        </w:rPr>
        <w:t>5.11.2本基金投资的前十名股票中，没有超出基金合同规定的备选股票库之外的股票。</w:t>
      </w: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gramStart"/>
      <w:r w:rsidRPr="00414345">
        <w:rPr>
          <w:bCs/>
          <w:color w:val="000000"/>
          <w:kern w:val="0"/>
          <w:sz w:val="24"/>
          <w:szCs w:val="24"/>
        </w:rPr>
        <w:t/>
      </w:r>
      <w:proofErr w:type="gramEnd"/>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57,518.71</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6,269,772.38</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927,089.85</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988.19</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7,255,369.13</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gramStart"/>
      <w:r w:rsidRPr="00414345">
        <w:rPr>
          <w:bCs/>
          <w:color w:val="000000"/>
          <w:kern w:val="0"/>
          <w:sz w:val="24"/>
          <w:szCs w:val="24"/>
        </w:rPr>
        <w:t/>
      </w:r>
      <w:proofErr w:type="gramEnd"/>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本基金本报告期末未持有处于转股期的可转换债券。</w:t>
      </w:r>
    </w:p>
    <w:p w:rsidP="00C15CAC" w:rsidR="004061AC" w:rsidRDefault="003259C8"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gramStart"/>
      <w:r w:rsidRPr="00414345">
        <w:rPr>
          <w:bCs/>
          <w:color w:val="000000"/>
          <w:kern w:val="0"/>
          <w:sz w:val="24"/>
          <w:szCs w:val="24"/>
        </w:rPr>
        <w:t/>
      </w:r>
      <w:proofErr w:type="gramEnd"/>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proofErr w:type="gramStart"/>
      <w:r w:rsidR="004061AC" w:rsidRPr="00414345">
        <w:rPr>
          <w:color w:val="000000"/>
          <w:sz w:val="24"/>
          <w:szCs w:val="24"/>
        </w:rPr>
        <w:t/>
      </w:r>
      <w:r w:rsidR="008E326D" w:rsidRPr="00414345">
        <w:rPr>
          <w:color w:val="000000"/>
          <w:sz w:val="24"/>
          <w:szCs w:val="24"/>
        </w:rPr>
        <w:t/>
      </w:r>
      <w:r w:rsidR="008E326D" w:rsidRPr="00414345">
        <w:rPr>
          <w:color w:val="000000"/>
          <w:sz w:val="24"/>
          <w:szCs w:val="24"/>
        </w:rPr>
        <w:lastRenderedPageBreak/>
        <w:t/>
      </w:r>
      <w:proofErr w:type="gramEnd"/>
      <w:r w:rsidR="004061AC" w:rsidRPr="00414345">
        <w:rPr>
          <w:color w:val="000000"/>
          <w:sz w:val="24"/>
          <w:szCs w:val="24"/>
        </w:rPr>
        <w:t>本基金本报告期末前十名股票中不存在流通受限情况。</w:t>
      </w:r>
    </w:p>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414345">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
      </w:r>
      <w:proofErr w:type="spellStart"/>
      <w:r w:rsidRPr="00414345">
        <w:rPr>
          <w:bCs/>
          <w:color w:val="000000"/>
          <w:kern w:val="0"/>
          <w:sz w:val="24"/>
          <w:szCs w:val="24"/>
        </w:rPr>
        <w:t/>
      </w:r>
      <w:proofErr w:type="spellEnd"/>
      <w:r w:rsidRPr="00414345">
        <w:rPr>
          <w:bCs/>
          <w:color w:val="000000"/>
          <w:kern w:val="0"/>
          <w:sz w:val="24"/>
          <w:szCs w:val="24"/>
        </w:rPr>
        <w:t/>
      </w:r>
      <w:r w:rsidR="003259C8" w:rsidRPr="00414345">
        <w:rPr>
          <w:bCs/>
          <w:color w:val="000000"/>
          <w:kern w:val="0"/>
          <w:sz w:val="24"/>
          <w:szCs w:val="24"/>
        </w:rPr>
        <w:t/>
      </w:r>
      <w:proofErr w:type="gramStart"/>
      <w:r w:rsidR="003259C8" w:rsidRPr="00414345">
        <w:rPr>
          <w:bCs/>
          <w:color w:val="000000"/>
          <w:kern w:val="0"/>
          <w:sz w:val="24"/>
          <w:szCs w:val="24"/>
        </w:rPr>
        <w:t/>
      </w:r>
      <w:proofErr w:type="gramEnd"/>
      <w:r w:rsidR="003259C8"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proofErr w:type="spellStart"/>
      <w:proofErr w:type="gramStart"/>
      <w:r w:rsidR="001675CD" w:rsidRPr="00414345">
        <w:rPr>
          <w:color w:val="000000"/>
          <w:sz w:val="24"/>
          <w:szCs w:val="24"/>
        </w:rPr>
        <w:t/>
      </w:r>
      <w:proofErr w:type="spellEnd"/>
      <w:proofErr w:type="gramEnd"/>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proofErr w:type="spellStart"/>
      <w:r w:rsidRPr="005A3D62">
        <w:rPr>
          <w:rFonts w:eastAsiaTheme="minorEastAsia"/>
          <w:color w:themeColor="text1" w:val="000000"/>
          <w:kern w:val="0"/>
          <w:sz w:val="24"/>
          <w:szCs w:val="24"/>
        </w:rPr>
        <w:t/>
      </w:r>
      <w:proofErr w:type="spellEnd"/>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w:t>
            </w:r>
            <w:proofErr w:type="gramStart"/>
            <w:r w:rsidRPr="00414345">
              <w:rPr>
                <w:color w:val="000000"/>
                <w:kern w:val="0"/>
                <w:sz w:val="24"/>
                <w:szCs w:val="24"/>
              </w:rPr>
              <w:t>初基金</w:t>
            </w:r>
            <w:proofErr w:type="gramEnd"/>
            <w:r w:rsidRPr="00414345">
              <w:rPr>
                <w:color w:val="000000"/>
                <w:kern w:val="0"/>
                <w:sz w:val="24"/>
                <w:szCs w:val="24"/>
              </w:rPr>
              <w:t>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59,100,884.16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55,786.56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
            </w:r>
            <w:proofErr w:type="spellStart"/>
            <w:r w:rsidR="00FE179F" w:rsidRPr="00414345">
              <w:rPr>
                <w:color w:val="000000"/>
                <w:kern w:val="0"/>
                <w:sz w:val="24"/>
                <w:szCs w:val="24"/>
              </w:rPr>
              <w:t/>
            </w:r>
            <w:proofErr w:type="spellEnd"/>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8,673,281.49</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
            </w:r>
            <w:proofErr w:type="spellStart"/>
            <w:r w:rsidRPr="00414345">
              <w:rPr>
                <w:color w:val="000000"/>
                <w:kern w:val="0"/>
                <w:sz w:val="24"/>
                <w:szCs w:val="24"/>
              </w:rPr>
              <w:t/>
            </w:r>
            <w:proofErr w:type="spellEnd"/>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proofErr w:type="spellStart"/>
            <w:r w:rsidRPr="00414345">
              <w:rPr>
                <w:color w:val="000000"/>
                <w:sz w:val="24"/>
                <w:szCs w:val="24"/>
              </w:rPr>
              <w:t/>
            </w:r>
            <w:r w:rsidR="00355364" w:rsidRPr="00414345">
              <w:rPr>
                <w:color w:val="000000"/>
                <w:sz w:val="24"/>
                <w:szCs w:val="24"/>
              </w:rPr>
              <w:t/>
            </w:r>
            <w:proofErr w:type="spellEnd"/>
            <w:r w:rsidRPr="00414345">
              <w:rPr>
                <w:color w:val="000000"/>
                <w:sz w:val="24"/>
                <w:szCs w:val="24"/>
              </w:rPr>
              <w:t>50,483,389.23</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proofErr w:type="spellStart"/>
      <w:r w:rsidRPr="00414345">
        <w:rPr>
          <w:color w:val="000000"/>
          <w:sz w:val="24"/>
          <w:szCs w:val="24"/>
        </w:rPr>
        <w:t/>
      </w:r>
      <w:proofErr w:type="spellEnd"/>
      <w:r w:rsidRPr="00414345">
        <w:rPr>
          <w:color w:val="000000"/>
          <w:sz w:val="24"/>
          <w:szCs w:val="24"/>
        </w:rPr>
        <w:t/>
      </w:r>
      <w:r w:rsidR="004061AC" w:rsidRPr="00414345">
        <w:rPr>
          <w:color w:val="000000"/>
          <w:sz w:val="24"/>
          <w:szCs w:val="24"/>
        </w:rPr>
        <w:t/>
      </w:r>
      <w:proofErr w:type="spellStart"/>
      <w:proofErr w:type="gramStart"/>
      <w:r w:rsidR="004061AC" w:rsidRPr="00414345">
        <w:rPr>
          <w:color w:val="000000"/>
          <w:sz w:val="24"/>
          <w:szCs w:val="24"/>
        </w:rPr>
        <w:t/>
      </w:r>
      <w:proofErr w:type="spellEnd"/>
      <w:proofErr w:type="gramEnd"/>
      <w:r w:rsidR="004061AC" w:rsidRPr="00414345">
        <w:rPr>
          <w:color w:val="000000"/>
          <w:sz w:val="24"/>
          <w:szCs w:val="24"/>
        </w:rPr>
        <w:t>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proofErr w:type="spellStart"/>
      <w:r w:rsidRPr="00ED2620">
        <w:rPr>
          <w:rFonts w:eastAsiaTheme="minorEastAsia"/>
          <w:color w:val="000000"/>
          <w:kern w:val="0"/>
          <w:sz w:val="24"/>
          <w:szCs w:val="24"/>
        </w:rPr>
        <w:t/>
      </w:r>
      <w:proofErr w:type="spellEnd"/>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w:t>
      </w:r>
      <w:proofErr w:type="gramStart"/>
      <w:r w:rsidRPr="00ED2620">
        <w:rPr>
          <w:sz w:val="24"/>
          <w:szCs w:val="24"/>
        </w:rPr>
        <w:t>固有资金</w:t>
      </w:r>
      <w:proofErr w:type="gramEnd"/>
      <w:r w:rsidRPr="00ED2620">
        <w:rPr>
          <w:sz w:val="24"/>
          <w:szCs w:val="24"/>
        </w:rPr>
        <w:t>投资本基金情况</w:t>
      </w:r>
    </w:p>
    <w:p w:rsidP="00C15CAC" w:rsidR="00ED2620" w:rsidRDefault="00ED2620" w:rsidRPr="00ED2620">
      <w:pPr>
        <w:spacing w:line="288" w:lineRule="auto"/>
        <w:jc w:val="left"/>
        <w:rPr>
          <w:sz w:val="24"/>
          <w:szCs w:val="24"/>
        </w:rPr>
      </w:pPr>
      <w:r w:rsidRPr="00ED2620">
        <w:rPr>
          <w:b/>
          <w:sz w:val="24"/>
        </w:rPr>
        <w:t/>
      </w:r>
      <w:proofErr w:type="spellStart"/>
      <w:r w:rsidRPr="00ED2620">
        <w:rPr>
          <w:b/>
          <w:sz w:val="24"/>
        </w:rPr>
        <w:t/>
      </w:r>
      <w:proofErr w:type="spellEnd"/>
      <w:r w:rsidRPr="00ED2620">
        <w:rPr>
          <w:b/>
          <w:sz w:val="24"/>
        </w:rPr>
        <w:t/>
      </w:r>
      <w:proofErr w:type="gramStart"/>
      <w:r w:rsidRPr="00ED2620">
        <w:rPr>
          <w:b/>
          <w:sz w:val="24"/>
        </w:rPr>
        <w:t/>
      </w:r>
      <w:proofErr w:type="gramEnd"/>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
      </w:r>
      <w:proofErr w:type="spellStart"/>
      <w:proofErr w:type="gramStart"/>
      <w:r w:rsidRPr="00ED2620">
        <w:rPr>
          <w:rFonts w:eastAsiaTheme="minorEastAsia"/>
          <w:color w:val="000000"/>
          <w:sz w:val="24"/>
        </w:rPr>
        <w:t/>
      </w:r>
      <w:proofErr w:type="spellEnd"/>
      <w:proofErr w:type="gramEnd"/>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
      </w:r>
      <w:proofErr w:type="spellStart"/>
      <w:r w:rsidRPr="00410630">
        <w:rPr>
          <w:b/>
          <w:sz w:val="24"/>
        </w:rPr>
        <w:t/>
      </w:r>
      <w:proofErr w:type="spellEnd"/>
      <w:r w:rsidRPr="00410630">
        <w:rPr>
          <w:b/>
          <w:sz w:val="24"/>
        </w:rPr>
        <w:t/>
      </w:r>
      <w:proofErr w:type="gramStart"/>
      <w:r w:rsidRPr="00410630">
        <w:rPr>
          <w:b/>
          <w:sz w:val="24"/>
        </w:rPr>
        <w:t/>
      </w:r>
      <w:proofErr w:type="gramEnd"/>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
      </w:r>
      <w:proofErr w:type="spellStart"/>
      <w:r w:rsidRPr="00414345">
        <w:rPr>
          <w:color w:val="000000"/>
          <w:sz w:val="24"/>
        </w:rPr>
        <w:t/>
      </w:r>
      <w:proofErr w:type="spellEnd"/>
      <w:r w:rsidRPr="00414345">
        <w:rPr>
          <w:color w:val="000000"/>
          <w:sz w:val="24"/>
        </w:rPr>
        <w:t/>
      </w:r>
      <w:proofErr w:type="spellStart"/>
      <w:proofErr w:type="gramStart"/>
      <w:r w:rsidRPr="00414345">
        <w:rPr>
          <w:color w:val="000000"/>
          <w:sz w:val="24"/>
        </w:rPr>
        <w:t/>
      </w:r>
      <w:proofErr w:type="spellEnd"/>
      <w:proofErr w:type="gramEnd"/>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3C50AD" w:rsidRDefault="003C50AD" w:rsidRPr="00220C32">
      <w:pPr>
        <w:pStyle w:val="1"/>
        <w:spacing w:after="312" w:afterLines="100" w:before="312" w:beforeLines="100" w:line="360" w:lineRule="auto"/>
        <w:jc w:val="center"/>
        <w:rPr>
          <w:rFonts w:asciiTheme="minorEastAsia" w:eastAsiaTheme="minorEastAsia" w:hAnsiTheme="minorEastAsia"/>
          <w:color w:themeColor="text1" w:val="000000"/>
          <w:kern w:val="0"/>
          <w:sz w:val="24"/>
          <w:szCs w:val="24"/>
        </w:rPr>
      </w:pPr>
      <w:r w:rsidRPr="00220C32">
        <w:rPr>
          <w:rFonts w:asciiTheme="minorEastAsia" w:eastAsiaTheme="minorEastAsia" w:hAnsiTheme="minorEastAsia" w:hint="eastAsia"/>
          <w:color w:themeColor="text1" w:val="000000"/>
          <w:kern w:val="0"/>
          <w:sz w:val="24"/>
          <w:szCs w:val="24"/>
        </w:rPr>
        <w:t/>
      </w:r>
      <w:proofErr w:type="spellStart"/>
      <w:r w:rsidRPr="00220C32">
        <w:rPr>
          <w:rFonts w:asciiTheme="minorEastAsia" w:eastAsiaTheme="minorEastAsia" w:hAnsiTheme="minorEastAsia" w:hint="eastAsia"/>
          <w:color w:themeColor="text1" w:val="000000"/>
          <w:kern w:val="0"/>
          <w:sz w:val="24"/>
          <w:szCs w:val="24"/>
        </w:rPr>
        <w:t/>
      </w:r>
      <w:proofErr w:type="spellEnd"/>
      <w:r w:rsidRPr="00220C32">
        <w:rPr>
          <w:rFonts w:asciiTheme="minorEastAsia" w:eastAsiaTheme="minorEastAsia" w:hAnsiTheme="minorEastAsia" w:hint="eastAsia"/>
          <w:color w:themeColor="text1" w:val="000000"/>
          <w:kern w:val="0"/>
          <w:sz w:val="24"/>
          <w:szCs w:val="24"/>
        </w:rPr>
        <w:t>§8</w:t>
      </w:r>
      <w:r w:rsidRPr="00220C32">
        <w:rPr>
          <w:rFonts w:asciiTheme="minorEastAsia" w:eastAsiaTheme="minorEastAsia" w:hAnsiTheme="minorEastAsia"/>
          <w:color w:themeColor="text1" w:val="000000"/>
          <w:kern w:val="0"/>
          <w:sz w:val="24"/>
          <w:szCs w:val="24"/>
        </w:rPr>
        <w:t xml:space="preserve">  </w:t>
      </w:r>
      <w:r w:rsidRPr="00220C32">
        <w:rPr>
          <w:rFonts w:asciiTheme="minorEastAsia" w:eastAsiaTheme="minorEastAsia" w:hAnsiTheme="minorEastAsia" w:hint="eastAsia"/>
          <w:color w:themeColor="text1" w:val="000000"/>
          <w:kern w:val="0"/>
          <w:sz w:val="24"/>
          <w:szCs w:val="24"/>
        </w:rPr>
        <w:t>影响投资者决策的其他重要信息</w:t>
      </w:r>
    </w:p>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proofErr w:type="spellStart"/>
      <w:r w:rsidRPr="009A5C99">
        <w:rPr>
          <w:rFonts w:ascii="宋体" w:hAnsi="宋体"/>
          <w:b/>
          <w:color w:val="000000"/>
          <w:kern w:val="0"/>
          <w:sz w:val="24"/>
          <w:szCs w:val="24"/>
        </w:rPr>
        <w:t/>
      </w:r>
      <w:proofErr w:type="spellEnd"/>
      <w:r w:rsidRPr="009A5C99">
        <w:rPr>
          <w:rFonts w:ascii="宋体" w:hAnsi="宋体"/>
          <w:b/>
          <w:color w:val="000000"/>
          <w:kern w:val="0"/>
          <w:sz w:val="24"/>
          <w:szCs w:val="24"/>
        </w:rPr>
        <w:t/>
      </w:r>
      <w:r w:rsidRPr="009A5C99">
        <w:rPr>
          <w:rFonts w:ascii="宋体" w:hAnsi="宋体"/>
          <w:b/>
          <w:bCs/>
          <w:color w:val="000000"/>
          <w:kern w:val="0"/>
          <w:sz w:val="24"/>
          <w:szCs w:val="24"/>
        </w:rPr>
        <w:t/>
      </w:r>
      <w:proofErr w:type="gramStart"/>
      <w:r w:rsidRPr="009A5C99">
        <w:rPr>
          <w:rFonts w:ascii="宋体" w:hAnsi="宋体"/>
          <w:b/>
          <w:bCs/>
          <w:color w:val="000000"/>
          <w:kern w:val="0"/>
          <w:sz w:val="24"/>
          <w:szCs w:val="24"/>
        </w:rPr>
        <w:t/>
      </w:r>
      <w:proofErr w:type="gramEnd"/>
      <w:r w:rsidRPr="009A5C99">
        <w:rPr>
          <w:rFonts w:ascii="宋体" w:hAnsi="宋体"/>
          <w:b/>
          <w:bCs/>
          <w:color w:val="000000"/>
          <w:kern w:val="0"/>
          <w:sz w:val="24"/>
          <w:szCs w:val="24"/>
        </w:rPr>
        <w:t>8.</w:t>
      </w:r>
      <w:r w:rsidRPr="009A5C99">
        <w:rPr>
          <w:rFonts w:ascii="宋体" w:hAnsi="宋体" w:hint="eastAsia"/>
          <w:b/>
          <w:bCs/>
          <w:color w:val="000000"/>
          <w:kern w:val="0"/>
          <w:sz w:val="24"/>
          <w:szCs w:val="24"/>
        </w:rPr>
        <w:t>1 报告期内单一投资者持有基金份额比例达到或超过20%的情况</w:t>
      </w:r>
    </w:p>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3"/>
        <w:gridCol w:w="992"/>
        <w:gridCol w:w="1843"/>
        <w:gridCol w:w="851"/>
        <w:gridCol w:w="850"/>
        <w:gridCol w:w="1134"/>
        <w:gridCol w:w="1419"/>
        <w:gridCol w:w="1130"/>
      </w:tblGrid>
      <w:tr w:rsidR="003C50AD" w:rsidRPr="004F4D27" w:rsidTr="00424D30">
        <w:tc>
          <w:tcPr>
            <w:tcW w:type="dxa" w:w="993"/>
            <w:vMerge w:val="restart"/>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投资者类别</w:t>
            </w:r>
            <w:r w:rsidRPr="004F4D27">
              <w:rPr>
                <w:rFonts w:ascii="宋体" w:hAnsi="宋体"/>
                <w:color w:val="000000"/>
                <w:kern w:val="0"/>
              </w:rPr>
              <w:t/>
            </w:r>
            <w:proofErr w:type="spellStart"/>
            <w:r w:rsidRPr="004F4D27">
              <w:rPr>
                <w:rFonts w:ascii="宋体" w:hAnsi="宋体"/>
                <w:color w:val="000000"/>
                <w:kern w:val="0"/>
              </w:rPr>
              <w:t/>
            </w:r>
            <w:proofErr w:type="spellEnd"/>
            <w:r w:rsidRPr="004F4D27">
              <w:rPr>
                <w:rFonts w:ascii="宋体" w:hAnsi="宋体"/>
                <w:color w:val="000000"/>
                <w:kern w:val="0"/>
              </w:rPr>
              <w:t/>
            </w:r>
            <w:proofErr w:type="spellStart"/>
            <w:r w:rsidRPr="004F4D27">
              <w:rPr>
                <w:rFonts w:ascii="宋体" w:hAnsi="宋体"/>
                <w:color w:val="000000"/>
                <w:kern w:val="0"/>
              </w:rPr>
              <w:t/>
            </w:r>
            <w:proofErr w:type="spellEnd"/>
            <w:r w:rsidRPr="004F4D27">
              <w:rPr>
                <w:rFonts w:ascii="宋体" w:hAnsi="宋体"/>
                <w:color w:val="000000"/>
                <w:kern w:val="0"/>
              </w:rPr>
              <w:t xml:space="preserve">  </w:t>
            </w:r>
          </w:p>
        </w:tc>
        <w:tc>
          <w:tcPr>
            <w:tcW w:type="dxa" w:w="5670"/>
            <w:gridSpan w:val="5"/>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报告期内持有基金份额变化情况</w:t>
            </w:r>
          </w:p>
        </w:tc>
        <w:tc>
          <w:tcPr>
            <w:tcW w:type="dxa" w:w="2549"/>
            <w:gridSpan w:val="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报告期末持有基金情况</w:t>
            </w:r>
          </w:p>
        </w:tc>
      </w:tr>
      <w:tr w:rsidR="003C50AD" w:rsidRPr="004F4D27" w:rsidTr="00424D30">
        <w:tc>
          <w:tcPr>
            <w:tcW w:type="dxa" w:w="993"/>
            <w:vMerge/>
            <w:vAlign w:val="center"/>
          </w:tcPr>
          <w:p w:rsidP="00424D30" w:rsidR="003C50AD" w:rsidRDefault="003C50AD" w:rsidRPr="004F4D27">
            <w:pPr>
              <w:autoSpaceDE w:val="0"/>
              <w:autoSpaceDN w:val="0"/>
              <w:adjustRightInd w:val="0"/>
              <w:jc w:val="center"/>
              <w:rPr>
                <w:rFonts w:ascii="宋体" w:hAnsi="宋体"/>
                <w:b/>
                <w:bCs/>
                <w:color w:val="000000"/>
                <w:kern w:val="0"/>
              </w:rPr>
            </w:pPr>
          </w:p>
        </w:tc>
        <w:tc>
          <w:tcPr>
            <w:tcW w:type="dxa" w:w="992"/>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序号</w:t>
            </w:r>
          </w:p>
        </w:tc>
        <w:tc>
          <w:tcPr>
            <w:tcW w:type="dxa" w:w="1843"/>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持有基金份额比例达到或者超过20%的时间区间</w:t>
            </w:r>
          </w:p>
        </w:tc>
        <w:tc>
          <w:tcPr>
            <w:tcW w:type="dxa" w:w="851"/>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期初份额</w:t>
            </w:r>
          </w:p>
        </w:tc>
        <w:tc>
          <w:tcPr>
            <w:tcW w:type="dxa" w:w="850"/>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申购份额</w:t>
            </w:r>
          </w:p>
        </w:tc>
        <w:tc>
          <w:tcPr>
            <w:tcW w:type="dxa" w:w="1134"/>
            <w:vAlign w:val="center"/>
          </w:tcPr>
          <w:p w:rsidP="00424D30" w:rsidR="003C50AD" w:rsidRDefault="003C50AD" w:rsidRPr="004F4D27">
            <w:pPr>
              <w:widowControl/>
              <w:jc w:val="center"/>
              <w:rPr>
                <w:rFonts w:ascii="宋体" w:hAnsi="宋体"/>
                <w:b/>
                <w:bCs/>
                <w:color w:val="000000"/>
                <w:kern w:val="0"/>
              </w:rPr>
            </w:pPr>
            <w:r w:rsidRPr="004F4D27">
              <w:rPr>
                <w:rFonts w:ascii="宋体" w:hAnsi="宋体" w:hint="eastAsia"/>
                <w:color w:val="000000"/>
                <w:kern w:val="0"/>
              </w:rPr>
              <w:t>赎回份额</w:t>
            </w:r>
          </w:p>
        </w:tc>
        <w:tc>
          <w:tcPr>
            <w:tcW w:type="dxa" w:w="1419"/>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持有份额</w:t>
            </w:r>
          </w:p>
        </w:tc>
        <w:tc>
          <w:tcPr>
            <w:tcW w:type="dxa" w:w="1130"/>
            <w:vAlign w:val="center"/>
          </w:tcPr>
          <w:p w:rsidP="00424D30" w:rsidR="003C50AD" w:rsidRDefault="003C50AD" w:rsidRPr="004F4D27">
            <w:pPr>
              <w:autoSpaceDE w:val="0"/>
              <w:autoSpaceDN w:val="0"/>
              <w:adjustRightInd w:val="0"/>
              <w:jc w:val="center"/>
              <w:rPr>
                <w:rFonts w:ascii="宋体" w:hAnsi="宋体"/>
                <w:b/>
                <w:bCs/>
                <w:color w:val="000000"/>
                <w:kern w:val="0"/>
              </w:rPr>
            </w:pPr>
            <w:r w:rsidRPr="004F4D27">
              <w:rPr>
                <w:rFonts w:ascii="宋体" w:hAnsi="宋体" w:hint="eastAsia"/>
                <w:color w:val="000000"/>
                <w:kern w:val="0"/>
              </w:rPr>
              <w:t>份额占比</w:t>
            </w:r>
          </w:p>
        </w:tc>
      </w:tr>
      <w:tr>
        <w:tc>
          <w:tcPr>
            <w:vMerge w:val="restart"/>
          </w:tcPr>
          <w:p/>
          <w:p>
            <w:r>
              <w:rPr>
                <w:rFonts w:ascii="宋体" w:hAnsi="宋体" w:hint="eastAsia"/>
                <w:bCs/>
                <w:color w:val="000000"/>
                <w:kern w:val="0"/>
              </w:rPr>
              <w:t>个人</w:t>
            </w:r>
          </w:p>
        </w:tc>
        <w:tc>
          <w:tcPr>
            <w:vAlign w:val="center"/>
          </w:tcPr>
          <w:p>
            <w:pPr>
              <w:jc w:val="center"/>
            </w:pPr>
            <w:r>
              <w:rPr>
                <w:rFonts w:ascii="宋体" w:hAnsi="宋体"/>
                <w:kern w:val="0"/>
              </w:rPr>
              <w:t>1</w:t>
            </w:r>
          </w:p>
        </w:tc>
        <w:tc>
          <w:tcPr>
            <w:vAlign w:val="center"/>
          </w:tcPr>
          <w:p>
            <w:pPr>
              <w:jc w:val="center"/>
            </w:pPr>
            <w:r>
              <w:rPr>
                <w:rFonts w:ascii="宋体" w:hAnsi="宋体"/>
                <w:kern w:val="0"/>
              </w:rPr>
              <w:t>2019/4/1-2019/6/30</w:t>
            </w:r>
          </w:p>
        </w:tc>
        <w:tc>
          <w:tcPr>
            <w:vAlign w:val="center"/>
          </w:tcPr>
          <w:p>
            <w:pPr>
              <w:jc w:val="center"/>
            </w:pPr>
            <w:r>
              <w:rPr>
                <w:rFonts w:ascii="宋体" w:hAnsi="宋体"/>
                <w:kern w:val="0"/>
              </w:rPr>
              <w:t>15,000,350.00</w:t>
            </w:r>
          </w:p>
        </w:tc>
        <w:tc>
          <w:tcPr>
            <w:vAlign w:val="center"/>
          </w:tcPr>
          <w:p>
            <w:pPr>
              <w:jc w:val="center"/>
            </w:pPr>
            <w:r>
              <w:rPr>
                <w:rFonts w:ascii="宋体" w:hAnsi="宋体"/>
                <w:kern w:val="0"/>
              </w:rPr>
              <w:t>-</w:t>
            </w:r>
          </w:p>
        </w:tc>
        <w:tc>
          <w:tcPr>
            <w:vAlign w:val="center"/>
          </w:tcPr>
          <w:p>
            <w:pPr>
              <w:jc w:val="center"/>
            </w:pPr>
            <w:r>
              <w:rPr>
                <w:rFonts w:ascii="宋体" w:hAnsi="宋体"/>
                <w:kern w:val="0"/>
              </w:rPr>
              <w:t>-</w:t>
            </w:r>
          </w:p>
        </w:tc>
        <w:tc>
          <w:tcPr>
            <w:vAlign w:val="center"/>
          </w:tcPr>
          <w:p>
            <w:pPr>
              <w:jc w:val="center"/>
            </w:pPr>
            <w:r>
              <w:rPr>
                <w:rFonts w:ascii="宋体" w:hAnsi="宋体"/>
                <w:kern w:val="0"/>
              </w:rPr>
              <w:t>15,000,350.00</w:t>
            </w:r>
          </w:p>
        </w:tc>
        <w:tc>
          <w:tcPr>
            <w:vAlign w:val="center"/>
          </w:tcPr>
          <w:p>
            <w:pPr>
              <w:jc w:val="center"/>
            </w:pPr>
            <w:r>
              <w:rPr>
                <w:rFonts w:ascii="宋体" w:hAnsi="宋体"/>
                <w:kern w:val="0"/>
              </w:rPr>
              <w:t>29.71%</w:t>
            </w:r>
          </w:p>
        </w:tc>
      </w:tr>
    </w:tbl>
    <w:tbl>
      <w:tblPr>
        <w:tblW w:type="dxa" w:w="9212"/>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2"/>
      </w:tblGrid>
      <w:tr w:rsidR="003C50AD" w:rsidRPr="004F4D27" w:rsidTr="00424D30">
        <w:tc>
          <w:tcPr>
            <w:tcW w:type="dxa" w:w="9212"/>
            <w:vAlign w:val="center"/>
          </w:tcPr>
          <w:p w:rsidP="00424D30" w:rsidR="003C50AD" w:rsidRDefault="003C50AD" w:rsidRPr="004F4D27">
            <w:pPr>
              <w:autoSpaceDE w:val="0"/>
              <w:autoSpaceDN w:val="0"/>
              <w:adjustRightInd w:val="0"/>
              <w:jc w:val="center"/>
              <w:rPr>
                <w:rFonts w:ascii="宋体" w:hAnsi="宋体"/>
                <w:kern w:val="0"/>
              </w:rPr>
            </w:pPr>
            <w:r w:rsidRPr="004F4D27">
              <w:rPr>
                <w:rFonts w:ascii="宋体" w:hAnsi="宋体"/>
                <w:color w:val="000000"/>
                <w:kern w:val="0"/>
              </w:rPr>
              <w:lastRenderedPageBreak/>
              <w:t>产品特有风险</w:t>
            </w:r>
            <w:r w:rsidRPr="004F4D27">
              <w:rPr>
                <w:rFonts w:ascii="宋体" w:hAnsi="宋体"/>
                <w:kern w:val="0"/>
              </w:rPr>
              <w:t/>
            </w:r>
            <w:proofErr w:type="spellStart"/>
            <w:r w:rsidRPr="004F4D27">
              <w:rPr>
                <w:rFonts w:ascii="宋体" w:hAnsi="宋体" w:hint="eastAsia"/>
                <w:kern w:val="0"/>
              </w:rPr>
              <w:t/>
            </w:r>
            <w:proofErr w:type="spellEnd"/>
            <w:r w:rsidRPr="004F4D27">
              <w:rPr>
                <w:rFonts w:ascii="宋体" w:hAnsi="宋体"/>
                <w:kern w:val="0"/>
              </w:rPr>
              <w:t/>
            </w:r>
          </w:p>
        </w:tc>
      </w:tr>
      <w:tr w:rsidR="003C50AD" w:rsidRPr="004F4D27" w:rsidTr="00424D30">
        <w:tc>
          <w:tcPr>
            <w:tcW w:type="dxa" w:w="9212"/>
            <w:vAlign w:val="center"/>
          </w:tcPr>
          <w:p w:rsidP="00424D30" w:rsidR="003C50AD" w:rsidRDefault="003C50AD" w:rsidRPr="004F4D27">
            <w:pPr>
              <w:autoSpaceDE w:val="0"/>
              <w:autoSpaceDN w:val="0"/>
              <w:adjustRightInd w:val="0"/>
              <w:jc w:val="left"/>
              <w:rPr>
                <w:rFonts w:ascii="宋体" w:hAnsi="宋体"/>
                <w:kern w:val="0"/>
              </w:rPr>
            </w:pPr>
            <w:r w:rsidRPr="004F4D27">
              <w:rPr>
                <w:rFonts w:ascii="宋体" w:hAnsi="宋体" w:hint="eastAsia"/>
                <w:kern w:val="0"/>
              </w:rPr>
              <w:t/>
            </w:r>
            <w:r w:rsidRPr="004F4D27">
              <w:rPr>
                <w:rFonts w:ascii="宋体" w:hAnsi="宋体"/>
                <w:kern w:val="0"/>
              </w:rPr>
              <w:t/>
            </w:r>
            <w:r w:rsidRPr="004F4D27">
              <w:rPr>
                <w:rFonts w:ascii="宋体" w:hAnsi="宋体" w:hint="eastAsia"/>
                <w:kern w:val="0"/>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r w:rsidRPr="004F4D27">
              <w:rPr>
                <w:rFonts w:ascii="宋体" w:hAnsi="宋体"/>
                <w:kern w:val="0"/>
              </w:rPr>
              <w:t/>
            </w:r>
          </w:p>
        </w:tc>
      </w:tr>
    </w:tbl>
    <w:p w:rsidP="003C50AD" w:rsidR="003C50AD" w:rsidRDefault="003C50AD" w:rsidRPr="009A5C99">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b/>
          <w:color w:val="000000"/>
          <w:kern w:val="0"/>
          <w:sz w:val="24"/>
          <w:szCs w:val="24"/>
        </w:rPr>
        <w:t/>
      </w:r>
      <w:proofErr w:type="spellStart"/>
      <w:r w:rsidRPr="009A5C99">
        <w:rPr>
          <w:rFonts w:ascii="宋体" w:hAnsi="宋体"/>
          <w:b/>
          <w:color w:val="000000"/>
          <w:kern w:val="0"/>
          <w:sz w:val="24"/>
          <w:szCs w:val="24"/>
        </w:rPr>
        <w:t/>
      </w:r>
      <w:proofErr w:type="spellEnd"/>
      <w:r w:rsidRPr="009A5C99">
        <w:rPr>
          <w:rFonts w:ascii="宋体" w:hAnsi="宋体"/>
          <w:b/>
          <w:color w:val="000000"/>
          <w:kern w:val="0"/>
          <w:sz w:val="24"/>
          <w:szCs w:val="24"/>
        </w:rPr>
        <w:t/>
      </w:r>
      <w:r w:rsidRPr="009A5C99">
        <w:rPr>
          <w:rFonts w:ascii="宋体" w:hAnsi="宋体" w:hint="eastAsia"/>
          <w:b/>
          <w:bCs/>
          <w:color w:val="000000"/>
          <w:kern w:val="0"/>
          <w:sz w:val="24"/>
          <w:szCs w:val="24"/>
        </w:rPr>
        <w:t/>
      </w:r>
      <w:proofErr w:type="gramStart"/>
      <w:r w:rsidRPr="009A5C99">
        <w:rPr>
          <w:rFonts w:ascii="宋体" w:hAnsi="宋体" w:hint="eastAsia"/>
          <w:b/>
          <w:bCs/>
          <w:color w:val="000000"/>
          <w:kern w:val="0"/>
          <w:sz w:val="24"/>
          <w:szCs w:val="24"/>
        </w:rPr>
        <w:t/>
      </w:r>
      <w:proofErr w:type="gramEnd"/>
      <w:r w:rsidRPr="009A5C99">
        <w:rPr>
          <w:rFonts w:ascii="宋体" w:hAnsi="宋体" w:hint="eastAsia"/>
          <w:b/>
          <w:bCs/>
          <w:color w:val="000000"/>
          <w:kern w:val="0"/>
          <w:sz w:val="24"/>
          <w:szCs w:val="24"/>
        </w:rPr>
        <w:t>8.2 影响投资者决策的其他重要信息</w:t>
      </w:r>
    </w:p>
    <w:p w:rsidP="003C50AD" w:rsidR="003C50AD" w:rsidRDefault="003C50AD" w:rsidRPr="004F4D27">
      <w:pPr>
        <w:spacing w:line="360" w:lineRule="auto"/>
        <w:ind w:firstLine="420" w:firstLineChars="200"/>
        <w:rPr>
          <w:rFonts w:ascii="宋体" w:hAnsi="宋体"/>
          <w:color w:val="000000"/>
        </w:rPr>
      </w:pPr>
      <w:r w:rsidRPr="004F4D27">
        <w:rPr>
          <w:rFonts w:ascii="宋体" w:hAnsi="宋体"/>
          <w:color w:val="000000"/>
        </w:rPr>
        <w:t/>
      </w:r>
      <w:proofErr w:type="spellStart"/>
      <w:proofErr w:type="gramStart"/>
      <w:r w:rsidRPr="004F4D27">
        <w:rPr>
          <w:rFonts w:ascii="宋体" w:hAnsi="宋体"/>
          <w:color w:val="000000"/>
        </w:rPr>
        <w:t/>
      </w:r>
      <w:proofErr w:type="spellEnd"/>
      <w:proofErr w:type="gramEnd"/>
      <w:r w:rsidRPr="004F4D27">
        <w:rPr>
          <w:rFonts w:ascii="宋体" w:hAnsi="宋体"/>
          <w:color w:val="000000"/>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P="00C15CAC" w:rsidR="00ED6E80" w:rsidRDefault="00ED6E80" w:rsidRPr="00414345">
      <w:pPr>
        <w:spacing w:before="29" w:line="288" w:lineRule="auto"/>
        <w:ind w:firstLine="480" w:firstLineChars="200"/>
        <w:rPr>
          <w:color w:val="000000"/>
          <w:sz w:val="24"/>
          <w:szCs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00676095" w:rsidRPr="00414345">
        <w:rPr>
          <w:b/>
          <w:bCs/>
          <w:color w:val="000000"/>
          <w:kern w:val="0"/>
          <w:sz w:val="24"/>
          <w:szCs w:val="24"/>
        </w:rPr>
        <w:t/>
      </w:r>
      <w:proofErr w:type="gramEnd"/>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1、中国证监会准予交银施罗德荣和保本混合型证券投资基金募集注册的文件； </w:t>
      </w:r>
    </w:p>
    <w:p>
      <w:pPr>
        <w:spacing w:before="29" w:line="288" w:lineRule="auto"/>
        <w:ind w:firstLine="480" w:firstLineChars="200"/>
        <w:rPr>
          <w:color w:val="000000"/>
          <w:sz w:val="24"/>
          <w:szCs w:val="24"/>
        </w:rPr>
      </w:pPr>
      <w:r>
        <w:rPr>
          <w:color w:val="000000"/>
          <w:sz w:val="24"/>
          <w:szCs w:val="24"/>
        </w:rPr>
        <w:t xml:space="preserve">2、《交银施罗德安心收益债券型证券投资基金基金合同》； </w:t>
      </w:r>
    </w:p>
    <w:p>
      <w:pPr>
        <w:spacing w:before="29" w:line="288" w:lineRule="auto"/>
        <w:ind w:firstLine="480" w:firstLineChars="200"/>
        <w:rPr>
          <w:color w:val="000000"/>
          <w:sz w:val="24"/>
          <w:szCs w:val="24"/>
        </w:rPr>
      </w:pPr>
      <w:r>
        <w:rPr>
          <w:color w:val="000000"/>
          <w:sz w:val="24"/>
          <w:szCs w:val="24"/>
        </w:rPr>
        <w:t xml:space="preserve">3、《交银施罗德安心收益债券型证券投资基金招募说明书》；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4、《交银施罗德安心收益债券型证券投资基金托管协议》； </w:t>
      </w:r>
    </w:p>
    <w:p>
      <w:pPr>
        <w:spacing w:before="29" w:line="288" w:lineRule="auto"/>
        <w:ind w:firstLine="480" w:firstLineChars="200"/>
        <w:rPr>
          <w:color w:val="000000"/>
          <w:sz w:val="24"/>
          <w:szCs w:val="24"/>
        </w:rPr>
      </w:pPr>
      <w:r>
        <w:rPr>
          <w:color w:val="000000"/>
          <w:sz w:val="24"/>
          <w:szCs w:val="24"/>
        </w:rPr>
        <w:t xml:space="preserve">5、《交银施罗德荣和保本混合型证券投资基金基金合同》； </w:t>
      </w:r>
    </w:p>
    <w:p>
      <w:pPr>
        <w:spacing w:before="29" w:line="288" w:lineRule="auto"/>
        <w:ind w:firstLine="480" w:firstLineChars="200"/>
        <w:rPr>
          <w:color w:val="000000"/>
          <w:sz w:val="24"/>
          <w:szCs w:val="24"/>
        </w:rPr>
      </w:pPr>
      <w:r>
        <w:rPr>
          <w:color w:val="000000"/>
          <w:sz w:val="24"/>
          <w:szCs w:val="24"/>
        </w:rPr>
        <w:t xml:space="preserve">6、《交银施罗德荣和保本混合型证券投资基金招募说明书》； </w:t>
      </w:r>
    </w:p>
    <w:p>
      <w:pPr>
        <w:spacing w:before="29" w:line="288" w:lineRule="auto"/>
        <w:ind w:firstLine="480" w:firstLineChars="200"/>
        <w:rPr>
          <w:color w:val="000000"/>
          <w:sz w:val="24"/>
          <w:szCs w:val="24"/>
        </w:rPr>
      </w:pPr>
      <w:r>
        <w:rPr>
          <w:color w:val="000000"/>
          <w:sz w:val="24"/>
          <w:szCs w:val="24"/>
        </w:rPr>
        <w:t xml:space="preserve">7、《交银施罗德荣和保本混合型证券投资基金托管协议》； </w:t>
      </w:r>
    </w:p>
    <w:p>
      <w:pPr>
        <w:spacing w:before="29" w:line="288" w:lineRule="auto"/>
        <w:ind w:firstLine="480" w:firstLineChars="200"/>
        <w:rPr>
          <w:color w:val="000000"/>
          <w:sz w:val="24"/>
          <w:szCs w:val="24"/>
        </w:rPr>
      </w:pPr>
      <w:r>
        <w:rPr>
          <w:color w:val="000000"/>
          <w:sz w:val="24"/>
          <w:szCs w:val="24"/>
        </w:rPr>
        <w:t>8、《交银施罗德荣和保本混合型证券投资基金保证合同》；</w:t>
      </w:r>
    </w:p>
    <w:p>
      <w:pPr>
        <w:spacing w:before="29" w:line="288" w:lineRule="auto"/>
        <w:ind w:firstLine="480" w:firstLineChars="200"/>
        <w:rPr>
          <w:color w:val="000000"/>
          <w:sz w:val="24"/>
          <w:szCs w:val="24"/>
        </w:rPr>
      </w:pPr>
      <w:r>
        <w:rPr>
          <w:color w:val="000000"/>
          <w:sz w:val="24"/>
          <w:szCs w:val="24"/>
        </w:rPr>
        <w:t xml:space="preserve">9、基金管理人业务资格批件、营业执照； </w:t>
      </w:r>
    </w:p>
    <w:p>
      <w:pPr>
        <w:spacing w:before="29" w:line="288" w:lineRule="auto"/>
        <w:ind w:firstLine="480" w:firstLineChars="200"/>
        <w:rPr>
          <w:color w:val="000000"/>
          <w:sz w:val="24"/>
          <w:szCs w:val="24"/>
        </w:rPr>
      </w:pPr>
      <w:r>
        <w:rPr>
          <w:color w:val="000000"/>
          <w:sz w:val="24"/>
          <w:szCs w:val="24"/>
        </w:rPr>
        <w:t xml:space="preserve">10、基金托管人业务资格批件、营业执照； </w:t>
      </w:r>
    </w:p>
    <w:p>
      <w:pPr>
        <w:spacing w:before="29" w:line="288" w:lineRule="auto"/>
        <w:ind w:firstLine="480" w:firstLineChars="200"/>
        <w:rPr>
          <w:color w:val="000000"/>
          <w:sz w:val="24"/>
          <w:szCs w:val="24"/>
        </w:rPr>
      </w:pPr>
      <w:r>
        <w:rPr>
          <w:color w:val="000000"/>
          <w:sz w:val="24"/>
          <w:szCs w:val="24"/>
        </w:rPr>
        <w:t xml:space="preserve">11、关于申请募集注册交银施罗德荣和保本混合型证券投资基金的法律意见书； </w:t>
      </w:r>
    </w:p>
    <w:p>
      <w:pPr>
        <w:spacing w:before="29" w:line="288" w:lineRule="auto"/>
        <w:ind w:firstLine="480" w:firstLineChars="200"/>
        <w:rPr>
          <w:color w:val="000000"/>
          <w:sz w:val="24"/>
          <w:szCs w:val="24"/>
        </w:rPr>
      </w:pPr>
      <w:r>
        <w:rPr>
          <w:color w:val="000000"/>
          <w:sz w:val="24"/>
          <w:szCs w:val="24"/>
        </w:rPr>
        <w:t>12、关于修改《交银施罗德荣和保本混合型证券投资基金基金合同》的法律意见书</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13、报告期内交银施罗德荣和保本混合型证券投资基金、交银施罗德安心收益债券型证券投资基金在指定报刊上各项公告的原稿。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00676095" w:rsidRPr="00414345">
        <w:rPr>
          <w:b/>
          <w:bCs/>
          <w:color w:val="000000"/>
          <w:kern w:val="0"/>
          <w:sz w:val="24"/>
          <w:szCs w:val="24"/>
        </w:rPr>
        <w:t/>
      </w:r>
      <w:proofErr w:type="gramEnd"/>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proofErr w:type="gramStart"/>
      <w:r w:rsidR="00676095" w:rsidRPr="00414345">
        <w:rPr>
          <w:b/>
          <w:bCs/>
          <w:color w:val="000000"/>
          <w:kern w:val="0"/>
          <w:sz w:val="24"/>
          <w:szCs w:val="24"/>
        </w:rPr>
        <w:t/>
      </w:r>
      <w:proofErr w:type="gramEnd"/>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
      </w:r>
      <w:proofErr w:type="spellStart"/>
      <w:proofErr w:type="gramStart"/>
      <w:r w:rsidRPr="00414345">
        <w:rPr>
          <w:color w:val="000000"/>
          <w:sz w:val="24"/>
          <w:szCs w:val="24"/>
        </w:rPr>
        <w:t/>
      </w:r>
      <w:proofErr w:type="spellEnd"/>
      <w:proofErr w:type="gramEnd"/>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826" w:rsidRDefault="00EA1826" w:rsidP="00876D65">
      <w:r>
        <w:separator/>
      </w:r>
    </w:p>
  </w:endnote>
  <w:endnote w:type="continuationSeparator" w:id="0">
    <w:p w:rsidR="00EA1826" w:rsidRDefault="00EA1826"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487A40">
      <w:rPr>
        <w:noProof/>
        <w:kern w:val="0"/>
        <w:szCs w:val="21"/>
      </w:rPr>
      <w:t>22</w:t>
    </w:r>
    <w:r w:rsidR="00381EE8">
      <w:rPr>
        <w:kern w:val="0"/>
        <w:szCs w:val="21"/>
      </w:rPr>
      <w:fldChar w:fldCharType="end"/>
    </w:r>
    <w:proofErr w:type="gramStart"/>
    <w:r>
      <w:rPr>
        <w:rFonts w:hint="eastAsia"/>
        <w:kern w:val="0"/>
        <w:szCs w:val="21"/>
      </w:rPr>
      <w:t>页共</w:t>
    </w:r>
    <w:proofErr w:type="gramEnd"/>
    <w:r w:rsidR="00381EE8">
      <w:rPr>
        <w:kern w:val="0"/>
        <w:szCs w:val="21"/>
      </w:rPr>
      <w:fldChar w:fldCharType="begin"/>
    </w:r>
    <w:r>
      <w:rPr>
        <w:kern w:val="0"/>
        <w:szCs w:val="21"/>
      </w:rPr>
      <w:instrText xml:space="preserve"> NUMPAGES </w:instrText>
    </w:r>
    <w:r w:rsidR="00381EE8">
      <w:rPr>
        <w:kern w:val="0"/>
        <w:szCs w:val="21"/>
      </w:rPr>
      <w:fldChar w:fldCharType="separate"/>
    </w:r>
    <w:r w:rsidR="00487A40">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EA1826" w:rsidRDefault="00EA1826">
      <w:r>
        <w:separator/>
      </w:r>
    </w:p>
  </w:footnote>
  <w:footnote w:id="0" w:type="continuationSeparator">
    <w:p w:rsidP="00876D65" w:rsidR="00EA1826" w:rsidRDefault="00EA1826">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
    </w:r>
    <w:proofErr w:type="spellStart"/>
    <w:proofErr w:type="gramStart"/>
    <w:r w:rsidRPr="003E676C">
      <w:rPr>
        <w:sz w:val="24"/>
        <w:szCs w:val="24"/>
      </w:rPr>
      <w:t/>
    </w:r>
    <w:proofErr w:type="spellEnd"/>
    <w:proofErr w:type="gramEnd"/>
    <w:r w:rsidRPr="003E676C">
      <w:rPr>
        <w:sz w:val="24"/>
        <w:szCs w:val="24"/>
      </w:rPr>
      <w:t>交银施罗德安心收益债券型证券投资基金</w:t>
    </w:r>
    <w:proofErr w:type="spellStart"/>
    <w:r w:rsidRPr="003E676C">
      <w:rPr>
        <w:sz w:val="24"/>
        <w:szCs w:val="24"/>
      </w:rPr>
      <w:t/>
    </w:r>
    <w:proofErr w:type="spellEnd"/>
    <w:r w:rsidRPr="003E676C">
      <w:rPr>
        <w:sz w:val="24"/>
        <w:szCs w:val="24"/>
      </w:rPr>
      <w:t>2019年第2季度报告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proofState w:grammar="clean" w:spelling="clean"/>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9FA"/>
    <w:rsid w:val="005B2E9C"/>
    <w:rsid w:val="005B3CC0"/>
    <w:rsid w:val="005B4C8F"/>
    <w:rsid w:val="005B4F93"/>
    <w:rsid w:val="005B73D2"/>
    <w:rsid w:val="005D2B36"/>
    <w:rsid w:val="005E475E"/>
    <w:rsid w:val="005F118D"/>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E19A9"/>
    <w:rsid w:val="009E31DA"/>
    <w:rsid w:val="009E402C"/>
    <w:rsid w:val="009E7C6A"/>
    <w:rsid w:val="009F27F9"/>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1F69-B347-4E76-824E-9DFA9A79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24</Pages>
  <Words>3799</Words>
  <Characters>21656</Characters>
  <Application>Microsoft Office Word</Application>
  <DocSecurity>0</DocSecurity>
  <Lines>180</Lines>
  <Paragraphs>50</Paragraphs>
  <ScaleCrop>false</ScaleCrop>
  <Company/>
  <LinksUpToDate>false</LinksUpToDate>
  <CharactersWithSpaces>25405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2019-07-04T03:14:00Z</dcterms:modified>
  <cp:revision>590</cp:revision>
</cp:coreProperties>
</file>