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2019</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2019</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二〇一九年四月二十日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DB376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C46066" w:rsidRDefault="009F174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46066" w:rsidRDefault="009F174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46066" w:rsidRDefault="009F174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46066" w:rsidRDefault="009F174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46066" w:rsidRDefault="009F174F">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2019</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947,103,859.32</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54841" w:rsidRPr="008640AE" w:rsidTr="00754841">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(2019</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-2019</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754841" w:rsidRPr="008640AE" w:rsidTr="0075484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-18,689,784.77</w:t>
            </w:r>
          </w:p>
        </w:tc>
      </w:tr>
      <w:tr w:rsidR="00754841" w:rsidRPr="008640AE" w:rsidTr="0075484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208,860,267.81</w:t>
            </w:r>
          </w:p>
        </w:tc>
      </w:tr>
      <w:tr w:rsidR="00754841" w:rsidRPr="008640AE" w:rsidTr="0075484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0.2178</w:t>
            </w:r>
          </w:p>
        </w:tc>
      </w:tr>
      <w:tr w:rsidR="00754841" w:rsidRPr="008640AE" w:rsidTr="0075484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1,189,234,548.61</w:t>
            </w:r>
          </w:p>
        </w:tc>
      </w:tr>
      <w:tr w:rsidR="00754841" w:rsidRPr="008640AE" w:rsidTr="00754841">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1.256</w:t>
            </w:r>
          </w:p>
        </w:tc>
      </w:tr>
    </w:tbl>
    <w:p w:rsidR="00C46066" w:rsidRDefault="009F17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8D379A">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C46066">
        <w:trPr>
          <w:jc w:val="center"/>
        </w:trPr>
        <w:tc>
          <w:tcPr>
            <w:tcW w:w="1701" w:type="dxa"/>
            <w:vAlign w:val="center"/>
          </w:tcPr>
          <w:p w:rsidR="00C46066" w:rsidRDefault="009F174F">
            <w:pPr>
              <w:jc w:val="left"/>
            </w:pPr>
            <w:r>
              <w:rPr>
                <w:color w:val="000000"/>
                <w:sz w:val="24"/>
              </w:rPr>
              <w:t>过去三个月</w:t>
            </w:r>
          </w:p>
        </w:tc>
        <w:tc>
          <w:tcPr>
            <w:tcW w:w="1194" w:type="dxa"/>
            <w:vAlign w:val="center"/>
          </w:tcPr>
          <w:p w:rsidR="00C46066" w:rsidRDefault="009F174F">
            <w:pPr>
              <w:jc w:val="right"/>
            </w:pPr>
            <w:r>
              <w:rPr>
                <w:color w:val="000000"/>
                <w:sz w:val="24"/>
              </w:rPr>
              <w:t>20.89%</w:t>
            </w:r>
          </w:p>
        </w:tc>
        <w:tc>
          <w:tcPr>
            <w:tcW w:w="1194" w:type="dxa"/>
            <w:vAlign w:val="center"/>
          </w:tcPr>
          <w:p w:rsidR="00C46066" w:rsidRDefault="009F174F">
            <w:pPr>
              <w:jc w:val="right"/>
            </w:pPr>
            <w:r>
              <w:rPr>
                <w:color w:val="000000"/>
                <w:sz w:val="24"/>
              </w:rPr>
              <w:t>1.82%</w:t>
            </w:r>
          </w:p>
        </w:tc>
        <w:tc>
          <w:tcPr>
            <w:tcW w:w="1194" w:type="dxa"/>
            <w:vAlign w:val="center"/>
          </w:tcPr>
          <w:p w:rsidR="00C46066" w:rsidRDefault="009F174F">
            <w:pPr>
              <w:jc w:val="right"/>
            </w:pPr>
            <w:r>
              <w:rPr>
                <w:color w:val="000000"/>
                <w:sz w:val="24"/>
              </w:rPr>
              <w:t>23.60%</w:t>
            </w:r>
          </w:p>
        </w:tc>
        <w:tc>
          <w:tcPr>
            <w:tcW w:w="1343" w:type="dxa"/>
            <w:vAlign w:val="center"/>
          </w:tcPr>
          <w:p w:rsidR="00C46066" w:rsidRDefault="009F174F">
            <w:pPr>
              <w:jc w:val="right"/>
            </w:pPr>
            <w:r>
              <w:rPr>
                <w:color w:val="000000"/>
                <w:sz w:val="24"/>
              </w:rPr>
              <w:t>1.77%</w:t>
            </w:r>
          </w:p>
        </w:tc>
        <w:tc>
          <w:tcPr>
            <w:tcW w:w="1194" w:type="dxa"/>
            <w:vAlign w:val="center"/>
          </w:tcPr>
          <w:p w:rsidR="00C46066" w:rsidRDefault="009F174F">
            <w:pPr>
              <w:jc w:val="right"/>
            </w:pPr>
            <w:r>
              <w:rPr>
                <w:color w:val="000000"/>
                <w:sz w:val="24"/>
              </w:rPr>
              <w:t>-2.71%</w:t>
            </w:r>
          </w:p>
        </w:tc>
        <w:tc>
          <w:tcPr>
            <w:tcW w:w="1048" w:type="dxa"/>
            <w:vAlign w:val="center"/>
          </w:tcPr>
          <w:p w:rsidR="00C46066" w:rsidRDefault="009F174F">
            <w:pPr>
              <w:jc w:val="right"/>
            </w:pPr>
            <w:r>
              <w:rPr>
                <w:color w:val="000000"/>
                <w:sz w:val="24"/>
              </w:rPr>
              <w:t>0.05%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2019</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C46066">
        <w:trPr>
          <w:jc w:val="center"/>
        </w:trPr>
        <w:tc>
          <w:tcPr>
            <w:tcW w:w="846" w:type="dxa"/>
            <w:vAlign w:val="center"/>
          </w:tcPr>
          <w:p w:rsidR="00C46066" w:rsidRDefault="009F174F">
            <w:pPr>
              <w:jc w:val="center"/>
            </w:pPr>
            <w:r>
              <w:rPr>
                <w:color w:val="000000"/>
                <w:sz w:val="24"/>
              </w:rPr>
              <w:t>蔡铮</w:t>
            </w:r>
          </w:p>
        </w:tc>
        <w:tc>
          <w:tcPr>
            <w:tcW w:w="845" w:type="dxa"/>
            <w:vAlign w:val="center"/>
          </w:tcPr>
          <w:p w:rsidR="00C46066" w:rsidRDefault="009F174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C46066" w:rsidRDefault="009F174F">
            <w:pPr>
              <w:jc w:val="center"/>
            </w:pPr>
            <w:r>
              <w:rPr>
                <w:color w:val="000000"/>
                <w:sz w:val="24"/>
              </w:rPr>
              <w:t>2015-05-27</w:t>
            </w:r>
          </w:p>
        </w:tc>
        <w:tc>
          <w:tcPr>
            <w:tcW w:w="1548" w:type="dxa"/>
            <w:vAlign w:val="center"/>
          </w:tcPr>
          <w:p w:rsidR="00C46066" w:rsidRDefault="009F174F">
            <w:pPr>
              <w:jc w:val="center"/>
            </w:pPr>
            <w:r>
              <w:rPr>
                <w:color w:val="000000"/>
                <w:sz w:val="24"/>
              </w:rPr>
              <w:t>-</w:t>
            </w:r>
          </w:p>
        </w:tc>
        <w:tc>
          <w:tcPr>
            <w:tcW w:w="1407" w:type="dxa"/>
            <w:vAlign w:val="center"/>
          </w:tcPr>
          <w:p w:rsidR="00C46066" w:rsidRDefault="009F174F">
            <w:pPr>
              <w:jc w:val="center"/>
            </w:pPr>
            <w:r>
              <w:rPr>
                <w:color w:val="000000"/>
                <w:sz w:val="24"/>
              </w:rPr>
              <w:t>10</w:t>
            </w:r>
            <w:r>
              <w:rPr>
                <w:color w:val="000000"/>
                <w:sz w:val="24"/>
              </w:rPr>
              <w:t>年</w:t>
            </w:r>
          </w:p>
        </w:tc>
        <w:tc>
          <w:tcPr>
            <w:tcW w:w="2673" w:type="dxa"/>
            <w:vAlign w:val="center"/>
          </w:tcPr>
          <w:p w:rsidR="00C46066" w:rsidRDefault="009F174F">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C46066" w:rsidRDefault="009F174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6066" w:rsidRDefault="009F174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6066" w:rsidRDefault="009F174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C46066" w:rsidRDefault="009F174F">
      <w:pPr>
        <w:spacing w:before="29" w:line="288" w:lineRule="auto"/>
        <w:ind w:firstLineChars="200" w:firstLine="480"/>
        <w:rPr>
          <w:color w:val="000000"/>
          <w:sz w:val="24"/>
        </w:rPr>
      </w:pPr>
      <w:r>
        <w:rPr>
          <w:color w:val="000000"/>
          <w:sz w:val="24"/>
        </w:rPr>
        <w:t>2019</w:t>
      </w:r>
      <w:r>
        <w:rPr>
          <w:color w:val="000000"/>
          <w:sz w:val="24"/>
        </w:rPr>
        <w:t>年一季度国内宏观环境基本稳定，央行货币政策维持稳健，财政政策加力提效，减税降费力度加大，政府积极扶持中小企业和新经济发展，多方面政策持续发力缓解经济下行压力。本季度全球主要经济体相对平稳，中美贸易关系有所缓和，美联储放缓加息步伐，海外主要资本市场均表现出不同程度上涨走势。作为跟踪中证海外中国互联网指数的指数基金，本季度基金净值总体呈现震荡上行的走势。</w:t>
      </w:r>
    </w:p>
    <w:p w:rsidR="008D379A"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2019</w:t>
      </w:r>
      <w:r w:rsidRPr="008640AE">
        <w:rPr>
          <w:color w:val="000000"/>
          <w:sz w:val="24"/>
        </w:rPr>
        <w:t>年二季度，我们认为政策力度或将持续加码，供给侧结构性改革深入推进将进一步改善产业结构，新兴产业将成为推动经济发展的核心动力。同时，随着科创板稳步推进，支持科技创新的多项政策持续发力，我国正逐渐成为全球科技创新的聚集地。市场情绪上，随中美贸易关系缓和以及美联储加息节奏放缓，市场情绪有所修复。我们总体上对于下一季度中国海外互联网板块的表现保持谨慎乐观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 xml:space="preserve">“3.1 </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“3.2.1</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1,138,015,726.21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93.83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279,711,124.16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23.06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858,304,602.05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70.77</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68,001,665.88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5.61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6,861,042.08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0.57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1,212,878,434.17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C46066">
        <w:trPr>
          <w:jc w:val="center"/>
        </w:trPr>
        <w:tc>
          <w:tcPr>
            <w:tcW w:w="2484" w:type="dxa"/>
            <w:vAlign w:val="center"/>
          </w:tcPr>
          <w:p w:rsidR="00C46066" w:rsidRDefault="009F174F">
            <w:pPr>
              <w:jc w:val="left"/>
            </w:pPr>
            <w:r>
              <w:rPr>
                <w:color w:val="000000"/>
                <w:sz w:val="24"/>
              </w:rPr>
              <w:t>美国</w:t>
            </w:r>
          </w:p>
        </w:tc>
        <w:tc>
          <w:tcPr>
            <w:tcW w:w="3214" w:type="dxa"/>
            <w:vAlign w:val="center"/>
          </w:tcPr>
          <w:p w:rsidR="00C46066" w:rsidRDefault="009F174F">
            <w:pPr>
              <w:jc w:val="right"/>
            </w:pPr>
            <w:r>
              <w:rPr>
                <w:color w:val="000000"/>
                <w:sz w:val="24"/>
              </w:rPr>
              <w:t>886,963,435.48</w:t>
            </w:r>
          </w:p>
        </w:tc>
        <w:tc>
          <w:tcPr>
            <w:tcW w:w="3170" w:type="dxa"/>
            <w:vAlign w:val="center"/>
          </w:tcPr>
          <w:p w:rsidR="00C46066" w:rsidRDefault="009F174F">
            <w:pPr>
              <w:jc w:val="right"/>
            </w:pPr>
            <w:r>
              <w:rPr>
                <w:color w:val="000000"/>
                <w:sz w:val="24"/>
              </w:rPr>
              <w:t>74.58</w:t>
            </w:r>
          </w:p>
        </w:tc>
      </w:tr>
      <w:tr w:rsidR="00C46066">
        <w:trPr>
          <w:jc w:val="center"/>
        </w:trPr>
        <w:tc>
          <w:tcPr>
            <w:tcW w:w="2484" w:type="dxa"/>
            <w:vAlign w:val="center"/>
          </w:tcPr>
          <w:p w:rsidR="00C46066" w:rsidRDefault="009F174F">
            <w:pPr>
              <w:jc w:val="left"/>
            </w:pPr>
            <w:r>
              <w:rPr>
                <w:color w:val="000000"/>
                <w:sz w:val="24"/>
              </w:rPr>
              <w:t>香港</w:t>
            </w:r>
          </w:p>
        </w:tc>
        <w:tc>
          <w:tcPr>
            <w:tcW w:w="3214" w:type="dxa"/>
            <w:vAlign w:val="center"/>
          </w:tcPr>
          <w:p w:rsidR="00C46066" w:rsidRDefault="009F174F">
            <w:pPr>
              <w:jc w:val="right"/>
            </w:pPr>
            <w:r>
              <w:rPr>
                <w:color w:val="000000"/>
                <w:sz w:val="24"/>
              </w:rPr>
              <w:t>251,052,290.73</w:t>
            </w:r>
          </w:p>
        </w:tc>
        <w:tc>
          <w:tcPr>
            <w:tcW w:w="3170" w:type="dxa"/>
            <w:vAlign w:val="center"/>
          </w:tcPr>
          <w:p w:rsidR="00C46066" w:rsidRDefault="009F174F">
            <w:pPr>
              <w:jc w:val="right"/>
            </w:pPr>
            <w:r>
              <w:rPr>
                <w:color w:val="000000"/>
                <w:sz w:val="24"/>
              </w:rPr>
              <w:t>21.11</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1,138,015,726.21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95.69</w:t>
            </w:r>
          </w:p>
        </w:tc>
      </w:tr>
    </w:tbl>
    <w:p w:rsidR="00C46066" w:rsidRDefault="009F17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B36C80">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C46066">
        <w:tc>
          <w:tcPr>
            <w:tcW w:w="2787" w:type="dxa"/>
            <w:vAlign w:val="center"/>
          </w:tcPr>
          <w:p w:rsidR="00C46066" w:rsidRDefault="009F174F">
            <w:pPr>
              <w:jc w:val="left"/>
            </w:pPr>
            <w:r>
              <w:rPr>
                <w:color w:val="000000"/>
                <w:sz w:val="24"/>
              </w:rPr>
              <w:t>信息技术</w:t>
            </w:r>
          </w:p>
        </w:tc>
        <w:tc>
          <w:tcPr>
            <w:tcW w:w="2976" w:type="dxa"/>
            <w:vAlign w:val="center"/>
          </w:tcPr>
          <w:p w:rsidR="00C46066" w:rsidRDefault="009F174F">
            <w:pPr>
              <w:jc w:val="right"/>
            </w:pPr>
            <w:r>
              <w:rPr>
                <w:color w:val="000000"/>
                <w:sz w:val="24"/>
              </w:rPr>
              <w:t>648,305,932.62</w:t>
            </w:r>
          </w:p>
        </w:tc>
        <w:tc>
          <w:tcPr>
            <w:tcW w:w="3261" w:type="dxa"/>
            <w:vAlign w:val="center"/>
          </w:tcPr>
          <w:p w:rsidR="00C46066" w:rsidRDefault="009F174F">
            <w:pPr>
              <w:jc w:val="right"/>
            </w:pPr>
            <w:r>
              <w:rPr>
                <w:color w:val="000000"/>
                <w:sz w:val="24"/>
              </w:rPr>
              <w:t>54.51</w:t>
            </w:r>
          </w:p>
        </w:tc>
      </w:tr>
      <w:tr w:rsidR="00C46066">
        <w:tc>
          <w:tcPr>
            <w:tcW w:w="2787" w:type="dxa"/>
            <w:vAlign w:val="center"/>
          </w:tcPr>
          <w:p w:rsidR="00C46066" w:rsidRDefault="009F174F">
            <w:pPr>
              <w:jc w:val="left"/>
            </w:pPr>
            <w:r>
              <w:rPr>
                <w:color w:val="000000"/>
                <w:sz w:val="24"/>
              </w:rPr>
              <w:t>非必需消费品</w:t>
            </w:r>
          </w:p>
        </w:tc>
        <w:tc>
          <w:tcPr>
            <w:tcW w:w="2976" w:type="dxa"/>
            <w:vAlign w:val="center"/>
          </w:tcPr>
          <w:p w:rsidR="00C46066" w:rsidRDefault="009F174F">
            <w:pPr>
              <w:jc w:val="right"/>
            </w:pPr>
            <w:r>
              <w:rPr>
                <w:color w:val="000000"/>
                <w:sz w:val="24"/>
              </w:rPr>
              <w:t>438,924,603.61</w:t>
            </w:r>
          </w:p>
        </w:tc>
        <w:tc>
          <w:tcPr>
            <w:tcW w:w="3261" w:type="dxa"/>
            <w:vAlign w:val="center"/>
          </w:tcPr>
          <w:p w:rsidR="00C46066" w:rsidRDefault="009F174F">
            <w:pPr>
              <w:jc w:val="right"/>
            </w:pPr>
            <w:r>
              <w:rPr>
                <w:color w:val="000000"/>
                <w:sz w:val="24"/>
              </w:rPr>
              <w:t>36.91</w:t>
            </w:r>
          </w:p>
        </w:tc>
      </w:tr>
      <w:tr w:rsidR="00C46066">
        <w:tc>
          <w:tcPr>
            <w:tcW w:w="2787" w:type="dxa"/>
            <w:vAlign w:val="center"/>
          </w:tcPr>
          <w:p w:rsidR="00C46066" w:rsidRDefault="009F174F">
            <w:pPr>
              <w:jc w:val="left"/>
            </w:pPr>
            <w:r>
              <w:rPr>
                <w:color w:val="000000"/>
                <w:sz w:val="24"/>
              </w:rPr>
              <w:t>电信服务</w:t>
            </w:r>
          </w:p>
        </w:tc>
        <w:tc>
          <w:tcPr>
            <w:tcW w:w="2976" w:type="dxa"/>
            <w:vAlign w:val="center"/>
          </w:tcPr>
          <w:p w:rsidR="00C46066" w:rsidRDefault="009F174F">
            <w:pPr>
              <w:jc w:val="right"/>
            </w:pPr>
            <w:r>
              <w:rPr>
                <w:color w:val="000000"/>
                <w:sz w:val="24"/>
              </w:rPr>
              <w:t>21,272,448.96</w:t>
            </w:r>
          </w:p>
        </w:tc>
        <w:tc>
          <w:tcPr>
            <w:tcW w:w="3261" w:type="dxa"/>
            <w:vAlign w:val="center"/>
          </w:tcPr>
          <w:p w:rsidR="00C46066" w:rsidRDefault="009F174F">
            <w:pPr>
              <w:jc w:val="right"/>
            </w:pPr>
            <w:r>
              <w:rPr>
                <w:color w:val="000000"/>
                <w:sz w:val="24"/>
              </w:rPr>
              <w:t>1.79</w:t>
            </w:r>
          </w:p>
        </w:tc>
      </w:tr>
      <w:tr w:rsidR="00C46066">
        <w:tc>
          <w:tcPr>
            <w:tcW w:w="2787" w:type="dxa"/>
            <w:vAlign w:val="center"/>
          </w:tcPr>
          <w:p w:rsidR="00C46066" w:rsidRDefault="009F174F">
            <w:pPr>
              <w:jc w:val="left"/>
            </w:pPr>
            <w:r>
              <w:rPr>
                <w:color w:val="000000"/>
                <w:sz w:val="24"/>
              </w:rPr>
              <w:t>工业</w:t>
            </w:r>
          </w:p>
        </w:tc>
        <w:tc>
          <w:tcPr>
            <w:tcW w:w="2976" w:type="dxa"/>
            <w:vAlign w:val="center"/>
          </w:tcPr>
          <w:p w:rsidR="00C46066" w:rsidRDefault="009F174F">
            <w:pPr>
              <w:jc w:val="right"/>
            </w:pPr>
            <w:r>
              <w:rPr>
                <w:color w:val="000000"/>
                <w:sz w:val="24"/>
              </w:rPr>
              <w:t>18,314,591.18</w:t>
            </w:r>
          </w:p>
        </w:tc>
        <w:tc>
          <w:tcPr>
            <w:tcW w:w="3261" w:type="dxa"/>
            <w:vAlign w:val="center"/>
          </w:tcPr>
          <w:p w:rsidR="00C46066" w:rsidRDefault="009F174F">
            <w:pPr>
              <w:jc w:val="right"/>
            </w:pPr>
            <w:r>
              <w:rPr>
                <w:color w:val="000000"/>
                <w:sz w:val="24"/>
              </w:rPr>
              <w:t>1.54</w:t>
            </w:r>
          </w:p>
        </w:tc>
      </w:tr>
      <w:tr w:rsidR="00C46066">
        <w:tc>
          <w:tcPr>
            <w:tcW w:w="2787" w:type="dxa"/>
            <w:vAlign w:val="center"/>
          </w:tcPr>
          <w:p w:rsidR="00C46066" w:rsidRDefault="009F174F">
            <w:pPr>
              <w:jc w:val="left"/>
            </w:pPr>
            <w:r>
              <w:rPr>
                <w:color w:val="000000"/>
                <w:sz w:val="24"/>
              </w:rPr>
              <w:t>金融</w:t>
            </w:r>
          </w:p>
        </w:tc>
        <w:tc>
          <w:tcPr>
            <w:tcW w:w="2976" w:type="dxa"/>
            <w:vAlign w:val="center"/>
          </w:tcPr>
          <w:p w:rsidR="00C46066" w:rsidRDefault="009F174F">
            <w:pPr>
              <w:jc w:val="right"/>
            </w:pPr>
            <w:r>
              <w:rPr>
                <w:color w:val="000000"/>
                <w:sz w:val="24"/>
              </w:rPr>
              <w:t>11,198,149.84</w:t>
            </w:r>
          </w:p>
        </w:tc>
        <w:tc>
          <w:tcPr>
            <w:tcW w:w="3261" w:type="dxa"/>
            <w:vAlign w:val="center"/>
          </w:tcPr>
          <w:p w:rsidR="00C46066" w:rsidRDefault="009F174F">
            <w:pPr>
              <w:jc w:val="right"/>
            </w:pPr>
            <w:r>
              <w:rPr>
                <w:color w:val="000000"/>
                <w:sz w:val="24"/>
              </w:rPr>
              <w:t>0.94</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1,138,015,726.21</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95.69</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499"/>
        <w:gridCol w:w="1753"/>
        <w:gridCol w:w="907"/>
        <w:gridCol w:w="900"/>
        <w:gridCol w:w="588"/>
        <w:gridCol w:w="732"/>
        <w:gridCol w:w="1176"/>
        <w:gridCol w:w="1708"/>
        <w:gridCol w:w="964"/>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C46066">
        <w:tc>
          <w:tcPr>
            <w:tcW w:w="0" w:type="auto"/>
            <w:vAlign w:val="center"/>
          </w:tcPr>
          <w:p w:rsidR="00C46066" w:rsidRDefault="009F174F">
            <w:pPr>
              <w:jc w:val="center"/>
            </w:pPr>
            <w:r>
              <w:rPr>
                <w:color w:val="000000"/>
                <w:sz w:val="24"/>
              </w:rPr>
              <w:t>1</w:t>
            </w:r>
          </w:p>
        </w:tc>
        <w:tc>
          <w:tcPr>
            <w:tcW w:w="0" w:type="auto"/>
            <w:vAlign w:val="center"/>
          </w:tcPr>
          <w:p w:rsidR="00C46066" w:rsidRDefault="009F174F">
            <w:pPr>
              <w:jc w:val="center"/>
            </w:pPr>
            <w:r>
              <w:rPr>
                <w:color w:val="000000"/>
                <w:sz w:val="24"/>
              </w:rPr>
              <w:t>Tencent Holdings Ltd</w:t>
            </w:r>
          </w:p>
        </w:tc>
        <w:tc>
          <w:tcPr>
            <w:tcW w:w="0" w:type="auto"/>
            <w:vAlign w:val="center"/>
          </w:tcPr>
          <w:p w:rsidR="00C46066" w:rsidRDefault="009F174F">
            <w:pPr>
              <w:jc w:val="center"/>
            </w:pPr>
            <w:r>
              <w:rPr>
                <w:color w:val="000000"/>
                <w:sz w:val="24"/>
              </w:rPr>
              <w:t>腾讯控股</w:t>
            </w:r>
          </w:p>
        </w:tc>
        <w:tc>
          <w:tcPr>
            <w:tcW w:w="0" w:type="auto"/>
            <w:vAlign w:val="center"/>
          </w:tcPr>
          <w:p w:rsidR="00C46066" w:rsidRDefault="009F174F">
            <w:pPr>
              <w:jc w:val="center"/>
            </w:pPr>
            <w:r>
              <w:rPr>
                <w:color w:val="000000"/>
                <w:sz w:val="24"/>
              </w:rPr>
              <w:t>700 HK</w:t>
            </w:r>
          </w:p>
        </w:tc>
        <w:tc>
          <w:tcPr>
            <w:tcW w:w="0" w:type="auto"/>
            <w:vAlign w:val="center"/>
          </w:tcPr>
          <w:p w:rsidR="00C46066" w:rsidRDefault="009F174F">
            <w:pPr>
              <w:jc w:val="center"/>
            </w:pPr>
            <w:r>
              <w:rPr>
                <w:color w:val="000000"/>
                <w:sz w:val="24"/>
              </w:rPr>
              <w:t>香港证券交易所</w:t>
            </w:r>
          </w:p>
        </w:tc>
        <w:tc>
          <w:tcPr>
            <w:tcW w:w="0" w:type="auto"/>
            <w:vAlign w:val="center"/>
          </w:tcPr>
          <w:p w:rsidR="00C46066" w:rsidRDefault="009F174F">
            <w:pPr>
              <w:jc w:val="center"/>
            </w:pPr>
            <w:r>
              <w:rPr>
                <w:color w:val="000000"/>
                <w:sz w:val="24"/>
              </w:rPr>
              <w:t>香港</w:t>
            </w:r>
          </w:p>
        </w:tc>
        <w:tc>
          <w:tcPr>
            <w:tcW w:w="0" w:type="auto"/>
            <w:vAlign w:val="center"/>
          </w:tcPr>
          <w:p w:rsidR="00C46066" w:rsidRDefault="009F174F">
            <w:pPr>
              <w:jc w:val="right"/>
            </w:pPr>
            <w:r>
              <w:rPr>
                <w:color w:val="000000"/>
                <w:sz w:val="24"/>
              </w:rPr>
              <w:t>367,000</w:t>
            </w:r>
          </w:p>
        </w:tc>
        <w:tc>
          <w:tcPr>
            <w:tcW w:w="0" w:type="auto"/>
            <w:vAlign w:val="center"/>
          </w:tcPr>
          <w:p w:rsidR="00C46066" w:rsidRDefault="009F174F">
            <w:pPr>
              <w:jc w:val="right"/>
            </w:pPr>
            <w:r>
              <w:rPr>
                <w:color w:val="000000"/>
                <w:sz w:val="24"/>
              </w:rPr>
              <w:t>113,644,773.72</w:t>
            </w:r>
          </w:p>
        </w:tc>
        <w:tc>
          <w:tcPr>
            <w:tcW w:w="0" w:type="auto"/>
            <w:vAlign w:val="center"/>
          </w:tcPr>
          <w:p w:rsidR="00C46066" w:rsidRDefault="009F174F">
            <w:pPr>
              <w:jc w:val="right"/>
            </w:pPr>
            <w:r>
              <w:rPr>
                <w:color w:val="000000"/>
                <w:sz w:val="24"/>
              </w:rPr>
              <w:t>9.56</w:t>
            </w:r>
          </w:p>
        </w:tc>
      </w:tr>
      <w:tr w:rsidR="00C46066">
        <w:tc>
          <w:tcPr>
            <w:tcW w:w="0" w:type="auto"/>
            <w:vAlign w:val="center"/>
          </w:tcPr>
          <w:p w:rsidR="00C46066" w:rsidRDefault="009F174F">
            <w:pPr>
              <w:jc w:val="center"/>
            </w:pPr>
            <w:r>
              <w:rPr>
                <w:color w:val="000000"/>
                <w:sz w:val="24"/>
              </w:rPr>
              <w:t>2</w:t>
            </w:r>
          </w:p>
        </w:tc>
        <w:tc>
          <w:tcPr>
            <w:tcW w:w="0" w:type="auto"/>
            <w:vAlign w:val="center"/>
          </w:tcPr>
          <w:p w:rsidR="00C46066" w:rsidRDefault="009F174F">
            <w:pPr>
              <w:jc w:val="center"/>
            </w:pPr>
            <w:r>
              <w:rPr>
                <w:color w:val="000000"/>
                <w:sz w:val="24"/>
              </w:rPr>
              <w:t>Alibaba Group Holding Ltd</w:t>
            </w:r>
          </w:p>
        </w:tc>
        <w:tc>
          <w:tcPr>
            <w:tcW w:w="0" w:type="auto"/>
            <w:vAlign w:val="center"/>
          </w:tcPr>
          <w:p w:rsidR="00C46066" w:rsidRDefault="009F174F">
            <w:pPr>
              <w:jc w:val="center"/>
            </w:pPr>
            <w:r>
              <w:rPr>
                <w:color w:val="000000"/>
                <w:sz w:val="24"/>
              </w:rPr>
              <w:t>阿里巴巴集团控股有限公司</w:t>
            </w:r>
          </w:p>
        </w:tc>
        <w:tc>
          <w:tcPr>
            <w:tcW w:w="0" w:type="auto"/>
            <w:vAlign w:val="center"/>
          </w:tcPr>
          <w:p w:rsidR="00C46066" w:rsidRDefault="009F174F">
            <w:pPr>
              <w:jc w:val="center"/>
            </w:pPr>
            <w:r>
              <w:rPr>
                <w:color w:val="000000"/>
                <w:sz w:val="24"/>
              </w:rPr>
              <w:t>BABA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91,253</w:t>
            </w:r>
          </w:p>
        </w:tc>
        <w:tc>
          <w:tcPr>
            <w:tcW w:w="0" w:type="auto"/>
            <w:vAlign w:val="center"/>
          </w:tcPr>
          <w:p w:rsidR="00C46066" w:rsidRDefault="009F174F">
            <w:pPr>
              <w:jc w:val="right"/>
            </w:pPr>
            <w:r>
              <w:rPr>
                <w:color w:val="000000"/>
                <w:sz w:val="24"/>
              </w:rPr>
              <w:t>112,106,781.17</w:t>
            </w:r>
          </w:p>
        </w:tc>
        <w:tc>
          <w:tcPr>
            <w:tcW w:w="0" w:type="auto"/>
            <w:vAlign w:val="center"/>
          </w:tcPr>
          <w:p w:rsidR="00C46066" w:rsidRDefault="009F174F">
            <w:pPr>
              <w:jc w:val="right"/>
            </w:pPr>
            <w:r>
              <w:rPr>
                <w:color w:val="000000"/>
                <w:sz w:val="24"/>
              </w:rPr>
              <w:t>9.43</w:t>
            </w:r>
          </w:p>
        </w:tc>
      </w:tr>
      <w:tr w:rsidR="00C46066">
        <w:tc>
          <w:tcPr>
            <w:tcW w:w="0" w:type="auto"/>
            <w:vAlign w:val="center"/>
          </w:tcPr>
          <w:p w:rsidR="00C46066" w:rsidRDefault="009F174F">
            <w:pPr>
              <w:jc w:val="center"/>
            </w:pPr>
            <w:r>
              <w:rPr>
                <w:color w:val="000000"/>
                <w:sz w:val="24"/>
              </w:rPr>
              <w:t>3</w:t>
            </w:r>
          </w:p>
        </w:tc>
        <w:tc>
          <w:tcPr>
            <w:tcW w:w="0" w:type="auto"/>
            <w:vAlign w:val="center"/>
          </w:tcPr>
          <w:p w:rsidR="00C46066" w:rsidRDefault="009F174F">
            <w:pPr>
              <w:jc w:val="center"/>
            </w:pPr>
            <w:r>
              <w:rPr>
                <w:color w:val="000000"/>
                <w:sz w:val="24"/>
              </w:rPr>
              <w:t>Meituan Dianping</w:t>
            </w:r>
          </w:p>
        </w:tc>
        <w:tc>
          <w:tcPr>
            <w:tcW w:w="0" w:type="auto"/>
            <w:vAlign w:val="center"/>
          </w:tcPr>
          <w:p w:rsidR="00C46066" w:rsidRDefault="009F174F">
            <w:pPr>
              <w:jc w:val="center"/>
            </w:pPr>
            <w:r>
              <w:rPr>
                <w:color w:val="000000"/>
                <w:sz w:val="24"/>
              </w:rPr>
              <w:t>美团点评</w:t>
            </w:r>
          </w:p>
        </w:tc>
        <w:tc>
          <w:tcPr>
            <w:tcW w:w="0" w:type="auto"/>
            <w:vAlign w:val="center"/>
          </w:tcPr>
          <w:p w:rsidR="00C46066" w:rsidRDefault="009F174F">
            <w:pPr>
              <w:jc w:val="center"/>
            </w:pPr>
            <w:r>
              <w:rPr>
                <w:color w:val="000000"/>
                <w:sz w:val="24"/>
              </w:rPr>
              <w:t>3690 HK</w:t>
            </w:r>
          </w:p>
        </w:tc>
        <w:tc>
          <w:tcPr>
            <w:tcW w:w="0" w:type="auto"/>
            <w:vAlign w:val="center"/>
          </w:tcPr>
          <w:p w:rsidR="00C46066" w:rsidRDefault="009F174F">
            <w:pPr>
              <w:jc w:val="center"/>
            </w:pPr>
            <w:r>
              <w:rPr>
                <w:color w:val="000000"/>
                <w:sz w:val="24"/>
              </w:rPr>
              <w:t>香港证券交易所</w:t>
            </w:r>
          </w:p>
        </w:tc>
        <w:tc>
          <w:tcPr>
            <w:tcW w:w="0" w:type="auto"/>
            <w:vAlign w:val="center"/>
          </w:tcPr>
          <w:p w:rsidR="00C46066" w:rsidRDefault="009F174F">
            <w:pPr>
              <w:jc w:val="center"/>
            </w:pPr>
            <w:r>
              <w:rPr>
                <w:color w:val="000000"/>
                <w:sz w:val="24"/>
              </w:rPr>
              <w:t>香港</w:t>
            </w:r>
          </w:p>
        </w:tc>
        <w:tc>
          <w:tcPr>
            <w:tcW w:w="0" w:type="auto"/>
            <w:vAlign w:val="center"/>
          </w:tcPr>
          <w:p w:rsidR="00C46066" w:rsidRDefault="009F174F">
            <w:pPr>
              <w:jc w:val="right"/>
            </w:pPr>
            <w:r>
              <w:rPr>
                <w:color w:val="000000"/>
                <w:sz w:val="24"/>
              </w:rPr>
              <w:t>1,718,100</w:t>
            </w:r>
          </w:p>
        </w:tc>
        <w:tc>
          <w:tcPr>
            <w:tcW w:w="0" w:type="auto"/>
            <w:vAlign w:val="center"/>
          </w:tcPr>
          <w:p w:rsidR="00C46066" w:rsidRDefault="009F174F">
            <w:pPr>
              <w:jc w:val="right"/>
            </w:pPr>
            <w:r>
              <w:rPr>
                <w:color w:val="000000"/>
                <w:sz w:val="24"/>
              </w:rPr>
              <w:t>77,961,522.52</w:t>
            </w:r>
          </w:p>
        </w:tc>
        <w:tc>
          <w:tcPr>
            <w:tcW w:w="0" w:type="auto"/>
            <w:vAlign w:val="center"/>
          </w:tcPr>
          <w:p w:rsidR="00C46066" w:rsidRDefault="009F174F">
            <w:pPr>
              <w:jc w:val="right"/>
            </w:pPr>
            <w:r>
              <w:rPr>
                <w:color w:val="000000"/>
                <w:sz w:val="24"/>
              </w:rPr>
              <w:t>6.56</w:t>
            </w:r>
          </w:p>
        </w:tc>
      </w:tr>
      <w:tr w:rsidR="00C46066">
        <w:tc>
          <w:tcPr>
            <w:tcW w:w="0" w:type="auto"/>
            <w:vAlign w:val="center"/>
          </w:tcPr>
          <w:p w:rsidR="00C46066" w:rsidRDefault="009F174F">
            <w:pPr>
              <w:jc w:val="center"/>
            </w:pPr>
            <w:r>
              <w:rPr>
                <w:color w:val="000000"/>
                <w:sz w:val="24"/>
              </w:rPr>
              <w:t>4</w:t>
            </w:r>
          </w:p>
        </w:tc>
        <w:tc>
          <w:tcPr>
            <w:tcW w:w="0" w:type="auto"/>
            <w:vAlign w:val="center"/>
          </w:tcPr>
          <w:p w:rsidR="00C46066" w:rsidRDefault="009F174F">
            <w:pPr>
              <w:jc w:val="center"/>
            </w:pPr>
            <w:r>
              <w:rPr>
                <w:color w:val="000000"/>
                <w:sz w:val="24"/>
              </w:rPr>
              <w:t>Baidu Inc</w:t>
            </w:r>
          </w:p>
        </w:tc>
        <w:tc>
          <w:tcPr>
            <w:tcW w:w="0" w:type="auto"/>
            <w:vAlign w:val="center"/>
          </w:tcPr>
          <w:p w:rsidR="00C46066" w:rsidRDefault="009F174F">
            <w:pPr>
              <w:jc w:val="center"/>
            </w:pPr>
            <w:r>
              <w:rPr>
                <w:color w:val="000000"/>
                <w:sz w:val="24"/>
              </w:rPr>
              <w:t>百度</w:t>
            </w:r>
          </w:p>
        </w:tc>
        <w:tc>
          <w:tcPr>
            <w:tcW w:w="0" w:type="auto"/>
            <w:vAlign w:val="center"/>
          </w:tcPr>
          <w:p w:rsidR="00C46066" w:rsidRDefault="009F174F">
            <w:pPr>
              <w:jc w:val="center"/>
            </w:pPr>
            <w:r>
              <w:rPr>
                <w:color w:val="000000"/>
                <w:sz w:val="24"/>
              </w:rPr>
              <w:t>BIDU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68,344</w:t>
            </w:r>
          </w:p>
        </w:tc>
        <w:tc>
          <w:tcPr>
            <w:tcW w:w="0" w:type="auto"/>
            <w:vAlign w:val="center"/>
          </w:tcPr>
          <w:p w:rsidR="00C46066" w:rsidRDefault="009F174F">
            <w:pPr>
              <w:jc w:val="right"/>
            </w:pPr>
            <w:r>
              <w:rPr>
                <w:color w:val="000000"/>
                <w:sz w:val="24"/>
              </w:rPr>
              <w:t>75,863,034.31</w:t>
            </w:r>
          </w:p>
        </w:tc>
        <w:tc>
          <w:tcPr>
            <w:tcW w:w="0" w:type="auto"/>
            <w:vAlign w:val="center"/>
          </w:tcPr>
          <w:p w:rsidR="00C46066" w:rsidRDefault="009F174F">
            <w:pPr>
              <w:jc w:val="right"/>
            </w:pPr>
            <w:r>
              <w:rPr>
                <w:color w:val="000000"/>
                <w:sz w:val="24"/>
              </w:rPr>
              <w:t>6.38</w:t>
            </w:r>
          </w:p>
        </w:tc>
      </w:tr>
      <w:tr w:rsidR="00C46066">
        <w:tc>
          <w:tcPr>
            <w:tcW w:w="0" w:type="auto"/>
            <w:vAlign w:val="center"/>
          </w:tcPr>
          <w:p w:rsidR="00C46066" w:rsidRDefault="009F174F">
            <w:pPr>
              <w:jc w:val="center"/>
            </w:pPr>
            <w:r>
              <w:rPr>
                <w:color w:val="000000"/>
                <w:sz w:val="24"/>
              </w:rPr>
              <w:t>5</w:t>
            </w:r>
          </w:p>
        </w:tc>
        <w:tc>
          <w:tcPr>
            <w:tcW w:w="0" w:type="auto"/>
            <w:vAlign w:val="center"/>
          </w:tcPr>
          <w:p w:rsidR="00C46066" w:rsidRDefault="009F174F">
            <w:pPr>
              <w:jc w:val="center"/>
            </w:pPr>
            <w:r>
              <w:rPr>
                <w:color w:val="000000"/>
                <w:sz w:val="24"/>
              </w:rPr>
              <w:t>Ctrip.com International Ltd</w:t>
            </w:r>
          </w:p>
        </w:tc>
        <w:tc>
          <w:tcPr>
            <w:tcW w:w="0" w:type="auto"/>
            <w:vAlign w:val="center"/>
          </w:tcPr>
          <w:p w:rsidR="00C46066" w:rsidRDefault="009F174F">
            <w:pPr>
              <w:jc w:val="center"/>
            </w:pPr>
            <w:r>
              <w:rPr>
                <w:color w:val="000000"/>
                <w:sz w:val="24"/>
              </w:rPr>
              <w:t>携程旅行网国际有限公司</w:t>
            </w:r>
          </w:p>
        </w:tc>
        <w:tc>
          <w:tcPr>
            <w:tcW w:w="0" w:type="auto"/>
            <w:vAlign w:val="center"/>
          </w:tcPr>
          <w:p w:rsidR="00C46066" w:rsidRDefault="009F174F">
            <w:pPr>
              <w:jc w:val="center"/>
            </w:pPr>
            <w:r>
              <w:rPr>
                <w:color w:val="000000"/>
                <w:sz w:val="24"/>
              </w:rPr>
              <w:t>CTRP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208,250</w:t>
            </w:r>
          </w:p>
        </w:tc>
        <w:tc>
          <w:tcPr>
            <w:tcW w:w="0" w:type="auto"/>
            <w:vAlign w:val="center"/>
          </w:tcPr>
          <w:p w:rsidR="00C46066" w:rsidRDefault="009F174F">
            <w:pPr>
              <w:jc w:val="right"/>
            </w:pPr>
            <w:r>
              <w:rPr>
                <w:color w:val="000000"/>
                <w:sz w:val="24"/>
              </w:rPr>
              <w:t>61,264,362.57</w:t>
            </w:r>
          </w:p>
        </w:tc>
        <w:tc>
          <w:tcPr>
            <w:tcW w:w="0" w:type="auto"/>
            <w:vAlign w:val="center"/>
          </w:tcPr>
          <w:p w:rsidR="00C46066" w:rsidRDefault="009F174F">
            <w:pPr>
              <w:jc w:val="right"/>
            </w:pPr>
            <w:r>
              <w:rPr>
                <w:color w:val="000000"/>
                <w:sz w:val="24"/>
              </w:rPr>
              <w:t>5.15</w:t>
            </w:r>
          </w:p>
        </w:tc>
      </w:tr>
      <w:tr w:rsidR="00C46066">
        <w:tc>
          <w:tcPr>
            <w:tcW w:w="0" w:type="auto"/>
            <w:vAlign w:val="center"/>
          </w:tcPr>
          <w:p w:rsidR="00C46066" w:rsidRDefault="009F174F">
            <w:pPr>
              <w:jc w:val="center"/>
            </w:pPr>
            <w:r>
              <w:rPr>
                <w:color w:val="000000"/>
                <w:sz w:val="24"/>
              </w:rPr>
              <w:t>6</w:t>
            </w:r>
          </w:p>
        </w:tc>
        <w:tc>
          <w:tcPr>
            <w:tcW w:w="0" w:type="auto"/>
            <w:vAlign w:val="center"/>
          </w:tcPr>
          <w:p w:rsidR="00C46066" w:rsidRDefault="009F174F">
            <w:pPr>
              <w:jc w:val="center"/>
            </w:pPr>
            <w:r>
              <w:rPr>
                <w:color w:val="000000"/>
                <w:sz w:val="24"/>
              </w:rPr>
              <w:t>NetEase Inc</w:t>
            </w:r>
          </w:p>
        </w:tc>
        <w:tc>
          <w:tcPr>
            <w:tcW w:w="0" w:type="auto"/>
            <w:vAlign w:val="center"/>
          </w:tcPr>
          <w:p w:rsidR="00C46066" w:rsidRDefault="009F174F">
            <w:pPr>
              <w:jc w:val="center"/>
            </w:pPr>
            <w:r>
              <w:rPr>
                <w:color w:val="000000"/>
                <w:sz w:val="24"/>
              </w:rPr>
              <w:t>网易公司</w:t>
            </w:r>
          </w:p>
        </w:tc>
        <w:tc>
          <w:tcPr>
            <w:tcW w:w="0" w:type="auto"/>
            <w:vAlign w:val="center"/>
          </w:tcPr>
          <w:p w:rsidR="00C46066" w:rsidRDefault="009F174F">
            <w:pPr>
              <w:jc w:val="center"/>
            </w:pPr>
            <w:r>
              <w:rPr>
                <w:color w:val="000000"/>
                <w:sz w:val="24"/>
              </w:rPr>
              <w:t>NTES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34,852</w:t>
            </w:r>
          </w:p>
        </w:tc>
        <w:tc>
          <w:tcPr>
            <w:tcW w:w="0" w:type="auto"/>
            <w:vAlign w:val="center"/>
          </w:tcPr>
          <w:p w:rsidR="00C46066" w:rsidRDefault="009F174F">
            <w:pPr>
              <w:jc w:val="right"/>
            </w:pPr>
            <w:r>
              <w:rPr>
                <w:color w:val="000000"/>
                <w:sz w:val="24"/>
              </w:rPr>
              <w:t>56,662,506.20</w:t>
            </w:r>
          </w:p>
        </w:tc>
        <w:tc>
          <w:tcPr>
            <w:tcW w:w="0" w:type="auto"/>
            <w:vAlign w:val="center"/>
          </w:tcPr>
          <w:p w:rsidR="00C46066" w:rsidRDefault="009F174F">
            <w:pPr>
              <w:jc w:val="right"/>
            </w:pPr>
            <w:r>
              <w:rPr>
                <w:color w:val="000000"/>
                <w:sz w:val="24"/>
              </w:rPr>
              <w:t>4.76</w:t>
            </w:r>
          </w:p>
        </w:tc>
      </w:tr>
      <w:tr w:rsidR="00C46066">
        <w:tc>
          <w:tcPr>
            <w:tcW w:w="0" w:type="auto"/>
            <w:vAlign w:val="center"/>
          </w:tcPr>
          <w:p w:rsidR="00C46066" w:rsidRDefault="009F174F">
            <w:pPr>
              <w:jc w:val="center"/>
            </w:pPr>
            <w:r>
              <w:rPr>
                <w:color w:val="000000"/>
                <w:sz w:val="24"/>
              </w:rPr>
              <w:t>7</w:t>
            </w:r>
          </w:p>
        </w:tc>
        <w:tc>
          <w:tcPr>
            <w:tcW w:w="0" w:type="auto"/>
            <w:vAlign w:val="center"/>
          </w:tcPr>
          <w:p w:rsidR="00C46066" w:rsidRDefault="009F174F">
            <w:pPr>
              <w:jc w:val="center"/>
            </w:pPr>
            <w:r>
              <w:rPr>
                <w:color w:val="000000"/>
                <w:sz w:val="24"/>
              </w:rPr>
              <w:t>JD.com Inc</w:t>
            </w:r>
          </w:p>
        </w:tc>
        <w:tc>
          <w:tcPr>
            <w:tcW w:w="0" w:type="auto"/>
            <w:vAlign w:val="center"/>
          </w:tcPr>
          <w:p w:rsidR="00C46066" w:rsidRDefault="009F174F">
            <w:pPr>
              <w:jc w:val="center"/>
            </w:pPr>
            <w:r>
              <w:rPr>
                <w:color w:val="000000"/>
                <w:sz w:val="24"/>
              </w:rPr>
              <w:t>京东</w:t>
            </w:r>
          </w:p>
        </w:tc>
        <w:tc>
          <w:tcPr>
            <w:tcW w:w="0" w:type="auto"/>
            <w:vAlign w:val="center"/>
          </w:tcPr>
          <w:p w:rsidR="00C46066" w:rsidRDefault="009F174F">
            <w:pPr>
              <w:jc w:val="center"/>
            </w:pPr>
            <w:r>
              <w:rPr>
                <w:color w:val="000000"/>
                <w:sz w:val="24"/>
              </w:rPr>
              <w:t>JD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275,226</w:t>
            </w:r>
          </w:p>
        </w:tc>
        <w:tc>
          <w:tcPr>
            <w:tcW w:w="0" w:type="auto"/>
            <w:vAlign w:val="center"/>
          </w:tcPr>
          <w:p w:rsidR="00C46066" w:rsidRDefault="009F174F">
            <w:pPr>
              <w:jc w:val="right"/>
            </w:pPr>
            <w:r>
              <w:rPr>
                <w:color w:val="000000"/>
                <w:sz w:val="24"/>
              </w:rPr>
              <w:t>55,875,013.27</w:t>
            </w:r>
          </w:p>
        </w:tc>
        <w:tc>
          <w:tcPr>
            <w:tcW w:w="0" w:type="auto"/>
            <w:vAlign w:val="center"/>
          </w:tcPr>
          <w:p w:rsidR="00C46066" w:rsidRDefault="009F174F">
            <w:pPr>
              <w:jc w:val="right"/>
            </w:pPr>
            <w:r>
              <w:rPr>
                <w:color w:val="000000"/>
                <w:sz w:val="24"/>
              </w:rPr>
              <w:t>4.70</w:t>
            </w:r>
          </w:p>
        </w:tc>
      </w:tr>
      <w:tr w:rsidR="00C46066">
        <w:tc>
          <w:tcPr>
            <w:tcW w:w="0" w:type="auto"/>
            <w:vAlign w:val="center"/>
          </w:tcPr>
          <w:p w:rsidR="00C46066" w:rsidRDefault="009F174F">
            <w:pPr>
              <w:jc w:val="center"/>
            </w:pPr>
            <w:r>
              <w:rPr>
                <w:color w:val="000000"/>
                <w:sz w:val="24"/>
              </w:rPr>
              <w:t>8</w:t>
            </w:r>
          </w:p>
        </w:tc>
        <w:tc>
          <w:tcPr>
            <w:tcW w:w="0" w:type="auto"/>
            <w:vAlign w:val="center"/>
          </w:tcPr>
          <w:p w:rsidR="00C46066" w:rsidRDefault="009F174F">
            <w:pPr>
              <w:jc w:val="center"/>
            </w:pPr>
            <w:r>
              <w:rPr>
                <w:color w:val="000000"/>
                <w:sz w:val="24"/>
              </w:rPr>
              <w:t>Tencent Music Entertainment Group</w:t>
            </w:r>
          </w:p>
        </w:tc>
        <w:tc>
          <w:tcPr>
            <w:tcW w:w="0" w:type="auto"/>
            <w:vAlign w:val="center"/>
          </w:tcPr>
          <w:p w:rsidR="00C46066" w:rsidRDefault="009F174F">
            <w:pPr>
              <w:jc w:val="center"/>
            </w:pPr>
            <w:r>
              <w:rPr>
                <w:color w:val="000000"/>
                <w:sz w:val="24"/>
              </w:rPr>
              <w:t>腾讯音乐娱乐集团</w:t>
            </w:r>
          </w:p>
        </w:tc>
        <w:tc>
          <w:tcPr>
            <w:tcW w:w="0" w:type="auto"/>
            <w:vAlign w:val="center"/>
          </w:tcPr>
          <w:p w:rsidR="00C46066" w:rsidRDefault="009F174F">
            <w:pPr>
              <w:jc w:val="center"/>
            </w:pPr>
            <w:r>
              <w:rPr>
                <w:color w:val="000000"/>
                <w:sz w:val="24"/>
              </w:rPr>
              <w:t>TME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449,527</w:t>
            </w:r>
          </w:p>
        </w:tc>
        <w:tc>
          <w:tcPr>
            <w:tcW w:w="0" w:type="auto"/>
            <w:vAlign w:val="center"/>
          </w:tcPr>
          <w:p w:rsidR="00C46066" w:rsidRDefault="009F174F">
            <w:pPr>
              <w:jc w:val="right"/>
            </w:pPr>
            <w:r>
              <w:rPr>
                <w:color w:val="000000"/>
                <w:sz w:val="24"/>
              </w:rPr>
              <w:t>54,786,709.99</w:t>
            </w:r>
          </w:p>
        </w:tc>
        <w:tc>
          <w:tcPr>
            <w:tcW w:w="0" w:type="auto"/>
            <w:vAlign w:val="center"/>
          </w:tcPr>
          <w:p w:rsidR="00C46066" w:rsidRDefault="009F174F">
            <w:pPr>
              <w:jc w:val="right"/>
            </w:pPr>
            <w:r>
              <w:rPr>
                <w:color w:val="000000"/>
                <w:sz w:val="24"/>
              </w:rPr>
              <w:t>4.61</w:t>
            </w:r>
          </w:p>
        </w:tc>
      </w:tr>
      <w:tr w:rsidR="00C46066">
        <w:tc>
          <w:tcPr>
            <w:tcW w:w="0" w:type="auto"/>
            <w:vAlign w:val="center"/>
          </w:tcPr>
          <w:p w:rsidR="00C46066" w:rsidRDefault="009F174F">
            <w:pPr>
              <w:jc w:val="center"/>
            </w:pPr>
            <w:r>
              <w:rPr>
                <w:color w:val="000000"/>
                <w:sz w:val="24"/>
              </w:rPr>
              <w:t>9</w:t>
            </w:r>
          </w:p>
        </w:tc>
        <w:tc>
          <w:tcPr>
            <w:tcW w:w="0" w:type="auto"/>
            <w:vAlign w:val="center"/>
          </w:tcPr>
          <w:p w:rsidR="00C46066" w:rsidRDefault="009F174F">
            <w:pPr>
              <w:jc w:val="center"/>
            </w:pPr>
            <w:r>
              <w:rPr>
                <w:color w:val="000000"/>
                <w:sz w:val="24"/>
              </w:rPr>
              <w:t>TAL Education Group</w:t>
            </w:r>
          </w:p>
        </w:tc>
        <w:tc>
          <w:tcPr>
            <w:tcW w:w="0" w:type="auto"/>
            <w:vAlign w:val="center"/>
          </w:tcPr>
          <w:p w:rsidR="00C46066" w:rsidRDefault="009F174F">
            <w:pPr>
              <w:jc w:val="center"/>
            </w:pPr>
            <w:r>
              <w:rPr>
                <w:color w:val="000000"/>
                <w:sz w:val="24"/>
              </w:rPr>
              <w:t>好未来教育集团</w:t>
            </w:r>
          </w:p>
        </w:tc>
        <w:tc>
          <w:tcPr>
            <w:tcW w:w="0" w:type="auto"/>
            <w:vAlign w:val="center"/>
          </w:tcPr>
          <w:p w:rsidR="00C46066" w:rsidRDefault="009F174F">
            <w:pPr>
              <w:jc w:val="center"/>
            </w:pPr>
            <w:r>
              <w:rPr>
                <w:color w:val="000000"/>
                <w:sz w:val="24"/>
              </w:rPr>
              <w:t>TAL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202,933</w:t>
            </w:r>
          </w:p>
        </w:tc>
        <w:tc>
          <w:tcPr>
            <w:tcW w:w="0" w:type="auto"/>
            <w:vAlign w:val="center"/>
          </w:tcPr>
          <w:p w:rsidR="00C46066" w:rsidRDefault="009F174F">
            <w:pPr>
              <w:jc w:val="right"/>
            </w:pPr>
            <w:r>
              <w:rPr>
                <w:color w:val="000000"/>
                <w:sz w:val="24"/>
              </w:rPr>
              <w:t>49,301,492.75</w:t>
            </w:r>
          </w:p>
        </w:tc>
        <w:tc>
          <w:tcPr>
            <w:tcW w:w="0" w:type="auto"/>
            <w:vAlign w:val="center"/>
          </w:tcPr>
          <w:p w:rsidR="00C46066" w:rsidRDefault="009F174F">
            <w:pPr>
              <w:jc w:val="right"/>
            </w:pPr>
            <w:r>
              <w:rPr>
                <w:color w:val="000000"/>
                <w:sz w:val="24"/>
              </w:rPr>
              <w:t>4.15</w:t>
            </w:r>
          </w:p>
        </w:tc>
      </w:tr>
      <w:tr w:rsidR="00C46066">
        <w:tc>
          <w:tcPr>
            <w:tcW w:w="0" w:type="auto"/>
            <w:vAlign w:val="center"/>
          </w:tcPr>
          <w:p w:rsidR="00C46066" w:rsidRDefault="009F174F">
            <w:pPr>
              <w:jc w:val="center"/>
            </w:pPr>
            <w:r>
              <w:rPr>
                <w:color w:val="000000"/>
                <w:sz w:val="24"/>
              </w:rPr>
              <w:t>10</w:t>
            </w:r>
          </w:p>
        </w:tc>
        <w:tc>
          <w:tcPr>
            <w:tcW w:w="0" w:type="auto"/>
            <w:vAlign w:val="center"/>
          </w:tcPr>
          <w:p w:rsidR="00C46066" w:rsidRDefault="009F174F">
            <w:pPr>
              <w:jc w:val="center"/>
            </w:pPr>
            <w:r>
              <w:rPr>
                <w:color w:val="000000"/>
                <w:sz w:val="24"/>
              </w:rPr>
              <w:t>iQIYI, Inc.</w:t>
            </w:r>
          </w:p>
        </w:tc>
        <w:tc>
          <w:tcPr>
            <w:tcW w:w="0" w:type="auto"/>
            <w:vAlign w:val="center"/>
          </w:tcPr>
          <w:p w:rsidR="00C46066" w:rsidRDefault="009F174F">
            <w:pPr>
              <w:jc w:val="center"/>
            </w:pPr>
            <w:r>
              <w:rPr>
                <w:color w:val="000000"/>
                <w:sz w:val="24"/>
              </w:rPr>
              <w:t>爱奇艺有限公司</w:t>
            </w:r>
          </w:p>
        </w:tc>
        <w:tc>
          <w:tcPr>
            <w:tcW w:w="0" w:type="auto"/>
            <w:vAlign w:val="center"/>
          </w:tcPr>
          <w:p w:rsidR="00C46066" w:rsidRDefault="009F174F">
            <w:pPr>
              <w:jc w:val="center"/>
            </w:pPr>
            <w:r>
              <w:rPr>
                <w:color w:val="000000"/>
                <w:sz w:val="24"/>
              </w:rPr>
              <w:t>IQ US</w:t>
            </w:r>
          </w:p>
        </w:tc>
        <w:tc>
          <w:tcPr>
            <w:tcW w:w="0" w:type="auto"/>
            <w:vAlign w:val="center"/>
          </w:tcPr>
          <w:p w:rsidR="00C46066" w:rsidRDefault="009F174F">
            <w:pPr>
              <w:jc w:val="center"/>
            </w:pPr>
            <w:r>
              <w:rPr>
                <w:color w:val="000000"/>
                <w:sz w:val="24"/>
              </w:rPr>
              <w:t>美国证券交易所</w:t>
            </w:r>
          </w:p>
        </w:tc>
        <w:tc>
          <w:tcPr>
            <w:tcW w:w="0" w:type="auto"/>
            <w:vAlign w:val="center"/>
          </w:tcPr>
          <w:p w:rsidR="00C46066" w:rsidRDefault="009F174F">
            <w:pPr>
              <w:jc w:val="center"/>
            </w:pPr>
            <w:r>
              <w:rPr>
                <w:color w:val="000000"/>
                <w:sz w:val="24"/>
              </w:rPr>
              <w:t>美国</w:t>
            </w:r>
          </w:p>
        </w:tc>
        <w:tc>
          <w:tcPr>
            <w:tcW w:w="0" w:type="auto"/>
            <w:vAlign w:val="center"/>
          </w:tcPr>
          <w:p w:rsidR="00C46066" w:rsidRDefault="009F174F">
            <w:pPr>
              <w:jc w:val="right"/>
            </w:pPr>
            <w:r>
              <w:rPr>
                <w:color w:val="000000"/>
                <w:sz w:val="24"/>
              </w:rPr>
              <w:t>290,990</w:t>
            </w:r>
          </w:p>
        </w:tc>
        <w:tc>
          <w:tcPr>
            <w:tcW w:w="0" w:type="auto"/>
            <w:vAlign w:val="center"/>
          </w:tcPr>
          <w:p w:rsidR="00C46066" w:rsidRDefault="009F174F">
            <w:pPr>
              <w:jc w:val="right"/>
            </w:pPr>
            <w:r>
              <w:rPr>
                <w:color w:val="000000"/>
                <w:sz w:val="24"/>
              </w:rPr>
              <w:t>46,868,397.47</w:t>
            </w:r>
          </w:p>
        </w:tc>
        <w:tc>
          <w:tcPr>
            <w:tcW w:w="0" w:type="auto"/>
            <w:vAlign w:val="center"/>
          </w:tcPr>
          <w:p w:rsidR="00C46066" w:rsidRDefault="009F174F">
            <w:pPr>
              <w:jc w:val="right"/>
            </w:pPr>
            <w:r>
              <w:rPr>
                <w:color w:val="000000"/>
                <w:sz w:val="24"/>
              </w:rPr>
              <w:t>3.94</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27094A" w:rsidRPr="0027094A" w:rsidRDefault="004966FE" w:rsidP="0027094A">
      <w:pPr>
        <w:spacing w:before="29" w:line="288" w:lineRule="auto"/>
        <w:rPr>
          <w:rFonts w:hint="eastAsia"/>
          <w:color w:val="000000"/>
          <w:sz w:val="24"/>
        </w:rPr>
      </w:pPr>
      <w:r w:rsidRPr="008640AE">
        <w:rPr>
          <w:color w:val="000000"/>
          <w:sz w:val="24"/>
        </w:rPr>
        <w:t>5.10.1</w:t>
      </w:r>
      <w:r w:rsidR="0027094A" w:rsidRPr="0027094A">
        <w:rPr>
          <w:rFonts w:hint="eastAsia"/>
          <w:color w:val="000000"/>
          <w:sz w:val="24"/>
        </w:rPr>
        <w:t>报告期内本基金投资的前十名证券的发行主体除美团点评（证券代码：</w:t>
      </w:r>
      <w:r w:rsidR="0027094A" w:rsidRPr="0027094A">
        <w:rPr>
          <w:rFonts w:hint="eastAsia"/>
          <w:color w:val="000000"/>
          <w:sz w:val="24"/>
        </w:rPr>
        <w:t>3690</w:t>
      </w:r>
      <w:r w:rsidR="0027094A" w:rsidRPr="0027094A">
        <w:rPr>
          <w:rFonts w:hint="eastAsia"/>
          <w:color w:val="000000"/>
          <w:sz w:val="24"/>
        </w:rPr>
        <w:t>）、百度（证券代码：</w:t>
      </w:r>
      <w:r w:rsidR="0027094A" w:rsidRPr="0027094A">
        <w:rPr>
          <w:rFonts w:hint="eastAsia"/>
          <w:color w:val="000000"/>
          <w:sz w:val="24"/>
        </w:rPr>
        <w:t>BIDU</w:t>
      </w:r>
      <w:r w:rsidR="0027094A" w:rsidRPr="0027094A">
        <w:rPr>
          <w:rFonts w:hint="eastAsia"/>
          <w:color w:val="000000"/>
          <w:sz w:val="24"/>
        </w:rPr>
        <w:t>）外，未出现被监管部门立案调查，或在报告编制日前一年内受到公开谴责、处罚的情形。</w:t>
      </w:r>
      <w:bookmarkStart w:id="0" w:name="_GoBack"/>
      <w:bookmarkEnd w:id="0"/>
    </w:p>
    <w:p w:rsidR="0027094A" w:rsidRPr="0027094A" w:rsidRDefault="0027094A" w:rsidP="0027094A">
      <w:pPr>
        <w:spacing w:before="29" w:line="288" w:lineRule="auto"/>
        <w:rPr>
          <w:rFonts w:hint="eastAsia"/>
          <w:color w:val="000000"/>
          <w:sz w:val="24"/>
        </w:rPr>
      </w:pPr>
      <w:r w:rsidRPr="0027094A">
        <w:rPr>
          <w:rFonts w:hint="eastAsia"/>
          <w:color w:val="000000"/>
          <w:sz w:val="24"/>
        </w:rPr>
        <w:t>报告期内本基金投资的前十名证券之一美团点评（证券代码：</w:t>
      </w:r>
      <w:r w:rsidRPr="0027094A">
        <w:rPr>
          <w:rFonts w:hint="eastAsia"/>
          <w:color w:val="000000"/>
          <w:sz w:val="24"/>
        </w:rPr>
        <w:t>3690</w:t>
      </w:r>
      <w:r w:rsidRPr="0027094A">
        <w:rPr>
          <w:rFonts w:hint="eastAsia"/>
          <w:color w:val="000000"/>
          <w:sz w:val="24"/>
        </w:rPr>
        <w:t>）下属运营美团外卖的北京三快科技有限公司海口分公司涉嫌不正当竞争，</w:t>
      </w:r>
      <w:r w:rsidRPr="0027094A">
        <w:rPr>
          <w:rFonts w:hint="eastAsia"/>
          <w:color w:val="000000"/>
          <w:sz w:val="24"/>
        </w:rPr>
        <w:t>2019</w:t>
      </w:r>
      <w:r w:rsidRPr="0027094A">
        <w:rPr>
          <w:rFonts w:hint="eastAsia"/>
          <w:color w:val="000000"/>
          <w:sz w:val="24"/>
        </w:rPr>
        <w:t>年</w:t>
      </w:r>
      <w:r w:rsidRPr="0027094A">
        <w:rPr>
          <w:rFonts w:hint="eastAsia"/>
          <w:color w:val="000000"/>
          <w:sz w:val="24"/>
        </w:rPr>
        <w:t>1</w:t>
      </w:r>
      <w:r w:rsidRPr="0027094A">
        <w:rPr>
          <w:rFonts w:hint="eastAsia"/>
          <w:color w:val="000000"/>
          <w:sz w:val="24"/>
        </w:rPr>
        <w:t>月</w:t>
      </w:r>
      <w:r w:rsidRPr="0027094A">
        <w:rPr>
          <w:rFonts w:hint="eastAsia"/>
          <w:color w:val="000000"/>
          <w:sz w:val="24"/>
        </w:rPr>
        <w:t>11</w:t>
      </w:r>
      <w:r w:rsidRPr="0027094A">
        <w:rPr>
          <w:rFonts w:hint="eastAsia"/>
          <w:color w:val="000000"/>
          <w:sz w:val="24"/>
        </w:rPr>
        <w:t>日海口市工商行政管理局对北京三快科技有限公司海口分公司进行立案调查。</w:t>
      </w:r>
    </w:p>
    <w:p w:rsidR="0027094A" w:rsidRPr="0027094A" w:rsidRDefault="0027094A" w:rsidP="0027094A">
      <w:pPr>
        <w:spacing w:before="29" w:line="288" w:lineRule="auto"/>
        <w:rPr>
          <w:rFonts w:hint="eastAsia"/>
          <w:color w:val="000000"/>
          <w:sz w:val="24"/>
        </w:rPr>
      </w:pPr>
      <w:r w:rsidRPr="0027094A">
        <w:rPr>
          <w:rFonts w:hint="eastAsia"/>
          <w:color w:val="000000"/>
          <w:sz w:val="24"/>
        </w:rPr>
        <w:t>报告期内本基金投资的前十名证券之一百度（证券代码：</w:t>
      </w:r>
      <w:r w:rsidRPr="0027094A">
        <w:rPr>
          <w:rFonts w:hint="eastAsia"/>
          <w:color w:val="000000"/>
          <w:sz w:val="24"/>
        </w:rPr>
        <w:t>BIDU</w:t>
      </w:r>
      <w:r w:rsidRPr="0027094A">
        <w:rPr>
          <w:rFonts w:hint="eastAsia"/>
          <w:color w:val="000000"/>
          <w:sz w:val="24"/>
        </w:rPr>
        <w:t>）下属的北京百度网讯科技有限公司发布违法广告，北京市工商行政管理局海淀分局根据京工商海处字〔</w:t>
      </w:r>
      <w:r w:rsidRPr="0027094A">
        <w:rPr>
          <w:rFonts w:hint="eastAsia"/>
          <w:color w:val="000000"/>
          <w:sz w:val="24"/>
        </w:rPr>
        <w:t>2018</w:t>
      </w:r>
      <w:r w:rsidRPr="0027094A">
        <w:rPr>
          <w:rFonts w:hint="eastAsia"/>
          <w:color w:val="000000"/>
          <w:sz w:val="24"/>
        </w:rPr>
        <w:t>〕第</w:t>
      </w:r>
      <w:r w:rsidRPr="0027094A">
        <w:rPr>
          <w:rFonts w:hint="eastAsia"/>
          <w:color w:val="000000"/>
          <w:sz w:val="24"/>
        </w:rPr>
        <w:t>2286</w:t>
      </w:r>
      <w:r w:rsidRPr="0027094A">
        <w:rPr>
          <w:rFonts w:hint="eastAsia"/>
          <w:color w:val="000000"/>
          <w:sz w:val="24"/>
        </w:rPr>
        <w:t>号行政处罚决定书，</w:t>
      </w:r>
      <w:r w:rsidRPr="0027094A">
        <w:rPr>
          <w:rFonts w:hint="eastAsia"/>
          <w:color w:val="000000"/>
          <w:sz w:val="24"/>
        </w:rPr>
        <w:t>2018</w:t>
      </w:r>
      <w:r w:rsidRPr="0027094A">
        <w:rPr>
          <w:rFonts w:hint="eastAsia"/>
          <w:color w:val="000000"/>
          <w:sz w:val="24"/>
        </w:rPr>
        <w:t>年</w:t>
      </w:r>
      <w:r w:rsidRPr="0027094A">
        <w:rPr>
          <w:rFonts w:hint="eastAsia"/>
          <w:color w:val="000000"/>
          <w:sz w:val="24"/>
        </w:rPr>
        <w:t>11</w:t>
      </w:r>
      <w:r w:rsidRPr="0027094A">
        <w:rPr>
          <w:rFonts w:hint="eastAsia"/>
          <w:color w:val="000000"/>
          <w:sz w:val="24"/>
        </w:rPr>
        <w:t>月</w:t>
      </w:r>
      <w:r w:rsidRPr="0027094A">
        <w:rPr>
          <w:rFonts w:hint="eastAsia"/>
          <w:color w:val="000000"/>
          <w:sz w:val="24"/>
        </w:rPr>
        <w:t>20</w:t>
      </w:r>
      <w:r w:rsidRPr="0027094A">
        <w:rPr>
          <w:rFonts w:hint="eastAsia"/>
          <w:color w:val="000000"/>
          <w:sz w:val="24"/>
        </w:rPr>
        <w:t>日对北京百度网讯科技有限公司处以没收广告费用</w:t>
      </w:r>
      <w:r w:rsidRPr="0027094A">
        <w:rPr>
          <w:rFonts w:hint="eastAsia"/>
          <w:color w:val="000000"/>
          <w:sz w:val="24"/>
        </w:rPr>
        <w:t>26220.46</w:t>
      </w:r>
      <w:r w:rsidRPr="0027094A">
        <w:rPr>
          <w:rFonts w:hint="eastAsia"/>
          <w:color w:val="000000"/>
          <w:sz w:val="24"/>
        </w:rPr>
        <w:t>元，罚款</w:t>
      </w:r>
      <w:r w:rsidRPr="0027094A">
        <w:rPr>
          <w:rFonts w:hint="eastAsia"/>
          <w:color w:val="000000"/>
          <w:sz w:val="24"/>
        </w:rPr>
        <w:t>60</w:t>
      </w:r>
      <w:r w:rsidRPr="0027094A">
        <w:rPr>
          <w:rFonts w:hint="eastAsia"/>
          <w:color w:val="000000"/>
          <w:sz w:val="24"/>
        </w:rPr>
        <w:t>万元的处罚。</w:t>
      </w:r>
    </w:p>
    <w:p w:rsidR="00C46066" w:rsidRDefault="0027094A" w:rsidP="0027094A">
      <w:pPr>
        <w:spacing w:before="29" w:line="288" w:lineRule="auto"/>
        <w:rPr>
          <w:color w:val="000000"/>
          <w:sz w:val="24"/>
        </w:rPr>
      </w:pPr>
      <w:r w:rsidRPr="0027094A">
        <w:rPr>
          <w:rFonts w:hint="eastAsia"/>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78,366.09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6,593.25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6,623,942.88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152,139.86</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6,861,042.08</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754841" w:rsidRDefault="0076518F" w:rsidP="005546C0">
      <w:pPr>
        <w:autoSpaceDE w:val="0"/>
        <w:autoSpaceDN w:val="0"/>
        <w:adjustRightInd w:val="0"/>
        <w:spacing w:before="29" w:line="288" w:lineRule="auto"/>
        <w:jc w:val="left"/>
        <w:rPr>
          <w:b/>
          <w:color w:val="000000"/>
          <w:kern w:val="0"/>
          <w:sz w:val="24"/>
        </w:rPr>
      </w:pPr>
      <w:r w:rsidRPr="008640AE">
        <w:rPr>
          <w:color w:val="000000"/>
          <w:kern w:val="0"/>
          <w:sz w:val="24"/>
        </w:rPr>
        <w:t>5.10.6</w:t>
      </w:r>
      <w:r w:rsidR="001C46E1" w:rsidRPr="00754841">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978,821,816.53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165,110,476.05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196,828,433.26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947,103,859.32</w:t>
            </w:r>
          </w:p>
        </w:tc>
      </w:tr>
    </w:tbl>
    <w:p w:rsidR="00C46066" w:rsidRDefault="009F17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B36C80">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C46066" w:rsidRDefault="009F174F">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C46066" w:rsidRDefault="009F174F">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C46066" w:rsidRDefault="009F174F">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C46066" w:rsidRDefault="009F174F">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C46066" w:rsidRDefault="009F174F">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C46066" w:rsidRDefault="009F174F">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C46066" w:rsidRDefault="009F174F">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C46066" w:rsidRDefault="009F174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BF" w:rsidRDefault="00A94BBF">
      <w:r>
        <w:separator/>
      </w:r>
    </w:p>
  </w:endnote>
  <w:endnote w:type="continuationSeparator" w:id="0">
    <w:p w:rsidR="00A94BBF" w:rsidRDefault="00A9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27094A">
      <w:rPr>
        <w:noProof/>
        <w:kern w:val="0"/>
        <w:szCs w:val="21"/>
      </w:rPr>
      <w:t>11</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27094A">
      <w:rPr>
        <w:noProof/>
        <w:kern w:val="0"/>
        <w:szCs w:val="21"/>
      </w:rPr>
      <w:t>13</w:t>
    </w:r>
    <w:r w:rsidR="008060F5">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8060F5">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BF" w:rsidRDefault="00A94BBF">
      <w:r>
        <w:separator/>
      </w:r>
    </w:p>
  </w:footnote>
  <w:footnote w:type="continuationSeparator" w:id="0">
    <w:p w:rsidR="00A94BBF" w:rsidRDefault="00A9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094A"/>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07B4"/>
    <w:rsid w:val="00311094"/>
    <w:rsid w:val="0031598C"/>
    <w:rsid w:val="00316339"/>
    <w:rsid w:val="00316C5A"/>
    <w:rsid w:val="003204E9"/>
    <w:rsid w:val="00321E8C"/>
    <w:rsid w:val="00322A86"/>
    <w:rsid w:val="00323AE8"/>
    <w:rsid w:val="00324548"/>
    <w:rsid w:val="003251F4"/>
    <w:rsid w:val="0032538B"/>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6E78"/>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4841"/>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79A"/>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174F"/>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4BBF"/>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6C80"/>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066"/>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6BE0FF6D-7AD9-4106-BFBA-8B038864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174</TotalTime>
  <Pages>13</Pages>
  <Words>1135</Words>
  <Characters>6474</Characters>
  <Application>Microsoft Office Word</Application>
  <DocSecurity>0</DocSecurity>
  <Lines>53</Lines>
  <Paragraphs>15</Paragraphs>
  <ScaleCrop>false</ScaleCrop>
  <Company>TRT. Ltd. Co.</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307</cp:revision>
  <cp:lastPrinted>2007-07-19T00:46:00Z</cp:lastPrinted>
  <dcterms:created xsi:type="dcterms:W3CDTF">2013-08-01T05:26:00Z</dcterms:created>
  <dcterms:modified xsi:type="dcterms:W3CDTF">2019-04-18T03:29:00Z</dcterms:modified>
</cp:coreProperties>
</file>