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C2CE4" w:rsidRDefault="00E72CC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C2CE4" w:rsidRDefault="00E72CC7">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C2CE4" w:rsidRDefault="00E72CC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C2CE4" w:rsidRDefault="00E72CC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C2CE4" w:rsidRDefault="00E72CC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54,050,163.97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519738</w:t>
            </w:r>
          </w:p>
        </w:tc>
        <w:tc>
          <w:tcPr>
            <w:tcW w:w="3048" w:type="dxa"/>
            <w:vAlign w:val="center"/>
          </w:tcPr>
          <w:p w:rsidR="00C23B30" w:rsidRPr="000E4C40" w:rsidRDefault="00C23B30" w:rsidP="00A52A9E">
            <w:pPr>
              <w:spacing w:before="29" w:line="288" w:lineRule="auto"/>
              <w:jc w:val="left"/>
              <w:rPr>
                <w:sz w:val="24"/>
              </w:rPr>
            </w:pPr>
            <w:r w:rsidRPr="000E4C40">
              <w:rPr>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3,830,385.90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50,219,778.07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19,675.49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29,682.52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8,758.61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83,401.08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4,522,834.37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59,142,562.77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1.178</w:t>
            </w:r>
          </w:p>
        </w:tc>
      </w:tr>
    </w:tbl>
    <w:p w:rsidR="006C2CE4" w:rsidRDefault="00E72CC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C2CE4">
        <w:trPr>
          <w:jc w:val="center"/>
        </w:trPr>
        <w:tc>
          <w:tcPr>
            <w:tcW w:w="1266" w:type="dxa"/>
            <w:vAlign w:val="center"/>
          </w:tcPr>
          <w:p w:rsidR="006C2CE4" w:rsidRDefault="00E72CC7">
            <w:pPr>
              <w:jc w:val="left"/>
            </w:pPr>
            <w:r>
              <w:rPr>
                <w:color w:val="000000"/>
                <w:sz w:val="24"/>
              </w:rPr>
              <w:t>过去三个月</w:t>
            </w:r>
          </w:p>
        </w:tc>
        <w:tc>
          <w:tcPr>
            <w:tcW w:w="1267" w:type="dxa"/>
            <w:vAlign w:val="center"/>
          </w:tcPr>
          <w:p w:rsidR="006C2CE4" w:rsidRDefault="00E72CC7">
            <w:pPr>
              <w:jc w:val="center"/>
            </w:pPr>
            <w:r>
              <w:rPr>
                <w:color w:val="000000"/>
                <w:sz w:val="24"/>
              </w:rPr>
              <w:t>0.18%</w:t>
            </w:r>
          </w:p>
        </w:tc>
        <w:tc>
          <w:tcPr>
            <w:tcW w:w="1267" w:type="dxa"/>
            <w:vAlign w:val="center"/>
          </w:tcPr>
          <w:p w:rsidR="006C2CE4" w:rsidRDefault="00E72CC7">
            <w:pPr>
              <w:jc w:val="center"/>
            </w:pPr>
            <w:r>
              <w:rPr>
                <w:color w:val="000000"/>
                <w:sz w:val="24"/>
              </w:rPr>
              <w:t>0.05%</w:t>
            </w:r>
          </w:p>
        </w:tc>
        <w:tc>
          <w:tcPr>
            <w:tcW w:w="1267" w:type="dxa"/>
            <w:vAlign w:val="center"/>
          </w:tcPr>
          <w:p w:rsidR="006C2CE4" w:rsidRDefault="00E72CC7">
            <w:pPr>
              <w:jc w:val="center"/>
            </w:pPr>
            <w:r>
              <w:rPr>
                <w:color w:val="000000"/>
                <w:sz w:val="24"/>
              </w:rPr>
              <w:t>13.89%</w:t>
            </w:r>
          </w:p>
        </w:tc>
        <w:tc>
          <w:tcPr>
            <w:tcW w:w="1267" w:type="dxa"/>
            <w:vAlign w:val="center"/>
          </w:tcPr>
          <w:p w:rsidR="006C2CE4" w:rsidRDefault="00E72CC7">
            <w:pPr>
              <w:jc w:val="center"/>
            </w:pPr>
            <w:r>
              <w:rPr>
                <w:color w:val="000000"/>
                <w:sz w:val="24"/>
              </w:rPr>
              <w:t>0.77%</w:t>
            </w:r>
          </w:p>
        </w:tc>
        <w:tc>
          <w:tcPr>
            <w:tcW w:w="1267" w:type="dxa"/>
            <w:vAlign w:val="center"/>
          </w:tcPr>
          <w:p w:rsidR="006C2CE4" w:rsidRDefault="00E72CC7">
            <w:pPr>
              <w:jc w:val="center"/>
            </w:pPr>
            <w:r>
              <w:rPr>
                <w:color w:val="000000"/>
                <w:sz w:val="24"/>
              </w:rPr>
              <w:t>-13.71%</w:t>
            </w:r>
          </w:p>
        </w:tc>
        <w:tc>
          <w:tcPr>
            <w:tcW w:w="1267" w:type="dxa"/>
            <w:vAlign w:val="center"/>
          </w:tcPr>
          <w:p w:rsidR="006C2CE4" w:rsidRDefault="00E72CC7">
            <w:pPr>
              <w:jc w:val="center"/>
            </w:pPr>
            <w:r>
              <w:rPr>
                <w:color w:val="000000"/>
                <w:sz w:val="24"/>
              </w:rPr>
              <w:t>-0.72%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C2CE4">
        <w:trPr>
          <w:jc w:val="center"/>
        </w:trPr>
        <w:tc>
          <w:tcPr>
            <w:tcW w:w="1266" w:type="dxa"/>
            <w:vAlign w:val="center"/>
          </w:tcPr>
          <w:p w:rsidR="006C2CE4" w:rsidRDefault="00E72CC7">
            <w:pPr>
              <w:jc w:val="left"/>
            </w:pPr>
            <w:r>
              <w:rPr>
                <w:color w:val="000000"/>
                <w:sz w:val="24"/>
              </w:rPr>
              <w:t>过去三个月</w:t>
            </w:r>
          </w:p>
        </w:tc>
        <w:tc>
          <w:tcPr>
            <w:tcW w:w="1267" w:type="dxa"/>
            <w:vAlign w:val="center"/>
          </w:tcPr>
          <w:p w:rsidR="006C2CE4" w:rsidRDefault="00E72CC7">
            <w:pPr>
              <w:jc w:val="center"/>
            </w:pPr>
            <w:r>
              <w:rPr>
                <w:color w:val="000000"/>
                <w:sz w:val="24"/>
              </w:rPr>
              <w:t>0.09%</w:t>
            </w:r>
          </w:p>
        </w:tc>
        <w:tc>
          <w:tcPr>
            <w:tcW w:w="1267" w:type="dxa"/>
            <w:vAlign w:val="center"/>
          </w:tcPr>
          <w:p w:rsidR="006C2CE4" w:rsidRDefault="00E72CC7">
            <w:pPr>
              <w:jc w:val="center"/>
            </w:pPr>
            <w:r>
              <w:rPr>
                <w:color w:val="000000"/>
                <w:sz w:val="24"/>
              </w:rPr>
              <w:t>0.05%</w:t>
            </w:r>
          </w:p>
        </w:tc>
        <w:tc>
          <w:tcPr>
            <w:tcW w:w="1267" w:type="dxa"/>
            <w:vAlign w:val="center"/>
          </w:tcPr>
          <w:p w:rsidR="006C2CE4" w:rsidRDefault="00E72CC7">
            <w:pPr>
              <w:jc w:val="center"/>
            </w:pPr>
            <w:r>
              <w:rPr>
                <w:color w:val="000000"/>
                <w:sz w:val="24"/>
              </w:rPr>
              <w:t>13.89%</w:t>
            </w:r>
          </w:p>
        </w:tc>
        <w:tc>
          <w:tcPr>
            <w:tcW w:w="1267" w:type="dxa"/>
            <w:vAlign w:val="center"/>
          </w:tcPr>
          <w:p w:rsidR="006C2CE4" w:rsidRDefault="00E72CC7">
            <w:pPr>
              <w:jc w:val="center"/>
            </w:pPr>
            <w:r>
              <w:rPr>
                <w:color w:val="000000"/>
                <w:sz w:val="24"/>
              </w:rPr>
              <w:t>0.77%</w:t>
            </w:r>
          </w:p>
        </w:tc>
        <w:tc>
          <w:tcPr>
            <w:tcW w:w="1267" w:type="dxa"/>
            <w:vAlign w:val="center"/>
          </w:tcPr>
          <w:p w:rsidR="006C2CE4" w:rsidRDefault="00E72CC7">
            <w:pPr>
              <w:jc w:val="center"/>
            </w:pPr>
            <w:r>
              <w:rPr>
                <w:color w:val="000000"/>
                <w:sz w:val="24"/>
              </w:rPr>
              <w:t>-13.80%</w:t>
            </w:r>
          </w:p>
        </w:tc>
        <w:tc>
          <w:tcPr>
            <w:tcW w:w="1267" w:type="dxa"/>
            <w:vAlign w:val="center"/>
          </w:tcPr>
          <w:p w:rsidR="006C2CE4" w:rsidRDefault="00E72CC7">
            <w:pPr>
              <w:jc w:val="center"/>
            </w:pPr>
            <w:r>
              <w:rPr>
                <w:color w:val="000000"/>
                <w:sz w:val="24"/>
              </w:rPr>
              <w:t>-0.72%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C2CE4">
        <w:trPr>
          <w:jc w:val="center"/>
        </w:trPr>
        <w:tc>
          <w:tcPr>
            <w:tcW w:w="946" w:type="dxa"/>
            <w:vAlign w:val="center"/>
          </w:tcPr>
          <w:p w:rsidR="006C2CE4" w:rsidRDefault="00E72CC7">
            <w:pPr>
              <w:jc w:val="center"/>
            </w:pPr>
            <w:r>
              <w:rPr>
                <w:color w:val="000000"/>
                <w:sz w:val="24"/>
              </w:rPr>
              <w:t>李娜</w:t>
            </w:r>
          </w:p>
        </w:tc>
        <w:tc>
          <w:tcPr>
            <w:tcW w:w="924" w:type="dxa"/>
            <w:vAlign w:val="center"/>
          </w:tcPr>
          <w:p w:rsidR="006C2CE4" w:rsidRDefault="00E72CC7">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交银周期回报灵活配置混合、交银新回报灵活配置混合、交银多策略回报灵活配置混合、交银优选回报灵活配置混合、交银优择回报灵活配置混合、交银瑞鑫定期开放灵活配置混合、交银裕祥纯债债券的基金经理</w:t>
            </w:r>
          </w:p>
        </w:tc>
        <w:tc>
          <w:tcPr>
            <w:tcW w:w="1202" w:type="dxa"/>
            <w:vAlign w:val="center"/>
          </w:tcPr>
          <w:p w:rsidR="006C2CE4" w:rsidRDefault="00E72CC7">
            <w:pPr>
              <w:jc w:val="center"/>
            </w:pPr>
            <w:r>
              <w:rPr>
                <w:color w:val="000000"/>
                <w:sz w:val="24"/>
              </w:rPr>
              <w:t>2015-08-04</w:t>
            </w:r>
          </w:p>
        </w:tc>
        <w:tc>
          <w:tcPr>
            <w:tcW w:w="1300" w:type="dxa"/>
            <w:vAlign w:val="center"/>
          </w:tcPr>
          <w:p w:rsidR="006C2CE4" w:rsidRDefault="00E72CC7">
            <w:pPr>
              <w:jc w:val="center"/>
            </w:pPr>
            <w:r>
              <w:rPr>
                <w:color w:val="000000"/>
                <w:sz w:val="24"/>
              </w:rPr>
              <w:t>-</w:t>
            </w:r>
          </w:p>
        </w:tc>
        <w:tc>
          <w:tcPr>
            <w:tcW w:w="1245" w:type="dxa"/>
            <w:vAlign w:val="center"/>
          </w:tcPr>
          <w:p w:rsidR="006C2CE4" w:rsidRDefault="00E72CC7">
            <w:pPr>
              <w:jc w:val="center"/>
            </w:pPr>
            <w:r>
              <w:rPr>
                <w:color w:val="000000"/>
                <w:sz w:val="24"/>
              </w:rPr>
              <w:t>9</w:t>
            </w:r>
            <w:r>
              <w:rPr>
                <w:color w:val="000000"/>
                <w:sz w:val="24"/>
              </w:rPr>
              <w:t>年</w:t>
            </w:r>
          </w:p>
        </w:tc>
        <w:tc>
          <w:tcPr>
            <w:tcW w:w="3251" w:type="dxa"/>
            <w:vAlign w:val="center"/>
          </w:tcPr>
          <w:p w:rsidR="006C2CE4" w:rsidRDefault="00E72CC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6C2CE4" w:rsidRDefault="00E72CC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C2CE4" w:rsidRDefault="00E72CC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C2CE4" w:rsidRDefault="00E72CC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C2CE4" w:rsidRDefault="00E72CC7">
      <w:pPr>
        <w:spacing w:before="29" w:line="288" w:lineRule="auto"/>
        <w:ind w:firstLineChars="200" w:firstLine="480"/>
        <w:rPr>
          <w:color w:val="000000"/>
          <w:sz w:val="24"/>
        </w:rPr>
      </w:pPr>
      <w:r>
        <w:rPr>
          <w:color w:val="000000"/>
          <w:sz w:val="24"/>
        </w:rPr>
        <w:t>本报告期内，国内经济增速显现下行态势，通胀维持低位，市场在一季度经济压力较大和宽信用政策逐步见效的预期角力下持续演进。</w:t>
      </w:r>
      <w:r>
        <w:rPr>
          <w:color w:val="000000"/>
          <w:sz w:val="24"/>
        </w:rPr>
        <w:t>2019</w:t>
      </w:r>
      <w:r>
        <w:rPr>
          <w:color w:val="000000"/>
          <w:sz w:val="24"/>
        </w:rPr>
        <w:t>年初以来，美联储货币政策紧缩进程明显放缓，中美贸易争端缓和、流动性状况改善、外资持续流入以及科创板等政策推进等因素，带动了权益市场一轮估值修复，风险偏好明显回升，叠加社融数据企稳，猪价上涨推动通胀预期上调等因素，长久期利率债的进一步下行受到有力压制，但同时全球经济放缓迹象开始显现，国内货币政策宽松取向未改，年内基本面下滑压力仍在，使得长久期利率债收益率没有打开上行空间，整体维持震荡走势。报告期内，上证综指和创业板指分别上涨</w:t>
      </w:r>
      <w:r>
        <w:rPr>
          <w:color w:val="000000"/>
          <w:sz w:val="24"/>
        </w:rPr>
        <w:t>23.93%</w:t>
      </w:r>
      <w:r>
        <w:rPr>
          <w:color w:val="000000"/>
          <w:sz w:val="24"/>
        </w:rPr>
        <w:t>和</w:t>
      </w:r>
      <w:r>
        <w:rPr>
          <w:color w:val="000000"/>
          <w:sz w:val="24"/>
        </w:rPr>
        <w:t>35.43%</w:t>
      </w:r>
      <w:r>
        <w:rPr>
          <w:color w:val="000000"/>
          <w:sz w:val="24"/>
        </w:rPr>
        <w:t>，十年期国债收益率小幅下行</w:t>
      </w:r>
      <w:r>
        <w:rPr>
          <w:color w:val="000000"/>
          <w:sz w:val="24"/>
        </w:rPr>
        <w:t>15BP</w:t>
      </w:r>
      <w:r>
        <w:rPr>
          <w:color w:val="000000"/>
          <w:sz w:val="24"/>
        </w:rPr>
        <w:t>至</w:t>
      </w:r>
      <w:r>
        <w:rPr>
          <w:color w:val="000000"/>
          <w:sz w:val="24"/>
        </w:rPr>
        <w:t>3.07%</w:t>
      </w:r>
      <w:r>
        <w:rPr>
          <w:color w:val="000000"/>
          <w:sz w:val="24"/>
        </w:rPr>
        <w:t>，十年期国开债收益率小幅下行</w:t>
      </w:r>
      <w:r>
        <w:rPr>
          <w:color w:val="000000"/>
          <w:sz w:val="24"/>
        </w:rPr>
        <w:t>6BP</w:t>
      </w:r>
      <w:r>
        <w:rPr>
          <w:color w:val="000000"/>
          <w:sz w:val="24"/>
        </w:rPr>
        <w:t>至</w:t>
      </w:r>
      <w:r>
        <w:rPr>
          <w:color w:val="000000"/>
          <w:sz w:val="24"/>
        </w:rPr>
        <w:t>3.58%</w:t>
      </w:r>
      <w:r>
        <w:rPr>
          <w:color w:val="000000"/>
          <w:sz w:val="24"/>
        </w:rPr>
        <w:t>。</w:t>
      </w:r>
    </w:p>
    <w:p w:rsidR="006C2CE4" w:rsidRDefault="00E72CC7">
      <w:pPr>
        <w:spacing w:before="29" w:line="288" w:lineRule="auto"/>
        <w:ind w:firstLineChars="200" w:firstLine="480"/>
        <w:rPr>
          <w:color w:val="000000"/>
          <w:sz w:val="24"/>
        </w:rPr>
      </w:pPr>
      <w:r>
        <w:rPr>
          <w:color w:val="000000"/>
          <w:sz w:val="24"/>
        </w:rPr>
        <w:t>策略层面，本基金重点关注中短久期债券的配置价值，保持适度久期，同时保持组合流动性，争取从各方面为持有人赚取回报。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基本面边际变化的弹性可能不大，大概率有所企稳，短期通胀压力有待观察，资金面波动加大，预计有阶段性压力，货币政策具备数量型工具运用的必要性。年内基本面仍有下滑压力，二季度将成为重要观测时间窗口。海外方面继续关注欧美经济增长以及货币政策取向变化。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万元的情形，截至本报告期末，本基金基金资产净值已高于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64,168,150.00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95.92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64,168,150.00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95.92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1,542,368.94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1,190,094.81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66,900,613.75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5,520,150.00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8.67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5,520,150.00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8.67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0.10</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58,585,000.00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92.02</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64,168,150.00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100.79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C2CE4">
        <w:trPr>
          <w:jc w:val="center"/>
        </w:trPr>
        <w:tc>
          <w:tcPr>
            <w:tcW w:w="1075" w:type="dxa"/>
            <w:vAlign w:val="center"/>
          </w:tcPr>
          <w:p w:rsidR="006C2CE4" w:rsidRDefault="00E72CC7">
            <w:pPr>
              <w:jc w:val="center"/>
            </w:pPr>
            <w:r>
              <w:rPr>
                <w:color w:val="000000"/>
                <w:sz w:val="24"/>
              </w:rPr>
              <w:t>1</w:t>
            </w:r>
          </w:p>
        </w:tc>
        <w:tc>
          <w:tcPr>
            <w:tcW w:w="1533" w:type="dxa"/>
            <w:vAlign w:val="center"/>
          </w:tcPr>
          <w:p w:rsidR="006C2CE4" w:rsidRDefault="00E72CC7">
            <w:pPr>
              <w:jc w:val="center"/>
            </w:pPr>
            <w:r>
              <w:rPr>
                <w:color w:val="000000"/>
                <w:sz w:val="24"/>
              </w:rPr>
              <w:t>111917008</w:t>
            </w:r>
          </w:p>
        </w:tc>
        <w:tc>
          <w:tcPr>
            <w:tcW w:w="1533" w:type="dxa"/>
            <w:vAlign w:val="center"/>
          </w:tcPr>
          <w:p w:rsidR="006C2CE4" w:rsidRDefault="00E72CC7">
            <w:pPr>
              <w:jc w:val="center"/>
            </w:pPr>
            <w:r>
              <w:rPr>
                <w:color w:val="000000"/>
                <w:sz w:val="24"/>
              </w:rPr>
              <w:t>19</w:t>
            </w:r>
            <w:r>
              <w:rPr>
                <w:color w:val="000000"/>
                <w:sz w:val="24"/>
              </w:rPr>
              <w:t>光大银行</w:t>
            </w:r>
            <w:r>
              <w:rPr>
                <w:color w:val="000000"/>
                <w:sz w:val="24"/>
              </w:rPr>
              <w:t>CD008</w:t>
            </w:r>
          </w:p>
        </w:tc>
        <w:tc>
          <w:tcPr>
            <w:tcW w:w="1394" w:type="dxa"/>
            <w:vAlign w:val="center"/>
          </w:tcPr>
          <w:p w:rsidR="006C2CE4" w:rsidRDefault="00E72CC7">
            <w:pPr>
              <w:jc w:val="right"/>
            </w:pPr>
            <w:r>
              <w:rPr>
                <w:color w:val="000000"/>
                <w:sz w:val="24"/>
              </w:rPr>
              <w:t>100,000</w:t>
            </w:r>
          </w:p>
        </w:tc>
        <w:tc>
          <w:tcPr>
            <w:tcW w:w="1944" w:type="dxa"/>
            <w:vAlign w:val="center"/>
          </w:tcPr>
          <w:p w:rsidR="006C2CE4" w:rsidRDefault="00E72CC7">
            <w:pPr>
              <w:jc w:val="right"/>
            </w:pPr>
            <w:r>
              <w:rPr>
                <w:color w:val="000000"/>
                <w:sz w:val="24"/>
              </w:rPr>
              <w:t>9,787,000.00</w:t>
            </w:r>
          </w:p>
        </w:tc>
        <w:tc>
          <w:tcPr>
            <w:tcW w:w="1389" w:type="dxa"/>
            <w:vAlign w:val="center"/>
          </w:tcPr>
          <w:p w:rsidR="006C2CE4" w:rsidRDefault="00E72CC7">
            <w:pPr>
              <w:jc w:val="right"/>
            </w:pPr>
            <w:r>
              <w:rPr>
                <w:color w:val="000000"/>
                <w:sz w:val="24"/>
              </w:rPr>
              <w:t>15.37</w:t>
            </w:r>
          </w:p>
        </w:tc>
      </w:tr>
      <w:tr w:rsidR="006C2CE4">
        <w:trPr>
          <w:jc w:val="center"/>
        </w:trPr>
        <w:tc>
          <w:tcPr>
            <w:tcW w:w="1075" w:type="dxa"/>
            <w:vAlign w:val="center"/>
          </w:tcPr>
          <w:p w:rsidR="006C2CE4" w:rsidRDefault="00E72CC7">
            <w:pPr>
              <w:jc w:val="center"/>
            </w:pPr>
            <w:r>
              <w:rPr>
                <w:color w:val="000000"/>
                <w:sz w:val="24"/>
              </w:rPr>
              <w:t>2</w:t>
            </w:r>
          </w:p>
        </w:tc>
        <w:tc>
          <w:tcPr>
            <w:tcW w:w="1533" w:type="dxa"/>
            <w:vAlign w:val="center"/>
          </w:tcPr>
          <w:p w:rsidR="006C2CE4" w:rsidRDefault="00E72CC7">
            <w:pPr>
              <w:jc w:val="center"/>
            </w:pPr>
            <w:r>
              <w:rPr>
                <w:color w:val="000000"/>
                <w:sz w:val="24"/>
              </w:rPr>
              <w:t>111909022</w:t>
            </w:r>
          </w:p>
        </w:tc>
        <w:tc>
          <w:tcPr>
            <w:tcW w:w="1533" w:type="dxa"/>
            <w:vAlign w:val="center"/>
          </w:tcPr>
          <w:p w:rsidR="006C2CE4" w:rsidRDefault="00E72CC7">
            <w:pPr>
              <w:jc w:val="center"/>
            </w:pPr>
            <w:r>
              <w:rPr>
                <w:color w:val="000000"/>
                <w:sz w:val="24"/>
              </w:rPr>
              <w:t>19</w:t>
            </w:r>
            <w:r>
              <w:rPr>
                <w:color w:val="000000"/>
                <w:sz w:val="24"/>
              </w:rPr>
              <w:t>浦发银行</w:t>
            </w:r>
            <w:r>
              <w:rPr>
                <w:color w:val="000000"/>
                <w:sz w:val="24"/>
              </w:rPr>
              <w:t>CD022</w:t>
            </w:r>
          </w:p>
        </w:tc>
        <w:tc>
          <w:tcPr>
            <w:tcW w:w="1394" w:type="dxa"/>
            <w:vAlign w:val="center"/>
          </w:tcPr>
          <w:p w:rsidR="006C2CE4" w:rsidRDefault="00E72CC7">
            <w:pPr>
              <w:jc w:val="right"/>
            </w:pPr>
            <w:r>
              <w:rPr>
                <w:color w:val="000000"/>
                <w:sz w:val="24"/>
              </w:rPr>
              <w:t>100,000</w:t>
            </w:r>
          </w:p>
        </w:tc>
        <w:tc>
          <w:tcPr>
            <w:tcW w:w="1944" w:type="dxa"/>
            <w:vAlign w:val="center"/>
          </w:tcPr>
          <w:p w:rsidR="006C2CE4" w:rsidRDefault="00E72CC7">
            <w:pPr>
              <w:jc w:val="right"/>
            </w:pPr>
            <w:r>
              <w:rPr>
                <w:color w:val="000000"/>
                <w:sz w:val="24"/>
              </w:rPr>
              <w:t>9,786,000.00</w:t>
            </w:r>
          </w:p>
        </w:tc>
        <w:tc>
          <w:tcPr>
            <w:tcW w:w="1389" w:type="dxa"/>
            <w:vAlign w:val="center"/>
          </w:tcPr>
          <w:p w:rsidR="006C2CE4" w:rsidRDefault="00E72CC7">
            <w:pPr>
              <w:jc w:val="right"/>
            </w:pPr>
            <w:r>
              <w:rPr>
                <w:color w:val="000000"/>
                <w:sz w:val="24"/>
              </w:rPr>
              <w:t>15.37</w:t>
            </w:r>
          </w:p>
        </w:tc>
      </w:tr>
      <w:tr w:rsidR="006C2CE4">
        <w:trPr>
          <w:jc w:val="center"/>
        </w:trPr>
        <w:tc>
          <w:tcPr>
            <w:tcW w:w="1075" w:type="dxa"/>
            <w:vAlign w:val="center"/>
          </w:tcPr>
          <w:p w:rsidR="006C2CE4" w:rsidRDefault="00E72CC7">
            <w:pPr>
              <w:jc w:val="center"/>
            </w:pPr>
            <w:r>
              <w:rPr>
                <w:color w:val="000000"/>
                <w:sz w:val="24"/>
              </w:rPr>
              <w:t>3</w:t>
            </w:r>
          </w:p>
        </w:tc>
        <w:tc>
          <w:tcPr>
            <w:tcW w:w="1533" w:type="dxa"/>
            <w:vAlign w:val="center"/>
          </w:tcPr>
          <w:p w:rsidR="006C2CE4" w:rsidRDefault="00E72CC7">
            <w:pPr>
              <w:jc w:val="center"/>
            </w:pPr>
            <w:r>
              <w:rPr>
                <w:color w:val="000000"/>
                <w:sz w:val="24"/>
              </w:rPr>
              <w:t>111910028</w:t>
            </w:r>
          </w:p>
        </w:tc>
        <w:tc>
          <w:tcPr>
            <w:tcW w:w="1533" w:type="dxa"/>
            <w:vAlign w:val="center"/>
          </w:tcPr>
          <w:p w:rsidR="006C2CE4" w:rsidRDefault="00E72CC7">
            <w:pPr>
              <w:jc w:val="center"/>
            </w:pPr>
            <w:r>
              <w:rPr>
                <w:color w:val="000000"/>
                <w:sz w:val="24"/>
              </w:rPr>
              <w:t>19</w:t>
            </w:r>
            <w:r>
              <w:rPr>
                <w:color w:val="000000"/>
                <w:sz w:val="24"/>
              </w:rPr>
              <w:t>兴业银行</w:t>
            </w:r>
            <w:r>
              <w:rPr>
                <w:color w:val="000000"/>
                <w:sz w:val="24"/>
              </w:rPr>
              <w:t>CD028</w:t>
            </w:r>
          </w:p>
        </w:tc>
        <w:tc>
          <w:tcPr>
            <w:tcW w:w="1394" w:type="dxa"/>
            <w:vAlign w:val="center"/>
          </w:tcPr>
          <w:p w:rsidR="006C2CE4" w:rsidRDefault="00E72CC7">
            <w:pPr>
              <w:jc w:val="right"/>
            </w:pPr>
            <w:r>
              <w:rPr>
                <w:color w:val="000000"/>
                <w:sz w:val="24"/>
              </w:rPr>
              <w:t>100,000</w:t>
            </w:r>
          </w:p>
        </w:tc>
        <w:tc>
          <w:tcPr>
            <w:tcW w:w="1944" w:type="dxa"/>
            <w:vAlign w:val="center"/>
          </w:tcPr>
          <w:p w:rsidR="006C2CE4" w:rsidRDefault="00E72CC7">
            <w:pPr>
              <w:jc w:val="right"/>
            </w:pPr>
            <w:r>
              <w:rPr>
                <w:color w:val="000000"/>
                <w:sz w:val="24"/>
              </w:rPr>
              <w:t>9,786,000.00</w:t>
            </w:r>
          </w:p>
        </w:tc>
        <w:tc>
          <w:tcPr>
            <w:tcW w:w="1389" w:type="dxa"/>
            <w:vAlign w:val="center"/>
          </w:tcPr>
          <w:p w:rsidR="006C2CE4" w:rsidRDefault="00E72CC7">
            <w:pPr>
              <w:jc w:val="right"/>
            </w:pPr>
            <w:r>
              <w:rPr>
                <w:color w:val="000000"/>
                <w:sz w:val="24"/>
              </w:rPr>
              <w:t>15.37</w:t>
            </w:r>
          </w:p>
        </w:tc>
      </w:tr>
      <w:tr w:rsidR="006C2CE4">
        <w:trPr>
          <w:jc w:val="center"/>
        </w:trPr>
        <w:tc>
          <w:tcPr>
            <w:tcW w:w="1075" w:type="dxa"/>
            <w:vAlign w:val="center"/>
          </w:tcPr>
          <w:p w:rsidR="006C2CE4" w:rsidRDefault="00E72CC7">
            <w:pPr>
              <w:jc w:val="center"/>
            </w:pPr>
            <w:r>
              <w:rPr>
                <w:color w:val="000000"/>
                <w:sz w:val="24"/>
              </w:rPr>
              <w:t>4</w:t>
            </w:r>
          </w:p>
        </w:tc>
        <w:tc>
          <w:tcPr>
            <w:tcW w:w="1533" w:type="dxa"/>
            <w:vAlign w:val="center"/>
          </w:tcPr>
          <w:p w:rsidR="006C2CE4" w:rsidRDefault="00E72CC7">
            <w:pPr>
              <w:jc w:val="center"/>
            </w:pPr>
            <w:r>
              <w:rPr>
                <w:color w:val="000000"/>
                <w:sz w:val="24"/>
              </w:rPr>
              <w:t>111811308</w:t>
            </w:r>
          </w:p>
        </w:tc>
        <w:tc>
          <w:tcPr>
            <w:tcW w:w="1533" w:type="dxa"/>
            <w:vAlign w:val="center"/>
          </w:tcPr>
          <w:p w:rsidR="006C2CE4" w:rsidRDefault="00E72CC7">
            <w:pPr>
              <w:jc w:val="center"/>
            </w:pPr>
            <w:r>
              <w:rPr>
                <w:color w:val="000000"/>
                <w:sz w:val="24"/>
              </w:rPr>
              <w:t>18</w:t>
            </w:r>
            <w:r>
              <w:rPr>
                <w:color w:val="000000"/>
                <w:sz w:val="24"/>
              </w:rPr>
              <w:t>平安银行</w:t>
            </w:r>
            <w:r>
              <w:rPr>
                <w:color w:val="000000"/>
                <w:sz w:val="24"/>
              </w:rPr>
              <w:t>CD308</w:t>
            </w:r>
          </w:p>
        </w:tc>
        <w:tc>
          <w:tcPr>
            <w:tcW w:w="1394" w:type="dxa"/>
            <w:vAlign w:val="center"/>
          </w:tcPr>
          <w:p w:rsidR="006C2CE4" w:rsidRDefault="00E72CC7">
            <w:pPr>
              <w:jc w:val="right"/>
            </w:pPr>
            <w:r>
              <w:rPr>
                <w:color w:val="000000"/>
                <w:sz w:val="24"/>
              </w:rPr>
              <w:t>100,000</w:t>
            </w:r>
          </w:p>
        </w:tc>
        <w:tc>
          <w:tcPr>
            <w:tcW w:w="1944" w:type="dxa"/>
            <w:vAlign w:val="center"/>
          </w:tcPr>
          <w:p w:rsidR="006C2CE4" w:rsidRDefault="00E72CC7">
            <w:pPr>
              <w:jc w:val="right"/>
            </w:pPr>
            <w:r>
              <w:rPr>
                <w:color w:val="000000"/>
                <w:sz w:val="24"/>
              </w:rPr>
              <w:t>9,765,000.00</w:t>
            </w:r>
          </w:p>
        </w:tc>
        <w:tc>
          <w:tcPr>
            <w:tcW w:w="1389" w:type="dxa"/>
            <w:vAlign w:val="center"/>
          </w:tcPr>
          <w:p w:rsidR="006C2CE4" w:rsidRDefault="00E72CC7">
            <w:pPr>
              <w:jc w:val="right"/>
            </w:pPr>
            <w:r>
              <w:rPr>
                <w:color w:val="000000"/>
                <w:sz w:val="24"/>
              </w:rPr>
              <w:t>15.34</w:t>
            </w:r>
          </w:p>
        </w:tc>
      </w:tr>
      <w:tr w:rsidR="006C2CE4">
        <w:trPr>
          <w:jc w:val="center"/>
        </w:trPr>
        <w:tc>
          <w:tcPr>
            <w:tcW w:w="1075" w:type="dxa"/>
            <w:vAlign w:val="center"/>
          </w:tcPr>
          <w:p w:rsidR="006C2CE4" w:rsidRDefault="00E72CC7">
            <w:pPr>
              <w:jc w:val="center"/>
            </w:pPr>
            <w:r>
              <w:rPr>
                <w:color w:val="000000"/>
                <w:sz w:val="24"/>
              </w:rPr>
              <w:t>5</w:t>
            </w:r>
          </w:p>
        </w:tc>
        <w:tc>
          <w:tcPr>
            <w:tcW w:w="1533" w:type="dxa"/>
            <w:vAlign w:val="center"/>
          </w:tcPr>
          <w:p w:rsidR="006C2CE4" w:rsidRDefault="00E72CC7">
            <w:pPr>
              <w:jc w:val="center"/>
            </w:pPr>
            <w:r>
              <w:rPr>
                <w:color w:val="000000"/>
                <w:sz w:val="24"/>
              </w:rPr>
              <w:t>111815573</w:t>
            </w:r>
          </w:p>
        </w:tc>
        <w:tc>
          <w:tcPr>
            <w:tcW w:w="1533" w:type="dxa"/>
            <w:vAlign w:val="center"/>
          </w:tcPr>
          <w:p w:rsidR="006C2CE4" w:rsidRDefault="00E72CC7">
            <w:pPr>
              <w:jc w:val="center"/>
            </w:pPr>
            <w:r>
              <w:rPr>
                <w:color w:val="000000"/>
                <w:sz w:val="24"/>
              </w:rPr>
              <w:t>18</w:t>
            </w:r>
            <w:r>
              <w:rPr>
                <w:color w:val="000000"/>
                <w:sz w:val="24"/>
              </w:rPr>
              <w:t>民生银行</w:t>
            </w:r>
            <w:r>
              <w:rPr>
                <w:color w:val="000000"/>
                <w:sz w:val="24"/>
              </w:rPr>
              <w:t>CD573</w:t>
            </w:r>
          </w:p>
        </w:tc>
        <w:tc>
          <w:tcPr>
            <w:tcW w:w="1394" w:type="dxa"/>
            <w:vAlign w:val="center"/>
          </w:tcPr>
          <w:p w:rsidR="006C2CE4" w:rsidRDefault="00E72CC7">
            <w:pPr>
              <w:jc w:val="right"/>
            </w:pPr>
            <w:r>
              <w:rPr>
                <w:color w:val="000000"/>
                <w:sz w:val="24"/>
              </w:rPr>
              <w:t>100,000</w:t>
            </w:r>
          </w:p>
        </w:tc>
        <w:tc>
          <w:tcPr>
            <w:tcW w:w="1944" w:type="dxa"/>
            <w:vAlign w:val="center"/>
          </w:tcPr>
          <w:p w:rsidR="006C2CE4" w:rsidRDefault="00E72CC7">
            <w:pPr>
              <w:jc w:val="right"/>
            </w:pPr>
            <w:r>
              <w:rPr>
                <w:color w:val="000000"/>
                <w:sz w:val="24"/>
              </w:rPr>
              <w:t>9,765,000.00</w:t>
            </w:r>
          </w:p>
        </w:tc>
        <w:tc>
          <w:tcPr>
            <w:tcW w:w="1389" w:type="dxa"/>
            <w:vAlign w:val="center"/>
          </w:tcPr>
          <w:p w:rsidR="006C2CE4" w:rsidRDefault="00E72CC7">
            <w:pPr>
              <w:jc w:val="right"/>
            </w:pPr>
            <w:r>
              <w:rPr>
                <w:color w:val="000000"/>
                <w:sz w:val="24"/>
              </w:rPr>
              <w:t>15.34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18</w:t>
      </w:r>
      <w:r w:rsidRPr="00384E65">
        <w:rPr>
          <w:kern w:val="0"/>
          <w:sz w:val="24"/>
        </w:rPr>
        <w:t>民生银行</w:t>
      </w:r>
      <w:r w:rsidRPr="00384E65">
        <w:rPr>
          <w:kern w:val="0"/>
          <w:sz w:val="24"/>
        </w:rPr>
        <w:t>CD573</w:t>
      </w:r>
      <w:r w:rsidRPr="00384E65">
        <w:rPr>
          <w:kern w:val="0"/>
          <w:sz w:val="24"/>
        </w:rPr>
        <w:t>（证券代码：</w:t>
      </w:r>
      <w:r w:rsidRPr="00384E65">
        <w:rPr>
          <w:kern w:val="0"/>
          <w:sz w:val="24"/>
        </w:rPr>
        <w:t>111815573</w:t>
      </w:r>
      <w:r w:rsidRPr="00384E65">
        <w:rPr>
          <w:kern w:val="0"/>
          <w:sz w:val="24"/>
        </w:rPr>
        <w:t>）外，未出现被监管部门立案调查，或在报告编制日前一年内受到公开谴责、处罚的情形。</w:t>
      </w:r>
    </w:p>
    <w:p w:rsidR="006C2CE4" w:rsidRDefault="00E72CC7">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18</w:t>
      </w:r>
      <w:r>
        <w:rPr>
          <w:kern w:val="0"/>
          <w:sz w:val="24"/>
        </w:rPr>
        <w:t>民生银行</w:t>
      </w:r>
      <w:r>
        <w:rPr>
          <w:kern w:val="0"/>
          <w:sz w:val="24"/>
        </w:rPr>
        <w:t>CD573</w:t>
      </w:r>
      <w:r>
        <w:rPr>
          <w:kern w:val="0"/>
          <w:sz w:val="24"/>
        </w:rPr>
        <w:t>（证券代码：</w:t>
      </w:r>
      <w:r>
        <w:rPr>
          <w:kern w:val="0"/>
          <w:sz w:val="24"/>
        </w:rPr>
        <w:t>111815573</w:t>
      </w:r>
      <w:r>
        <w:rPr>
          <w:kern w:val="0"/>
          <w:sz w:val="24"/>
        </w:rPr>
        <w:t>）的发行主体民生银行，根据银保监会</w:t>
      </w:r>
      <w:r>
        <w:rPr>
          <w:kern w:val="0"/>
          <w:sz w:val="24"/>
        </w:rPr>
        <w:t>2018</w:t>
      </w:r>
      <w:r>
        <w:rPr>
          <w:kern w:val="0"/>
          <w:sz w:val="24"/>
        </w:rPr>
        <w:t>年</w:t>
      </w:r>
      <w:r>
        <w:rPr>
          <w:kern w:val="0"/>
          <w:sz w:val="24"/>
        </w:rPr>
        <w:t>12</w:t>
      </w:r>
      <w:r>
        <w:rPr>
          <w:kern w:val="0"/>
          <w:sz w:val="24"/>
        </w:rPr>
        <w:t>月</w:t>
      </w:r>
      <w:r>
        <w:rPr>
          <w:kern w:val="0"/>
          <w:sz w:val="24"/>
        </w:rPr>
        <w:t>7</w:t>
      </w:r>
      <w:r>
        <w:rPr>
          <w:kern w:val="0"/>
          <w:sz w:val="24"/>
        </w:rPr>
        <w:t>日公布的《中国银行保险监督管理委员会行政处罚信息公开表</w:t>
      </w:r>
      <w:r>
        <w:rPr>
          <w:kern w:val="0"/>
          <w:sz w:val="24"/>
        </w:rPr>
        <w:t>(</w:t>
      </w:r>
      <w:r>
        <w:rPr>
          <w:kern w:val="0"/>
          <w:sz w:val="24"/>
        </w:rPr>
        <w:t>银保监银罚决字〔</w:t>
      </w:r>
      <w:r>
        <w:rPr>
          <w:kern w:val="0"/>
          <w:sz w:val="24"/>
        </w:rPr>
        <w:t>2018</w:t>
      </w:r>
      <w:r>
        <w:rPr>
          <w:kern w:val="0"/>
          <w:sz w:val="24"/>
        </w:rPr>
        <w:t>〕</w:t>
      </w:r>
      <w:r>
        <w:rPr>
          <w:kern w:val="0"/>
          <w:sz w:val="24"/>
        </w:rPr>
        <w:t>5</w:t>
      </w:r>
      <w:r>
        <w:rPr>
          <w:kern w:val="0"/>
          <w:sz w:val="24"/>
        </w:rPr>
        <w:t>号</w:t>
      </w:r>
      <w:r>
        <w:rPr>
          <w:kern w:val="0"/>
          <w:sz w:val="24"/>
        </w:rPr>
        <w:t>)</w:t>
      </w:r>
      <w:r>
        <w:rPr>
          <w:kern w:val="0"/>
          <w:sz w:val="24"/>
        </w:rPr>
        <w:t>》，因存在贷款业务严重违反审慎经营规则等违法违规事实，被中国银行保险监督管理委员会处以行政处罚，罚款</w:t>
      </w:r>
      <w:r>
        <w:rPr>
          <w:kern w:val="0"/>
          <w:sz w:val="24"/>
        </w:rPr>
        <w:t>200</w:t>
      </w:r>
      <w:r>
        <w:rPr>
          <w:kern w:val="0"/>
          <w:sz w:val="24"/>
        </w:rPr>
        <w:t>万元；根据银保监会</w:t>
      </w:r>
      <w:r>
        <w:rPr>
          <w:kern w:val="0"/>
          <w:sz w:val="24"/>
        </w:rPr>
        <w:t>2018</w:t>
      </w:r>
      <w:r>
        <w:rPr>
          <w:kern w:val="0"/>
          <w:sz w:val="24"/>
        </w:rPr>
        <w:t>年</w:t>
      </w:r>
      <w:r>
        <w:rPr>
          <w:kern w:val="0"/>
          <w:sz w:val="24"/>
        </w:rPr>
        <w:t>12</w:t>
      </w:r>
      <w:r>
        <w:rPr>
          <w:kern w:val="0"/>
          <w:sz w:val="24"/>
        </w:rPr>
        <w:t>月</w:t>
      </w:r>
      <w:r>
        <w:rPr>
          <w:kern w:val="0"/>
          <w:sz w:val="24"/>
        </w:rPr>
        <w:t>7</w:t>
      </w:r>
      <w:r>
        <w:rPr>
          <w:kern w:val="0"/>
          <w:sz w:val="24"/>
        </w:rPr>
        <w:t>日公布的《中国银行保险监督管理委员会行政处罚信息公开表</w:t>
      </w:r>
      <w:r>
        <w:rPr>
          <w:kern w:val="0"/>
          <w:sz w:val="24"/>
        </w:rPr>
        <w:t>(</w:t>
      </w:r>
      <w:r>
        <w:rPr>
          <w:kern w:val="0"/>
          <w:sz w:val="24"/>
        </w:rPr>
        <w:t>银保监银罚决字〔</w:t>
      </w:r>
      <w:r>
        <w:rPr>
          <w:kern w:val="0"/>
          <w:sz w:val="24"/>
        </w:rPr>
        <w:t>2018</w:t>
      </w:r>
      <w:r>
        <w:rPr>
          <w:kern w:val="0"/>
          <w:sz w:val="24"/>
        </w:rPr>
        <w:t>〕</w:t>
      </w:r>
      <w:r>
        <w:rPr>
          <w:kern w:val="0"/>
          <w:sz w:val="24"/>
        </w:rPr>
        <w:t>8</w:t>
      </w:r>
      <w:r>
        <w:rPr>
          <w:kern w:val="0"/>
          <w:sz w:val="24"/>
        </w:rPr>
        <w:t>号</w:t>
      </w:r>
      <w:r>
        <w:rPr>
          <w:kern w:val="0"/>
          <w:sz w:val="24"/>
        </w:rPr>
        <w:t>)</w:t>
      </w:r>
      <w:r>
        <w:rPr>
          <w:kern w:val="0"/>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kern w:val="0"/>
          <w:sz w:val="24"/>
        </w:rPr>
        <w:t>3160</w:t>
      </w:r>
      <w:r>
        <w:rPr>
          <w:kern w:val="0"/>
          <w:sz w:val="24"/>
        </w:rPr>
        <w:t>万元。</w:t>
      </w:r>
    </w:p>
    <w:p w:rsidR="006C2CE4" w:rsidRDefault="00E72CC7">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6"/>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99.39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500,000.00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689,312.50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682.92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1,190,094.81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C711F7" w:rsidP="007C14DF">
      <w:pPr>
        <w:autoSpaceDE w:val="0"/>
        <w:autoSpaceDN w:val="0"/>
        <w:adjustRightInd w:val="0"/>
        <w:spacing w:before="29" w:line="288" w:lineRule="auto"/>
        <w:jc w:val="left"/>
        <w:rPr>
          <w:rFonts w:eastAsiaTheme="minorEastAsia"/>
          <w:sz w:val="24"/>
        </w:rPr>
      </w:pPr>
      <w:r>
        <w:rPr>
          <w:rFonts w:eastAsiaTheme="minorEastAsia" w:hint="eastAsia"/>
          <w:sz w:val="24"/>
        </w:rPr>
        <w:t>本基金本报告期末未持有股票</w:t>
      </w:r>
      <w:bookmarkStart w:id="0" w:name="_GoBack"/>
      <w:bookmarkEnd w:id="0"/>
      <w:r w:rsidR="001D5CD0" w:rsidRPr="007F52FA">
        <w:rPr>
          <w:rFonts w:eastAsiaTheme="minorEastAsia"/>
          <w:sz w:val="24"/>
        </w:rPr>
        <w:t>。</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5,380,456.68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1,872,248.63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735,005.74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52,719,697.49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2,285,076.52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4,372,168.05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3,830,385.90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50,219,778.07</w:t>
            </w:r>
          </w:p>
        </w:tc>
      </w:tr>
    </w:tbl>
    <w:p w:rsidR="006C2CE4" w:rsidRDefault="00E72CC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C2CE4">
        <w:tc>
          <w:tcPr>
            <w:tcW w:w="992" w:type="dxa"/>
            <w:vMerge w:val="restart"/>
          </w:tcPr>
          <w:p w:rsidR="006C2CE4" w:rsidRDefault="006C2CE4"/>
          <w:p w:rsidR="006C2CE4" w:rsidRDefault="00E72CC7">
            <w:r>
              <w:rPr>
                <w:rFonts w:ascii="宋体" w:hAnsi="宋体" w:hint="eastAsia"/>
                <w:bCs/>
                <w:color w:val="000000"/>
                <w:kern w:val="0"/>
                <w:szCs w:val="21"/>
              </w:rPr>
              <w:t>机构</w:t>
            </w:r>
          </w:p>
        </w:tc>
        <w:tc>
          <w:tcPr>
            <w:tcW w:w="991" w:type="dxa"/>
            <w:vAlign w:val="center"/>
          </w:tcPr>
          <w:p w:rsidR="006C2CE4" w:rsidRDefault="00E72CC7">
            <w:pPr>
              <w:jc w:val="center"/>
            </w:pPr>
            <w:r>
              <w:rPr>
                <w:rFonts w:ascii="宋体" w:hAnsi="宋体" w:hint="eastAsia"/>
                <w:color w:val="000000"/>
                <w:kern w:val="0"/>
                <w:szCs w:val="21"/>
              </w:rPr>
              <w:t>1</w:t>
            </w:r>
          </w:p>
        </w:tc>
        <w:tc>
          <w:tcPr>
            <w:tcW w:w="1843" w:type="dxa"/>
            <w:vAlign w:val="center"/>
          </w:tcPr>
          <w:p w:rsidR="006C2CE4" w:rsidRDefault="00E72CC7">
            <w:pPr>
              <w:jc w:val="center"/>
            </w:pPr>
            <w:r>
              <w:rPr>
                <w:rFonts w:ascii="宋体" w:hAnsi="宋体" w:hint="eastAsia"/>
                <w:color w:val="000000"/>
                <w:kern w:val="0"/>
                <w:szCs w:val="21"/>
              </w:rPr>
              <w:t>2019/1/1-2019/3/31</w:t>
            </w:r>
          </w:p>
        </w:tc>
        <w:tc>
          <w:tcPr>
            <w:tcW w:w="851" w:type="dxa"/>
            <w:vAlign w:val="center"/>
          </w:tcPr>
          <w:p w:rsidR="006C2CE4" w:rsidRDefault="00E72CC7">
            <w:pPr>
              <w:jc w:val="center"/>
            </w:pPr>
            <w:r>
              <w:rPr>
                <w:rFonts w:ascii="宋体" w:hAnsi="宋体" w:hint="eastAsia"/>
                <w:color w:val="000000"/>
                <w:kern w:val="0"/>
                <w:szCs w:val="21"/>
              </w:rPr>
              <w:t>-</w:t>
            </w:r>
          </w:p>
        </w:tc>
        <w:tc>
          <w:tcPr>
            <w:tcW w:w="850" w:type="dxa"/>
            <w:vAlign w:val="center"/>
          </w:tcPr>
          <w:p w:rsidR="006C2CE4" w:rsidRDefault="00E72CC7">
            <w:pPr>
              <w:jc w:val="center"/>
            </w:pPr>
            <w:r>
              <w:rPr>
                <w:rFonts w:ascii="宋体" w:hAnsi="宋体" w:hint="eastAsia"/>
                <w:color w:val="000000"/>
                <w:kern w:val="0"/>
                <w:szCs w:val="21"/>
              </w:rPr>
              <w:t>25,510,204.08</w:t>
            </w:r>
          </w:p>
        </w:tc>
        <w:tc>
          <w:tcPr>
            <w:tcW w:w="1134" w:type="dxa"/>
            <w:vAlign w:val="center"/>
          </w:tcPr>
          <w:p w:rsidR="006C2CE4" w:rsidRDefault="00E72CC7">
            <w:pPr>
              <w:jc w:val="center"/>
            </w:pPr>
            <w:r>
              <w:rPr>
                <w:rFonts w:ascii="宋体" w:hAnsi="宋体" w:hint="eastAsia"/>
                <w:color w:val="000000"/>
                <w:kern w:val="0"/>
                <w:szCs w:val="21"/>
              </w:rPr>
              <w:t>-</w:t>
            </w:r>
          </w:p>
        </w:tc>
        <w:tc>
          <w:tcPr>
            <w:tcW w:w="1419" w:type="dxa"/>
            <w:vAlign w:val="center"/>
          </w:tcPr>
          <w:p w:rsidR="006C2CE4" w:rsidRDefault="00E72CC7">
            <w:pPr>
              <w:jc w:val="center"/>
            </w:pPr>
            <w:r>
              <w:rPr>
                <w:rFonts w:ascii="宋体" w:hAnsi="宋体" w:hint="eastAsia"/>
                <w:color w:val="000000"/>
                <w:kern w:val="0"/>
                <w:szCs w:val="21"/>
              </w:rPr>
              <w:t>25,510,204.08</w:t>
            </w:r>
          </w:p>
        </w:tc>
        <w:tc>
          <w:tcPr>
            <w:tcW w:w="1130" w:type="dxa"/>
            <w:vAlign w:val="center"/>
          </w:tcPr>
          <w:p w:rsidR="006C2CE4" w:rsidRDefault="00E72CC7">
            <w:pPr>
              <w:jc w:val="center"/>
            </w:pPr>
            <w:r>
              <w:rPr>
                <w:rFonts w:ascii="宋体" w:hAnsi="宋体" w:hint="eastAsia"/>
                <w:color w:val="000000"/>
                <w:kern w:val="0"/>
                <w:szCs w:val="21"/>
              </w:rPr>
              <w:t>47.20%</w:t>
            </w:r>
          </w:p>
        </w:tc>
      </w:tr>
      <w:tr w:rsidR="006C2CE4">
        <w:tc>
          <w:tcPr>
            <w:tcW w:w="992" w:type="dxa"/>
            <w:vMerge/>
          </w:tcPr>
          <w:p w:rsidR="006C2CE4" w:rsidRDefault="006C2CE4"/>
        </w:tc>
        <w:tc>
          <w:tcPr>
            <w:tcW w:w="991" w:type="dxa"/>
            <w:vAlign w:val="center"/>
          </w:tcPr>
          <w:p w:rsidR="006C2CE4" w:rsidRDefault="00E72CC7">
            <w:pPr>
              <w:jc w:val="center"/>
            </w:pPr>
            <w:r>
              <w:rPr>
                <w:rFonts w:ascii="宋体" w:hAnsi="宋体" w:hint="eastAsia"/>
                <w:color w:val="000000"/>
                <w:kern w:val="0"/>
                <w:szCs w:val="21"/>
              </w:rPr>
              <w:t>2</w:t>
            </w:r>
          </w:p>
        </w:tc>
        <w:tc>
          <w:tcPr>
            <w:tcW w:w="1843" w:type="dxa"/>
            <w:vAlign w:val="center"/>
          </w:tcPr>
          <w:p w:rsidR="006C2CE4" w:rsidRDefault="00E72CC7">
            <w:pPr>
              <w:jc w:val="center"/>
            </w:pPr>
            <w:r>
              <w:rPr>
                <w:rFonts w:ascii="宋体" w:hAnsi="宋体" w:hint="eastAsia"/>
                <w:color w:val="000000"/>
                <w:kern w:val="0"/>
                <w:szCs w:val="21"/>
              </w:rPr>
              <w:t>2019/1/1-2019/3/31</w:t>
            </w:r>
          </w:p>
        </w:tc>
        <w:tc>
          <w:tcPr>
            <w:tcW w:w="851" w:type="dxa"/>
            <w:vAlign w:val="center"/>
          </w:tcPr>
          <w:p w:rsidR="006C2CE4" w:rsidRDefault="00E72CC7">
            <w:pPr>
              <w:jc w:val="center"/>
            </w:pPr>
            <w:r>
              <w:rPr>
                <w:rFonts w:ascii="宋体" w:hAnsi="宋体" w:hint="eastAsia"/>
                <w:color w:val="000000"/>
                <w:kern w:val="0"/>
                <w:szCs w:val="21"/>
              </w:rPr>
              <w:t>-</w:t>
            </w:r>
          </w:p>
        </w:tc>
        <w:tc>
          <w:tcPr>
            <w:tcW w:w="850" w:type="dxa"/>
            <w:vAlign w:val="center"/>
          </w:tcPr>
          <w:p w:rsidR="006C2CE4" w:rsidRDefault="00E72CC7">
            <w:pPr>
              <w:jc w:val="center"/>
            </w:pPr>
            <w:r>
              <w:rPr>
                <w:rFonts w:ascii="宋体" w:hAnsi="宋体" w:hint="eastAsia"/>
                <w:color w:val="000000"/>
                <w:kern w:val="0"/>
                <w:szCs w:val="21"/>
              </w:rPr>
              <w:t>24,659,863.95</w:t>
            </w:r>
          </w:p>
        </w:tc>
        <w:tc>
          <w:tcPr>
            <w:tcW w:w="1134" w:type="dxa"/>
            <w:vAlign w:val="center"/>
          </w:tcPr>
          <w:p w:rsidR="006C2CE4" w:rsidRDefault="00E72CC7">
            <w:pPr>
              <w:jc w:val="center"/>
            </w:pPr>
            <w:r>
              <w:rPr>
                <w:rFonts w:ascii="宋体" w:hAnsi="宋体" w:hint="eastAsia"/>
                <w:color w:val="000000"/>
                <w:kern w:val="0"/>
                <w:szCs w:val="21"/>
              </w:rPr>
              <w:t>-</w:t>
            </w:r>
          </w:p>
        </w:tc>
        <w:tc>
          <w:tcPr>
            <w:tcW w:w="1419" w:type="dxa"/>
            <w:vAlign w:val="center"/>
          </w:tcPr>
          <w:p w:rsidR="006C2CE4" w:rsidRDefault="00E72CC7">
            <w:pPr>
              <w:jc w:val="center"/>
            </w:pPr>
            <w:r>
              <w:rPr>
                <w:rFonts w:ascii="宋体" w:hAnsi="宋体" w:hint="eastAsia"/>
                <w:color w:val="000000"/>
                <w:kern w:val="0"/>
                <w:szCs w:val="21"/>
              </w:rPr>
              <w:t>24,659,863.95</w:t>
            </w:r>
          </w:p>
        </w:tc>
        <w:tc>
          <w:tcPr>
            <w:tcW w:w="1130" w:type="dxa"/>
            <w:vAlign w:val="center"/>
          </w:tcPr>
          <w:p w:rsidR="006C2CE4" w:rsidRDefault="00E72CC7">
            <w:pPr>
              <w:jc w:val="center"/>
            </w:pPr>
            <w:r>
              <w:rPr>
                <w:rFonts w:ascii="宋体" w:hAnsi="宋体" w:hint="eastAsia"/>
                <w:color w:val="000000"/>
                <w:kern w:val="0"/>
                <w:szCs w:val="21"/>
              </w:rPr>
              <w:t>45.62%</w:t>
            </w:r>
          </w:p>
        </w:tc>
      </w:tr>
      <w:tr w:rsidR="006C2CE4">
        <w:tc>
          <w:tcPr>
            <w:tcW w:w="992" w:type="dxa"/>
            <w:vMerge/>
          </w:tcPr>
          <w:p w:rsidR="006C2CE4" w:rsidRDefault="006C2CE4"/>
        </w:tc>
        <w:tc>
          <w:tcPr>
            <w:tcW w:w="991" w:type="dxa"/>
            <w:vAlign w:val="center"/>
          </w:tcPr>
          <w:p w:rsidR="006C2CE4" w:rsidRDefault="00E72CC7">
            <w:pPr>
              <w:jc w:val="center"/>
            </w:pPr>
            <w:r>
              <w:rPr>
                <w:rFonts w:ascii="宋体" w:hAnsi="宋体" w:hint="eastAsia"/>
                <w:color w:val="000000"/>
                <w:kern w:val="0"/>
                <w:szCs w:val="21"/>
              </w:rPr>
              <w:t>3</w:t>
            </w:r>
          </w:p>
        </w:tc>
        <w:tc>
          <w:tcPr>
            <w:tcW w:w="1843" w:type="dxa"/>
            <w:vAlign w:val="center"/>
          </w:tcPr>
          <w:p w:rsidR="006C2CE4" w:rsidRDefault="00E72CC7">
            <w:pPr>
              <w:jc w:val="center"/>
            </w:pPr>
            <w:r>
              <w:rPr>
                <w:rFonts w:ascii="宋体" w:hAnsi="宋体" w:hint="eastAsia"/>
                <w:color w:val="000000"/>
                <w:kern w:val="0"/>
                <w:szCs w:val="21"/>
              </w:rPr>
              <w:t>2019/1/1-2019/3/31</w:t>
            </w:r>
          </w:p>
        </w:tc>
        <w:tc>
          <w:tcPr>
            <w:tcW w:w="851" w:type="dxa"/>
            <w:vAlign w:val="center"/>
          </w:tcPr>
          <w:p w:rsidR="006C2CE4" w:rsidRDefault="00E72CC7">
            <w:pPr>
              <w:jc w:val="center"/>
            </w:pPr>
            <w:r>
              <w:rPr>
                <w:rFonts w:ascii="宋体" w:hAnsi="宋体" w:hint="eastAsia"/>
                <w:color w:val="000000"/>
                <w:kern w:val="0"/>
                <w:szCs w:val="21"/>
              </w:rPr>
              <w:t>-</w:t>
            </w:r>
          </w:p>
        </w:tc>
        <w:tc>
          <w:tcPr>
            <w:tcW w:w="850" w:type="dxa"/>
            <w:vAlign w:val="center"/>
          </w:tcPr>
          <w:p w:rsidR="006C2CE4" w:rsidRDefault="00E72CC7">
            <w:pPr>
              <w:jc w:val="center"/>
            </w:pPr>
            <w:r>
              <w:rPr>
                <w:rFonts w:ascii="宋体" w:hAnsi="宋体" w:hint="eastAsia"/>
                <w:color w:val="000000"/>
                <w:kern w:val="0"/>
                <w:szCs w:val="21"/>
              </w:rPr>
              <w:t>2,427,839.58</w:t>
            </w:r>
          </w:p>
        </w:tc>
        <w:tc>
          <w:tcPr>
            <w:tcW w:w="1134" w:type="dxa"/>
            <w:vAlign w:val="center"/>
          </w:tcPr>
          <w:p w:rsidR="006C2CE4" w:rsidRDefault="00E72CC7">
            <w:pPr>
              <w:jc w:val="center"/>
            </w:pPr>
            <w:r>
              <w:rPr>
                <w:rFonts w:ascii="宋体" w:hAnsi="宋体" w:hint="eastAsia"/>
                <w:color w:val="000000"/>
                <w:kern w:val="0"/>
                <w:szCs w:val="21"/>
              </w:rPr>
              <w:t>2,427,839.58</w:t>
            </w:r>
          </w:p>
        </w:tc>
        <w:tc>
          <w:tcPr>
            <w:tcW w:w="1419" w:type="dxa"/>
            <w:vAlign w:val="center"/>
          </w:tcPr>
          <w:p w:rsidR="006C2CE4" w:rsidRDefault="00E72CC7">
            <w:pPr>
              <w:jc w:val="center"/>
            </w:pPr>
            <w:r>
              <w:rPr>
                <w:rFonts w:ascii="宋体" w:hAnsi="宋体" w:hint="eastAsia"/>
                <w:color w:val="000000"/>
                <w:kern w:val="0"/>
                <w:szCs w:val="21"/>
              </w:rPr>
              <w:t>-</w:t>
            </w:r>
          </w:p>
        </w:tc>
        <w:tc>
          <w:tcPr>
            <w:tcW w:w="1130" w:type="dxa"/>
            <w:vAlign w:val="center"/>
          </w:tcPr>
          <w:p w:rsidR="006C2CE4" w:rsidRDefault="00E72CC7">
            <w:pPr>
              <w:jc w:val="center"/>
            </w:pPr>
            <w:r>
              <w:rPr>
                <w:rFonts w:ascii="宋体" w:hAnsi="宋体" w:hint="eastAsia"/>
                <w:color w:val="000000"/>
                <w:kern w:val="0"/>
                <w:szCs w:val="21"/>
              </w:rPr>
              <w:t>-</w:t>
            </w:r>
          </w:p>
        </w:tc>
      </w:tr>
      <w:tr w:rsidR="006C2CE4">
        <w:tc>
          <w:tcPr>
            <w:tcW w:w="992" w:type="dxa"/>
            <w:vMerge/>
          </w:tcPr>
          <w:p w:rsidR="006C2CE4" w:rsidRDefault="006C2CE4"/>
        </w:tc>
        <w:tc>
          <w:tcPr>
            <w:tcW w:w="991" w:type="dxa"/>
            <w:vAlign w:val="center"/>
          </w:tcPr>
          <w:p w:rsidR="006C2CE4" w:rsidRDefault="00E72CC7">
            <w:pPr>
              <w:jc w:val="center"/>
            </w:pPr>
            <w:r>
              <w:rPr>
                <w:rFonts w:ascii="宋体" w:hAnsi="宋体" w:hint="eastAsia"/>
                <w:color w:val="000000"/>
                <w:kern w:val="0"/>
                <w:szCs w:val="21"/>
              </w:rPr>
              <w:t>4</w:t>
            </w:r>
          </w:p>
        </w:tc>
        <w:tc>
          <w:tcPr>
            <w:tcW w:w="1843" w:type="dxa"/>
            <w:vAlign w:val="center"/>
          </w:tcPr>
          <w:p w:rsidR="006C2CE4" w:rsidRDefault="00E72CC7">
            <w:pPr>
              <w:jc w:val="center"/>
            </w:pPr>
            <w:r>
              <w:rPr>
                <w:rFonts w:ascii="宋体" w:hAnsi="宋体" w:hint="eastAsia"/>
                <w:color w:val="000000"/>
                <w:kern w:val="0"/>
                <w:szCs w:val="21"/>
              </w:rPr>
              <w:t>2019/1/1-2019/3/31</w:t>
            </w:r>
          </w:p>
        </w:tc>
        <w:tc>
          <w:tcPr>
            <w:tcW w:w="851" w:type="dxa"/>
            <w:vAlign w:val="center"/>
          </w:tcPr>
          <w:p w:rsidR="006C2CE4" w:rsidRDefault="00E72CC7">
            <w:pPr>
              <w:jc w:val="center"/>
            </w:pPr>
            <w:r>
              <w:rPr>
                <w:rFonts w:ascii="宋体" w:hAnsi="宋体" w:hint="eastAsia"/>
                <w:color w:val="000000"/>
                <w:kern w:val="0"/>
                <w:szCs w:val="21"/>
              </w:rPr>
              <w:t>2,493,279.28</w:t>
            </w:r>
          </w:p>
        </w:tc>
        <w:tc>
          <w:tcPr>
            <w:tcW w:w="850" w:type="dxa"/>
            <w:vAlign w:val="center"/>
          </w:tcPr>
          <w:p w:rsidR="006C2CE4" w:rsidRDefault="00E72CC7">
            <w:pPr>
              <w:jc w:val="center"/>
            </w:pPr>
            <w:r>
              <w:rPr>
                <w:rFonts w:ascii="宋体" w:hAnsi="宋体" w:hint="eastAsia"/>
                <w:color w:val="000000"/>
                <w:kern w:val="0"/>
                <w:szCs w:val="21"/>
              </w:rPr>
              <w:t>-</w:t>
            </w:r>
          </w:p>
        </w:tc>
        <w:tc>
          <w:tcPr>
            <w:tcW w:w="1134" w:type="dxa"/>
            <w:vAlign w:val="center"/>
          </w:tcPr>
          <w:p w:rsidR="006C2CE4" w:rsidRDefault="00E72CC7">
            <w:pPr>
              <w:jc w:val="center"/>
            </w:pPr>
            <w:r>
              <w:rPr>
                <w:rFonts w:ascii="宋体" w:hAnsi="宋体" w:hint="eastAsia"/>
                <w:color w:val="000000"/>
                <w:kern w:val="0"/>
                <w:szCs w:val="21"/>
              </w:rPr>
              <w:t>2,493,279.28</w:t>
            </w:r>
          </w:p>
        </w:tc>
        <w:tc>
          <w:tcPr>
            <w:tcW w:w="1419" w:type="dxa"/>
            <w:vAlign w:val="center"/>
          </w:tcPr>
          <w:p w:rsidR="006C2CE4" w:rsidRDefault="00E72CC7">
            <w:pPr>
              <w:jc w:val="center"/>
            </w:pPr>
            <w:r>
              <w:rPr>
                <w:rFonts w:ascii="宋体" w:hAnsi="宋体" w:hint="eastAsia"/>
                <w:color w:val="000000"/>
                <w:kern w:val="0"/>
                <w:szCs w:val="21"/>
              </w:rPr>
              <w:t>-</w:t>
            </w:r>
          </w:p>
        </w:tc>
        <w:tc>
          <w:tcPr>
            <w:tcW w:w="1130" w:type="dxa"/>
            <w:vAlign w:val="center"/>
          </w:tcPr>
          <w:p w:rsidR="006C2CE4" w:rsidRDefault="00E72CC7">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C2CE4" w:rsidRDefault="00E72CC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6C2CE4" w:rsidRDefault="00E72CC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6C2CE4" w:rsidRDefault="00E72CC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6C2CE4" w:rsidRDefault="00E72CC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6C2CE4" w:rsidRDefault="00E72CC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6C2CE4" w:rsidRDefault="00E72CC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6C2CE4" w:rsidRDefault="00E72CC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6C2CE4" w:rsidRDefault="00E72CC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C711F7">
      <w:rPr>
        <w:noProof/>
        <w:kern w:val="0"/>
        <w:szCs w:val="21"/>
      </w:rPr>
      <w:t>11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C711F7">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2CE4"/>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11F7"/>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2CC7"/>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74F14E1A"/>
  <w15:docId w15:val="{8D48773D-D50D-45E7-BA3A-8F6169FB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0FA2F-C144-495C-9507-AF80453B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14</Pages>
  <Words>1240</Words>
  <Characters>7073</Characters>
  <Application>Microsoft Office Word</Application>
  <DocSecurity>0</DocSecurity>
  <Lines>58</Lines>
  <Paragraphs>16</Paragraphs>
  <ScaleCrop>false</ScaleCrop>
  <Company>TRT. Ltd. Co.</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379</cp:revision>
  <cp:lastPrinted>2007-07-19T00:46:00Z</cp:lastPrinted>
  <dcterms:created xsi:type="dcterms:W3CDTF">2014-01-17T06:19:00Z</dcterms:created>
  <dcterms:modified xsi:type="dcterms:W3CDTF">2019-04-11T11:08:00Z</dcterms:modified>
</cp:coreProperties>
</file>