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交银施罗德现金宝货币市场基金</w:t>
      </w:r>
    </w:p>
    <w:p w:rsidR="00B60E27" w:rsidRPr="001E1B20" w:rsidRDefault="00B60E27" w:rsidP="00281564">
      <w:pPr>
        <w:spacing w:before="29" w:line="288" w:lineRule="auto"/>
        <w:jc w:val="center"/>
        <w:rPr>
          <w:b/>
          <w:sz w:val="36"/>
          <w:szCs w:val="36"/>
        </w:rPr>
      </w:pPr>
      <w:r w:rsidRPr="001E1B20">
        <w:rPr>
          <w:b/>
          <w:sz w:val="36"/>
          <w:szCs w:val="36"/>
        </w:rPr>
        <w:t>2019</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2019</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二〇一九年四月二十日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BF0E12" w:rsidRDefault="005726D2">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F0E12" w:rsidRDefault="005726D2">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F0E12" w:rsidRDefault="005726D2">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F0E12" w:rsidRDefault="005726D2">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BF0E12" w:rsidRDefault="005726D2">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2019</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交银现金宝货币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000710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2014</w:t>
            </w:r>
            <w:r w:rsidRPr="000E4C40">
              <w:rPr>
                <w:color w:val="000000"/>
                <w:kern w:val="0"/>
                <w:sz w:val="24"/>
              </w:rPr>
              <w:t>年</w:t>
            </w:r>
            <w:r w:rsidRPr="000E4C40">
              <w:rPr>
                <w:color w:val="000000"/>
                <w:kern w:val="0"/>
                <w:sz w:val="24"/>
              </w:rPr>
              <w:t>9</w:t>
            </w:r>
            <w:r w:rsidRPr="000E4C40">
              <w:rPr>
                <w:color w:val="000000"/>
                <w:kern w:val="0"/>
                <w:sz w:val="24"/>
              </w:rPr>
              <w:t>月</w:t>
            </w:r>
            <w:r w:rsidRPr="000E4C40">
              <w:rPr>
                <w:color w:val="000000"/>
                <w:kern w:val="0"/>
                <w:sz w:val="24"/>
              </w:rPr>
              <w:t>12</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7,379,172,940.36</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000710</w:t>
            </w:r>
          </w:p>
        </w:tc>
        <w:tc>
          <w:tcPr>
            <w:tcW w:w="2923" w:type="dxa"/>
            <w:vAlign w:val="center"/>
          </w:tcPr>
          <w:p w:rsidR="00A805BC" w:rsidRPr="000E4C40" w:rsidRDefault="00A805BC" w:rsidP="00281564">
            <w:pPr>
              <w:spacing w:before="29" w:line="288" w:lineRule="auto"/>
              <w:jc w:val="left"/>
              <w:rPr>
                <w:sz w:val="24"/>
              </w:rPr>
            </w:pPr>
            <w:r w:rsidRPr="000E4C40">
              <w:rPr>
                <w:sz w:val="24"/>
              </w:rPr>
              <w:t>002918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7,269,264,150.65</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109,908,789.71</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-2019</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31,280,914.01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2,792,955.73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31,280,914.01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2,792,955.73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7,269,264,150.65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109,908,789.71</w:t>
            </w:r>
          </w:p>
        </w:tc>
      </w:tr>
    </w:tbl>
    <w:p w:rsidR="00BF0E12" w:rsidRDefault="005726D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E</w:t>
      </w:r>
      <w:r>
        <w:rPr>
          <w:color w:val="000000"/>
          <w:sz w:val="24"/>
        </w:rPr>
        <w:t>类基金份额按新设基金计算；</w:t>
      </w:r>
    </w:p>
    <w:p w:rsidR="00893021" w:rsidRPr="000E4C40" w:rsidRDefault="005726D2" w:rsidP="00281564">
      <w:pPr>
        <w:autoSpaceDE w:val="0"/>
        <w:autoSpaceDN w:val="0"/>
        <w:adjustRightInd w:val="0"/>
        <w:spacing w:before="29" w:line="288" w:lineRule="auto"/>
        <w:jc w:val="left"/>
        <w:rPr>
          <w:color w:val="000000"/>
          <w:sz w:val="24"/>
        </w:rPr>
      </w:pPr>
      <w:r>
        <w:rPr>
          <w:rFonts w:hint="eastAsia"/>
          <w:color w:val="000000"/>
          <w:sz w:val="24"/>
        </w:rPr>
        <w:t xml:space="preserve">    </w:t>
      </w:r>
      <w:r w:rsidR="00893021" w:rsidRPr="000E4C40">
        <w:rPr>
          <w:color w:val="000000"/>
          <w:sz w:val="24"/>
        </w:rPr>
        <w:t>2</w:t>
      </w:r>
      <w:r w:rsidR="00893021"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交银现金宝货币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BF0E12">
        <w:trPr>
          <w:jc w:val="center"/>
        </w:trPr>
        <w:tc>
          <w:tcPr>
            <w:tcW w:w="1266" w:type="dxa"/>
            <w:vAlign w:val="center"/>
          </w:tcPr>
          <w:p w:rsidR="00BF0E12" w:rsidRDefault="005726D2">
            <w:pPr>
              <w:jc w:val="left"/>
            </w:pPr>
            <w:r>
              <w:rPr>
                <w:color w:val="000000"/>
              </w:rPr>
              <w:t>过去三个月</w:t>
            </w:r>
          </w:p>
        </w:tc>
        <w:tc>
          <w:tcPr>
            <w:tcW w:w="1267" w:type="dxa"/>
            <w:vAlign w:val="center"/>
          </w:tcPr>
          <w:p w:rsidR="00BF0E12" w:rsidRDefault="005726D2">
            <w:pPr>
              <w:jc w:val="center"/>
            </w:pPr>
            <w:r>
              <w:rPr>
                <w:color w:val="000000"/>
              </w:rPr>
              <w:t>0.6341%</w:t>
            </w:r>
          </w:p>
        </w:tc>
        <w:tc>
          <w:tcPr>
            <w:tcW w:w="1267" w:type="dxa"/>
            <w:vAlign w:val="center"/>
          </w:tcPr>
          <w:p w:rsidR="00BF0E12" w:rsidRDefault="005726D2">
            <w:pPr>
              <w:jc w:val="center"/>
            </w:pPr>
            <w:r>
              <w:rPr>
                <w:color w:val="000000"/>
              </w:rPr>
              <w:t>0.0027%</w:t>
            </w:r>
          </w:p>
        </w:tc>
        <w:tc>
          <w:tcPr>
            <w:tcW w:w="1267" w:type="dxa"/>
            <w:vAlign w:val="center"/>
          </w:tcPr>
          <w:p w:rsidR="00BF0E12" w:rsidRDefault="005726D2">
            <w:pPr>
              <w:jc w:val="center"/>
            </w:pPr>
            <w:r>
              <w:rPr>
                <w:color w:val="000000"/>
              </w:rPr>
              <w:t>0.0863%</w:t>
            </w:r>
          </w:p>
        </w:tc>
        <w:tc>
          <w:tcPr>
            <w:tcW w:w="1267" w:type="dxa"/>
            <w:vAlign w:val="center"/>
          </w:tcPr>
          <w:p w:rsidR="00BF0E12" w:rsidRDefault="005726D2">
            <w:pPr>
              <w:jc w:val="center"/>
            </w:pPr>
            <w:r>
              <w:rPr>
                <w:color w:val="000000"/>
              </w:rPr>
              <w:t>0.0000%</w:t>
            </w:r>
          </w:p>
        </w:tc>
        <w:tc>
          <w:tcPr>
            <w:tcW w:w="1267" w:type="dxa"/>
            <w:vAlign w:val="center"/>
          </w:tcPr>
          <w:p w:rsidR="00BF0E12" w:rsidRDefault="005726D2">
            <w:pPr>
              <w:jc w:val="center"/>
            </w:pPr>
            <w:r>
              <w:rPr>
                <w:color w:val="000000"/>
              </w:rPr>
              <w:t>0.5478%</w:t>
            </w:r>
          </w:p>
        </w:tc>
        <w:tc>
          <w:tcPr>
            <w:tcW w:w="1267" w:type="dxa"/>
            <w:vAlign w:val="center"/>
          </w:tcPr>
          <w:p w:rsidR="00BF0E12" w:rsidRDefault="005726D2">
            <w:pPr>
              <w:jc w:val="center"/>
            </w:pPr>
            <w:r>
              <w:rPr>
                <w:color w:val="000000"/>
              </w:rPr>
              <w:t>0.0027%</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交银现金宝货币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BF0E12">
        <w:trPr>
          <w:jc w:val="center"/>
        </w:trPr>
        <w:tc>
          <w:tcPr>
            <w:tcW w:w="1266" w:type="dxa"/>
            <w:vAlign w:val="center"/>
          </w:tcPr>
          <w:p w:rsidR="00BF0E12" w:rsidRDefault="005726D2">
            <w:pPr>
              <w:jc w:val="left"/>
            </w:pPr>
            <w:r>
              <w:rPr>
                <w:color w:val="000000"/>
              </w:rPr>
              <w:t>过去三个月</w:t>
            </w:r>
          </w:p>
        </w:tc>
        <w:tc>
          <w:tcPr>
            <w:tcW w:w="1267" w:type="dxa"/>
            <w:vAlign w:val="center"/>
          </w:tcPr>
          <w:p w:rsidR="00BF0E12" w:rsidRDefault="005726D2">
            <w:pPr>
              <w:jc w:val="center"/>
            </w:pPr>
            <w:r>
              <w:rPr>
                <w:color w:val="000000"/>
              </w:rPr>
              <w:t>0.6914%</w:t>
            </w:r>
          </w:p>
        </w:tc>
        <w:tc>
          <w:tcPr>
            <w:tcW w:w="1267" w:type="dxa"/>
            <w:vAlign w:val="center"/>
          </w:tcPr>
          <w:p w:rsidR="00BF0E12" w:rsidRDefault="005726D2">
            <w:pPr>
              <w:jc w:val="center"/>
            </w:pPr>
            <w:r>
              <w:rPr>
                <w:color w:val="000000"/>
              </w:rPr>
              <w:t>0.0027%</w:t>
            </w:r>
          </w:p>
        </w:tc>
        <w:tc>
          <w:tcPr>
            <w:tcW w:w="1267" w:type="dxa"/>
            <w:vAlign w:val="center"/>
          </w:tcPr>
          <w:p w:rsidR="00BF0E12" w:rsidRDefault="005726D2">
            <w:pPr>
              <w:jc w:val="center"/>
            </w:pPr>
            <w:r>
              <w:rPr>
                <w:color w:val="000000"/>
              </w:rPr>
              <w:t>0.0863%</w:t>
            </w:r>
          </w:p>
        </w:tc>
        <w:tc>
          <w:tcPr>
            <w:tcW w:w="1267" w:type="dxa"/>
            <w:vAlign w:val="center"/>
          </w:tcPr>
          <w:p w:rsidR="00BF0E12" w:rsidRDefault="005726D2">
            <w:pPr>
              <w:jc w:val="center"/>
            </w:pPr>
            <w:r>
              <w:rPr>
                <w:color w:val="000000"/>
              </w:rPr>
              <w:t>0.0000%</w:t>
            </w:r>
          </w:p>
        </w:tc>
        <w:tc>
          <w:tcPr>
            <w:tcW w:w="1267" w:type="dxa"/>
            <w:vAlign w:val="center"/>
          </w:tcPr>
          <w:p w:rsidR="00BF0E12" w:rsidRDefault="005726D2">
            <w:pPr>
              <w:jc w:val="center"/>
            </w:pPr>
            <w:r>
              <w:rPr>
                <w:color w:val="000000"/>
              </w:rPr>
              <w:t>0.6051%</w:t>
            </w:r>
          </w:p>
        </w:tc>
        <w:tc>
          <w:tcPr>
            <w:tcW w:w="1267" w:type="dxa"/>
            <w:vAlign w:val="center"/>
          </w:tcPr>
          <w:p w:rsidR="00BF0E12" w:rsidRDefault="005726D2">
            <w:pPr>
              <w:jc w:val="center"/>
            </w:pPr>
            <w:r>
              <w:rPr>
                <w:color w:val="000000"/>
              </w:rPr>
              <w:t>0.0027%</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交银施罗德现金宝货币市场基金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2014</w:t>
      </w:r>
      <w:r w:rsidR="00D87D00" w:rsidRPr="000E4C40">
        <w:rPr>
          <w:color w:val="000000"/>
          <w:kern w:val="0"/>
          <w:sz w:val="24"/>
        </w:rPr>
        <w:t>年</w:t>
      </w:r>
      <w:r w:rsidR="00D87D00" w:rsidRPr="000E4C40">
        <w:rPr>
          <w:color w:val="000000"/>
          <w:kern w:val="0"/>
          <w:sz w:val="24"/>
        </w:rPr>
        <w:t>9</w:t>
      </w:r>
      <w:r w:rsidR="00D87D00" w:rsidRPr="000E4C40">
        <w:rPr>
          <w:color w:val="000000"/>
          <w:kern w:val="0"/>
          <w:sz w:val="24"/>
        </w:rPr>
        <w:t>月</w:t>
      </w:r>
      <w:r w:rsidR="00D87D00" w:rsidRPr="000E4C40">
        <w:rPr>
          <w:color w:val="000000"/>
          <w:kern w:val="0"/>
          <w:sz w:val="24"/>
        </w:rPr>
        <w:t>12</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2019</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交银现金宝货币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12</w:t>
      </w:r>
      <w:r w:rsidRPr="000E4C40">
        <w:rPr>
          <w:color w:val="000000"/>
          <w:sz w:val="24"/>
        </w:rPr>
        <w:t>日至</w:t>
      </w:r>
      <w:r w:rsidRPr="000E4C40">
        <w:rPr>
          <w:color w:val="000000"/>
          <w:sz w:val="24"/>
        </w:rPr>
        <w:t>2019</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交银现金宝货币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注：本基金自</w:t>
      </w:r>
      <w:r w:rsidRPr="000E4C40">
        <w:rPr>
          <w:color w:val="000000"/>
          <w:sz w:val="24"/>
        </w:rPr>
        <w:t>2016</w:t>
      </w:r>
      <w:r w:rsidRPr="000E4C40">
        <w:rPr>
          <w:color w:val="000000"/>
          <w:sz w:val="24"/>
        </w:rPr>
        <w:t>年</w:t>
      </w:r>
      <w:r w:rsidRPr="000E4C40">
        <w:rPr>
          <w:color w:val="000000"/>
          <w:sz w:val="24"/>
        </w:rPr>
        <w:t>8</w:t>
      </w:r>
      <w:r w:rsidRPr="000E4C40">
        <w:rPr>
          <w:color w:val="000000"/>
          <w:sz w:val="24"/>
        </w:rPr>
        <w:t>月</w:t>
      </w:r>
      <w:r w:rsidRPr="000E4C40">
        <w:rPr>
          <w:color w:val="000000"/>
          <w:sz w:val="24"/>
        </w:rPr>
        <w:t>15</w:t>
      </w:r>
      <w:r w:rsidRPr="000E4C40">
        <w:rPr>
          <w:color w:val="000000"/>
          <w:sz w:val="24"/>
        </w:rPr>
        <w:t>日起，开始销售</w:t>
      </w:r>
      <w:r w:rsidRPr="000E4C40">
        <w:rPr>
          <w:color w:val="000000"/>
          <w:sz w:val="24"/>
        </w:rPr>
        <w:t>E</w:t>
      </w:r>
      <w:r w:rsidRPr="000E4C40">
        <w:rPr>
          <w:color w:val="000000"/>
          <w:sz w:val="24"/>
        </w:rPr>
        <w:t>类份额，投资者提交的申购申请于</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日被确认并将有效份额登记在册。图示日期为</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日至</w:t>
      </w:r>
      <w:r w:rsidRPr="000E4C40">
        <w:rPr>
          <w:color w:val="000000"/>
          <w:sz w:val="24"/>
        </w:rPr>
        <w:t>2019</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BF0E12">
        <w:trPr>
          <w:jc w:val="center"/>
        </w:trPr>
        <w:tc>
          <w:tcPr>
            <w:tcW w:w="945" w:type="dxa"/>
            <w:vAlign w:val="center"/>
          </w:tcPr>
          <w:p w:rsidR="00BF0E12" w:rsidRDefault="005726D2">
            <w:pPr>
              <w:jc w:val="center"/>
            </w:pPr>
            <w:r>
              <w:rPr>
                <w:color w:val="000000"/>
                <w:sz w:val="24"/>
              </w:rPr>
              <w:t>黄莹洁</w:t>
            </w:r>
          </w:p>
        </w:tc>
        <w:tc>
          <w:tcPr>
            <w:tcW w:w="1589" w:type="dxa"/>
            <w:vAlign w:val="center"/>
          </w:tcPr>
          <w:p w:rsidR="00BF0E12" w:rsidRDefault="005726D2">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478" w:type="dxa"/>
            <w:vAlign w:val="center"/>
          </w:tcPr>
          <w:p w:rsidR="00BF0E12" w:rsidRDefault="005726D2">
            <w:pPr>
              <w:jc w:val="center"/>
            </w:pPr>
            <w:r>
              <w:rPr>
                <w:color w:val="000000"/>
                <w:sz w:val="24"/>
              </w:rPr>
              <w:t>2015-05-27</w:t>
            </w:r>
          </w:p>
        </w:tc>
        <w:tc>
          <w:tcPr>
            <w:tcW w:w="1478" w:type="dxa"/>
            <w:vAlign w:val="center"/>
          </w:tcPr>
          <w:p w:rsidR="00BF0E12" w:rsidRDefault="005726D2">
            <w:pPr>
              <w:jc w:val="center"/>
            </w:pPr>
            <w:r>
              <w:rPr>
                <w:color w:val="000000"/>
                <w:sz w:val="24"/>
              </w:rPr>
              <w:t>-</w:t>
            </w:r>
          </w:p>
        </w:tc>
        <w:tc>
          <w:tcPr>
            <w:tcW w:w="986" w:type="dxa"/>
            <w:vAlign w:val="center"/>
          </w:tcPr>
          <w:p w:rsidR="00BF0E12" w:rsidRDefault="005726D2">
            <w:pPr>
              <w:jc w:val="center"/>
            </w:pPr>
            <w:r>
              <w:rPr>
                <w:color w:val="000000"/>
                <w:sz w:val="24"/>
              </w:rPr>
              <w:t>11</w:t>
            </w:r>
            <w:r>
              <w:rPr>
                <w:color w:val="000000"/>
                <w:sz w:val="24"/>
              </w:rPr>
              <w:t>年</w:t>
            </w:r>
          </w:p>
        </w:tc>
        <w:tc>
          <w:tcPr>
            <w:tcW w:w="2392" w:type="dxa"/>
            <w:vAlign w:val="center"/>
          </w:tcPr>
          <w:p w:rsidR="00BF0E12" w:rsidRDefault="005726D2">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p w:rsidR="00BF0E12" w:rsidRDefault="00BF0E12"/>
        </w:tc>
      </w:tr>
      <w:tr w:rsidR="00BF0E12">
        <w:trPr>
          <w:jc w:val="center"/>
        </w:trPr>
        <w:tc>
          <w:tcPr>
            <w:tcW w:w="945" w:type="dxa"/>
            <w:vAlign w:val="center"/>
          </w:tcPr>
          <w:p w:rsidR="00BF0E12" w:rsidRDefault="005726D2">
            <w:pPr>
              <w:jc w:val="center"/>
            </w:pPr>
            <w:r>
              <w:rPr>
                <w:color w:val="000000"/>
                <w:sz w:val="24"/>
              </w:rPr>
              <w:t>连端清</w:t>
            </w:r>
          </w:p>
        </w:tc>
        <w:tc>
          <w:tcPr>
            <w:tcW w:w="1589" w:type="dxa"/>
            <w:vAlign w:val="center"/>
          </w:tcPr>
          <w:p w:rsidR="00BF0E12" w:rsidRDefault="005726D2">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478" w:type="dxa"/>
            <w:vAlign w:val="center"/>
          </w:tcPr>
          <w:p w:rsidR="00BF0E12" w:rsidRDefault="005726D2">
            <w:pPr>
              <w:jc w:val="center"/>
            </w:pPr>
            <w:r>
              <w:rPr>
                <w:color w:val="000000"/>
                <w:sz w:val="24"/>
              </w:rPr>
              <w:t>2015-08-04</w:t>
            </w:r>
          </w:p>
        </w:tc>
        <w:tc>
          <w:tcPr>
            <w:tcW w:w="1478" w:type="dxa"/>
            <w:vAlign w:val="center"/>
          </w:tcPr>
          <w:p w:rsidR="00BF0E12" w:rsidRDefault="005726D2">
            <w:pPr>
              <w:jc w:val="center"/>
            </w:pPr>
            <w:r>
              <w:rPr>
                <w:color w:val="000000"/>
                <w:sz w:val="24"/>
              </w:rPr>
              <w:t>-</w:t>
            </w:r>
          </w:p>
        </w:tc>
        <w:tc>
          <w:tcPr>
            <w:tcW w:w="986" w:type="dxa"/>
            <w:vAlign w:val="center"/>
          </w:tcPr>
          <w:p w:rsidR="00BF0E12" w:rsidRDefault="005726D2">
            <w:pPr>
              <w:jc w:val="center"/>
            </w:pPr>
            <w:r>
              <w:rPr>
                <w:color w:val="000000"/>
                <w:sz w:val="24"/>
              </w:rPr>
              <w:t>6</w:t>
            </w:r>
            <w:r>
              <w:rPr>
                <w:color w:val="000000"/>
                <w:sz w:val="24"/>
              </w:rPr>
              <w:t>年</w:t>
            </w:r>
          </w:p>
        </w:tc>
        <w:tc>
          <w:tcPr>
            <w:tcW w:w="2392" w:type="dxa"/>
            <w:vAlign w:val="center"/>
          </w:tcPr>
          <w:p w:rsidR="00BF0E12" w:rsidRDefault="005726D2">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BF0E12" w:rsidRDefault="005726D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BF0E12" w:rsidRDefault="005726D2">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BF0E12" w:rsidRDefault="005726D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F0E12" w:rsidRDefault="005726D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F0E12" w:rsidRDefault="005726D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BF0E12" w:rsidRDefault="005726D2">
      <w:pPr>
        <w:spacing w:before="29" w:line="288" w:lineRule="auto"/>
        <w:ind w:firstLineChars="200" w:firstLine="480"/>
        <w:rPr>
          <w:color w:val="000000"/>
          <w:sz w:val="24"/>
        </w:rPr>
      </w:pPr>
      <w:r>
        <w:rPr>
          <w:color w:val="000000"/>
          <w:sz w:val="24"/>
        </w:rPr>
        <w:t>本报告期内，国内经济下行风险降低，部分经济金融数据企稳，通胀走高的担忧加剧。权益类资产的表现优于债券类资产，货币基金的收益率在短端利率的下行中进一步走低。具体看来，一、二月人民币新增贷款</w:t>
      </w:r>
      <w:r>
        <w:rPr>
          <w:color w:val="000000"/>
          <w:sz w:val="24"/>
        </w:rPr>
        <w:t>41158</w:t>
      </w:r>
      <w:r>
        <w:rPr>
          <w:color w:val="000000"/>
          <w:sz w:val="24"/>
        </w:rPr>
        <w:t>亿元，社会融资增速在此基础上有望企稳。非洲猪瘟的爆发使得本轮猪周期提前到来，猪肉价格在一季度大幅增长，市场预期</w:t>
      </w:r>
      <w:r>
        <w:rPr>
          <w:color w:val="000000"/>
          <w:sz w:val="24"/>
        </w:rPr>
        <w:t>CPI</w:t>
      </w:r>
      <w:r>
        <w:rPr>
          <w:color w:val="000000"/>
          <w:sz w:val="24"/>
        </w:rPr>
        <w:t>在未来回到</w:t>
      </w:r>
      <w:r>
        <w:rPr>
          <w:color w:val="000000"/>
          <w:sz w:val="24"/>
        </w:rPr>
        <w:t>2.0%</w:t>
      </w:r>
      <w:r>
        <w:rPr>
          <w:color w:val="000000"/>
          <w:sz w:val="24"/>
        </w:rPr>
        <w:t>上方，债券也由此在一季度步入盘整态势。外贸方面，中美的贸易谈判还在继续中，美国等发达经济体增速放缓，一、二月我国进出口增速波动较大。货币政策方面，美联储在三月的会议纪要偏鸽派，且在点阵图指引中将</w:t>
      </w:r>
      <w:r>
        <w:rPr>
          <w:color w:val="000000"/>
          <w:sz w:val="24"/>
        </w:rPr>
        <w:t>2019</w:t>
      </w:r>
      <w:r>
        <w:rPr>
          <w:color w:val="000000"/>
          <w:sz w:val="24"/>
        </w:rPr>
        <w:t>年的加息次数调整为</w:t>
      </w:r>
      <w:r>
        <w:rPr>
          <w:color w:val="000000"/>
          <w:sz w:val="24"/>
        </w:rPr>
        <w:t>0</w:t>
      </w:r>
      <w:r>
        <w:rPr>
          <w:color w:val="000000"/>
          <w:sz w:val="24"/>
        </w:rPr>
        <w:t>，市场进一步预期美联储将开始降息操作。同时央行在一月调降存款准备金率</w:t>
      </w:r>
      <w:r>
        <w:rPr>
          <w:color w:val="000000"/>
          <w:sz w:val="24"/>
        </w:rPr>
        <w:t>100bps</w:t>
      </w:r>
      <w:r>
        <w:rPr>
          <w:color w:val="000000"/>
          <w:sz w:val="24"/>
        </w:rPr>
        <w:t>，以对冲一季度的</w:t>
      </w:r>
      <w:r>
        <w:rPr>
          <w:color w:val="000000"/>
          <w:sz w:val="24"/>
        </w:rPr>
        <w:t>MLF</w:t>
      </w:r>
      <w:r>
        <w:rPr>
          <w:color w:val="000000"/>
          <w:sz w:val="24"/>
        </w:rPr>
        <w:t>到期，继续保持稳健偏宽松的态度。在降准的帮助下，货币市场资金在一季度保持了宽裕的状态，银行间隔夜利率基本在</w:t>
      </w:r>
      <w:r>
        <w:rPr>
          <w:color w:val="000000"/>
          <w:sz w:val="24"/>
        </w:rPr>
        <w:t>2.0-2.7%</w:t>
      </w:r>
      <w:r>
        <w:rPr>
          <w:color w:val="000000"/>
          <w:sz w:val="24"/>
        </w:rPr>
        <w:t>之间，七天和隔夜的利差进一步压缩至</w:t>
      </w:r>
      <w:r>
        <w:rPr>
          <w:color w:val="000000"/>
          <w:sz w:val="24"/>
        </w:rPr>
        <w:t>10-20bps</w:t>
      </w:r>
      <w:r>
        <w:rPr>
          <w:color w:val="000000"/>
          <w:sz w:val="24"/>
        </w:rPr>
        <w:t>。银行存单市场在三月上行并不明显，</w:t>
      </w:r>
      <w:r>
        <w:rPr>
          <w:color w:val="000000"/>
          <w:sz w:val="24"/>
        </w:rPr>
        <w:t>AAA</w:t>
      </w:r>
      <w:r>
        <w:rPr>
          <w:color w:val="000000"/>
          <w:sz w:val="24"/>
        </w:rPr>
        <w:t>评级的三个月存单在</w:t>
      </w:r>
      <w:r>
        <w:rPr>
          <w:color w:val="000000"/>
          <w:sz w:val="24"/>
        </w:rPr>
        <w:t>2.80-2.95%</w:t>
      </w:r>
      <w:r>
        <w:rPr>
          <w:color w:val="000000"/>
          <w:sz w:val="24"/>
        </w:rPr>
        <w:t>之间窄幅震荡。报告期内，三个月上海银行间拆借利率下行</w:t>
      </w:r>
      <w:r>
        <w:rPr>
          <w:color w:val="000000"/>
          <w:sz w:val="24"/>
        </w:rPr>
        <w:t>55BP</w:t>
      </w:r>
      <w:r>
        <w:rPr>
          <w:color w:val="000000"/>
          <w:sz w:val="24"/>
        </w:rPr>
        <w:t>到</w:t>
      </w:r>
      <w:r>
        <w:rPr>
          <w:color w:val="000000"/>
          <w:sz w:val="24"/>
        </w:rPr>
        <w:t>2.80%</w:t>
      </w:r>
      <w:r>
        <w:rPr>
          <w:color w:val="000000"/>
          <w:sz w:val="24"/>
        </w:rPr>
        <w:t>。</w:t>
      </w:r>
    </w:p>
    <w:p w:rsidR="00BF0E12" w:rsidRDefault="005726D2">
      <w:pPr>
        <w:spacing w:before="29" w:line="288" w:lineRule="auto"/>
        <w:ind w:firstLineChars="200" w:firstLine="480"/>
        <w:rPr>
          <w:color w:val="000000"/>
          <w:sz w:val="24"/>
        </w:rPr>
      </w:pPr>
      <w:r>
        <w:rPr>
          <w:color w:val="000000"/>
          <w:sz w:val="24"/>
        </w:rPr>
        <w:t>基金操作方面，多投资于收益风险偏优的银行存款与存单等，组合整体流动性良好。三月末我们视组合流动性和市场情况，适当增加了杠杆水平，增配了高评级的同业存单、存款和超短融等，维持组合收益水平。</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2019</w:t>
      </w:r>
      <w:r w:rsidRPr="000E4C40">
        <w:rPr>
          <w:color w:val="000000"/>
          <w:sz w:val="24"/>
        </w:rPr>
        <w:t>年二季度，我们将关注风险资产特别是股市在二季度的表现和其溢出效应，警惕中美贸易谈判可能出现的超预期影响，继续观察银行理财子公司的发展以及类货币型理财产品对行业生态的影响。我们认为，海外货币政策的逐步宽松，将打开国内政策的操作空间，货币政策应该会延续稳健宽松的状态，财政政策将会更加积极。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3,336,397,251.79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38.85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3,276,397,251.79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38.15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60,000,000.00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0.70</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533,161,359.74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6.21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4,702,882,033.12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54.77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14,788,010.56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0.17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8,587,228,655.21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887D14" w:rsidP="00281564">
            <w:pPr>
              <w:spacing w:before="29" w:line="288" w:lineRule="auto"/>
              <w:jc w:val="right"/>
              <w:rPr>
                <w:sz w:val="24"/>
              </w:rPr>
            </w:pPr>
            <w:r w:rsidRPr="00887D14">
              <w:rPr>
                <w:sz w:val="24"/>
              </w:rPr>
              <w:t>7.04</w:t>
            </w:r>
            <w:bookmarkStart w:id="2" w:name="_GoBack"/>
            <w:bookmarkEnd w:id="2"/>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1,202,970,398.51</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16.30</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116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37</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11.74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16.30</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3.11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47.06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54.27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116.17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16.30</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129,471,037.14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1.75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270,478,688.33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3.67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270,478,688.33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3.67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610,003,011.50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8.27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2,266,444,514.82</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30.71</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3,276,397,251.79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44.40</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91"/>
        <w:gridCol w:w="1288"/>
        <w:gridCol w:w="2007"/>
        <w:gridCol w:w="1211"/>
        <w:gridCol w:w="2095"/>
        <w:gridCol w:w="1376"/>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BF0E12">
        <w:trPr>
          <w:jc w:val="center"/>
        </w:trPr>
        <w:tc>
          <w:tcPr>
            <w:tcW w:w="0" w:type="auto"/>
            <w:vAlign w:val="center"/>
          </w:tcPr>
          <w:p w:rsidR="00BF0E12" w:rsidRDefault="005726D2">
            <w:pPr>
              <w:jc w:val="center"/>
            </w:pPr>
            <w:r>
              <w:rPr>
                <w:color w:val="000000"/>
                <w:sz w:val="24"/>
              </w:rPr>
              <w:t>1</w:t>
            </w:r>
          </w:p>
        </w:tc>
        <w:tc>
          <w:tcPr>
            <w:tcW w:w="0" w:type="auto"/>
            <w:vAlign w:val="center"/>
          </w:tcPr>
          <w:p w:rsidR="00BF0E12" w:rsidRDefault="005726D2">
            <w:pPr>
              <w:jc w:val="center"/>
            </w:pPr>
            <w:r>
              <w:rPr>
                <w:color w:val="000000"/>
                <w:sz w:val="24"/>
              </w:rPr>
              <w:t>111819498</w:t>
            </w:r>
          </w:p>
        </w:tc>
        <w:tc>
          <w:tcPr>
            <w:tcW w:w="0" w:type="auto"/>
            <w:vAlign w:val="center"/>
          </w:tcPr>
          <w:p w:rsidR="00BF0E12" w:rsidRDefault="005726D2">
            <w:pPr>
              <w:jc w:val="center"/>
            </w:pPr>
            <w:r>
              <w:rPr>
                <w:color w:val="000000"/>
                <w:sz w:val="24"/>
              </w:rPr>
              <w:t>18</w:t>
            </w:r>
            <w:r>
              <w:rPr>
                <w:color w:val="000000"/>
                <w:sz w:val="24"/>
              </w:rPr>
              <w:t>恒丰银行</w:t>
            </w:r>
            <w:r>
              <w:rPr>
                <w:color w:val="000000"/>
                <w:sz w:val="24"/>
              </w:rPr>
              <w:t>CD498</w:t>
            </w:r>
          </w:p>
        </w:tc>
        <w:tc>
          <w:tcPr>
            <w:tcW w:w="0" w:type="auto"/>
            <w:vAlign w:val="center"/>
          </w:tcPr>
          <w:p w:rsidR="00BF0E12" w:rsidRDefault="005726D2">
            <w:pPr>
              <w:jc w:val="right"/>
            </w:pPr>
            <w:r>
              <w:rPr>
                <w:color w:val="000000"/>
                <w:sz w:val="24"/>
              </w:rPr>
              <w:t>1,500,000</w:t>
            </w:r>
          </w:p>
        </w:tc>
        <w:tc>
          <w:tcPr>
            <w:tcW w:w="0" w:type="auto"/>
            <w:vAlign w:val="center"/>
          </w:tcPr>
          <w:p w:rsidR="00BF0E12" w:rsidRDefault="005726D2">
            <w:pPr>
              <w:jc w:val="right"/>
            </w:pPr>
            <w:r>
              <w:rPr>
                <w:color w:val="000000"/>
                <w:sz w:val="24"/>
              </w:rPr>
              <w:t>148,976,804.48</w:t>
            </w:r>
          </w:p>
        </w:tc>
        <w:tc>
          <w:tcPr>
            <w:tcW w:w="0" w:type="auto"/>
            <w:vAlign w:val="center"/>
          </w:tcPr>
          <w:p w:rsidR="00BF0E12" w:rsidRDefault="005726D2">
            <w:pPr>
              <w:jc w:val="right"/>
            </w:pPr>
            <w:r>
              <w:rPr>
                <w:color w:val="000000"/>
                <w:sz w:val="24"/>
              </w:rPr>
              <w:t>2.02</w:t>
            </w:r>
          </w:p>
        </w:tc>
      </w:tr>
      <w:tr w:rsidR="00BF0E12">
        <w:trPr>
          <w:jc w:val="center"/>
        </w:trPr>
        <w:tc>
          <w:tcPr>
            <w:tcW w:w="0" w:type="auto"/>
            <w:vAlign w:val="center"/>
          </w:tcPr>
          <w:p w:rsidR="00BF0E12" w:rsidRDefault="005726D2">
            <w:pPr>
              <w:jc w:val="center"/>
            </w:pPr>
            <w:r>
              <w:rPr>
                <w:color w:val="000000"/>
                <w:sz w:val="24"/>
              </w:rPr>
              <w:t>2</w:t>
            </w:r>
          </w:p>
        </w:tc>
        <w:tc>
          <w:tcPr>
            <w:tcW w:w="0" w:type="auto"/>
            <w:vAlign w:val="center"/>
          </w:tcPr>
          <w:p w:rsidR="00BF0E12" w:rsidRDefault="005726D2">
            <w:pPr>
              <w:jc w:val="center"/>
            </w:pPr>
            <w:r>
              <w:rPr>
                <w:color w:val="000000"/>
                <w:sz w:val="24"/>
              </w:rPr>
              <w:t>180410</w:t>
            </w:r>
          </w:p>
        </w:tc>
        <w:tc>
          <w:tcPr>
            <w:tcW w:w="0" w:type="auto"/>
            <w:vAlign w:val="center"/>
          </w:tcPr>
          <w:p w:rsidR="00BF0E12" w:rsidRDefault="005726D2">
            <w:pPr>
              <w:jc w:val="center"/>
            </w:pPr>
            <w:r>
              <w:rPr>
                <w:color w:val="000000"/>
                <w:sz w:val="24"/>
              </w:rPr>
              <w:t>18</w:t>
            </w:r>
            <w:r>
              <w:rPr>
                <w:color w:val="000000"/>
                <w:sz w:val="24"/>
              </w:rPr>
              <w:t>农发</w:t>
            </w:r>
            <w:r>
              <w:rPr>
                <w:color w:val="000000"/>
                <w:sz w:val="24"/>
              </w:rPr>
              <w:t>10</w:t>
            </w:r>
          </w:p>
        </w:tc>
        <w:tc>
          <w:tcPr>
            <w:tcW w:w="0" w:type="auto"/>
            <w:vAlign w:val="center"/>
          </w:tcPr>
          <w:p w:rsidR="00BF0E12" w:rsidRDefault="005726D2">
            <w:pPr>
              <w:jc w:val="right"/>
            </w:pPr>
            <w:r>
              <w:rPr>
                <w:color w:val="000000"/>
                <w:sz w:val="24"/>
              </w:rPr>
              <w:t>1,000,000</w:t>
            </w:r>
          </w:p>
        </w:tc>
        <w:tc>
          <w:tcPr>
            <w:tcW w:w="0" w:type="auto"/>
            <w:vAlign w:val="center"/>
          </w:tcPr>
          <w:p w:rsidR="00BF0E12" w:rsidRDefault="005726D2">
            <w:pPr>
              <w:jc w:val="right"/>
            </w:pPr>
            <w:r>
              <w:rPr>
                <w:color w:val="000000"/>
                <w:sz w:val="24"/>
              </w:rPr>
              <w:t>100,118,167.05</w:t>
            </w:r>
          </w:p>
        </w:tc>
        <w:tc>
          <w:tcPr>
            <w:tcW w:w="0" w:type="auto"/>
            <w:vAlign w:val="center"/>
          </w:tcPr>
          <w:p w:rsidR="00BF0E12" w:rsidRDefault="005726D2">
            <w:pPr>
              <w:jc w:val="right"/>
            </w:pPr>
            <w:r>
              <w:rPr>
                <w:color w:val="000000"/>
                <w:sz w:val="24"/>
              </w:rPr>
              <w:t>1.36</w:t>
            </w:r>
          </w:p>
        </w:tc>
      </w:tr>
      <w:tr w:rsidR="00BF0E12">
        <w:trPr>
          <w:jc w:val="center"/>
        </w:trPr>
        <w:tc>
          <w:tcPr>
            <w:tcW w:w="0" w:type="auto"/>
            <w:vAlign w:val="center"/>
          </w:tcPr>
          <w:p w:rsidR="00BF0E12" w:rsidRDefault="005726D2">
            <w:pPr>
              <w:jc w:val="center"/>
            </w:pPr>
            <w:r>
              <w:rPr>
                <w:color w:val="000000"/>
                <w:sz w:val="24"/>
              </w:rPr>
              <w:t>3</w:t>
            </w:r>
          </w:p>
        </w:tc>
        <w:tc>
          <w:tcPr>
            <w:tcW w:w="0" w:type="auto"/>
            <w:vAlign w:val="center"/>
          </w:tcPr>
          <w:p w:rsidR="00BF0E12" w:rsidRDefault="005726D2">
            <w:pPr>
              <w:jc w:val="center"/>
            </w:pPr>
            <w:r>
              <w:rPr>
                <w:color w:val="000000"/>
                <w:sz w:val="24"/>
              </w:rPr>
              <w:t>011900728</w:t>
            </w:r>
          </w:p>
        </w:tc>
        <w:tc>
          <w:tcPr>
            <w:tcW w:w="0" w:type="auto"/>
            <w:vAlign w:val="center"/>
          </w:tcPr>
          <w:p w:rsidR="00BF0E12" w:rsidRDefault="005726D2">
            <w:pPr>
              <w:jc w:val="center"/>
            </w:pPr>
            <w:r>
              <w:rPr>
                <w:color w:val="000000"/>
                <w:sz w:val="24"/>
              </w:rPr>
              <w:t>19</w:t>
            </w:r>
            <w:r>
              <w:rPr>
                <w:color w:val="000000"/>
                <w:sz w:val="24"/>
              </w:rPr>
              <w:t>南电</w:t>
            </w:r>
            <w:r>
              <w:rPr>
                <w:color w:val="000000"/>
                <w:sz w:val="24"/>
              </w:rPr>
              <w:t>SCP014</w:t>
            </w:r>
          </w:p>
        </w:tc>
        <w:tc>
          <w:tcPr>
            <w:tcW w:w="0" w:type="auto"/>
            <w:vAlign w:val="center"/>
          </w:tcPr>
          <w:p w:rsidR="00BF0E12" w:rsidRDefault="005726D2">
            <w:pPr>
              <w:jc w:val="right"/>
            </w:pPr>
            <w:r>
              <w:rPr>
                <w:color w:val="000000"/>
                <w:sz w:val="24"/>
              </w:rPr>
              <w:t>1,000,000</w:t>
            </w:r>
          </w:p>
        </w:tc>
        <w:tc>
          <w:tcPr>
            <w:tcW w:w="0" w:type="auto"/>
            <w:vAlign w:val="center"/>
          </w:tcPr>
          <w:p w:rsidR="00BF0E12" w:rsidRDefault="005726D2">
            <w:pPr>
              <w:jc w:val="right"/>
            </w:pPr>
            <w:r>
              <w:rPr>
                <w:color w:val="000000"/>
                <w:sz w:val="24"/>
              </w:rPr>
              <w:t>100,000,141.71</w:t>
            </w:r>
          </w:p>
        </w:tc>
        <w:tc>
          <w:tcPr>
            <w:tcW w:w="0" w:type="auto"/>
            <w:vAlign w:val="center"/>
          </w:tcPr>
          <w:p w:rsidR="00BF0E12" w:rsidRDefault="005726D2">
            <w:pPr>
              <w:jc w:val="right"/>
            </w:pPr>
            <w:r>
              <w:rPr>
                <w:color w:val="000000"/>
                <w:sz w:val="24"/>
              </w:rPr>
              <w:t>1.36</w:t>
            </w:r>
          </w:p>
        </w:tc>
      </w:tr>
      <w:tr w:rsidR="00BF0E12">
        <w:trPr>
          <w:jc w:val="center"/>
        </w:trPr>
        <w:tc>
          <w:tcPr>
            <w:tcW w:w="0" w:type="auto"/>
            <w:vAlign w:val="center"/>
          </w:tcPr>
          <w:p w:rsidR="00BF0E12" w:rsidRDefault="005726D2">
            <w:pPr>
              <w:jc w:val="center"/>
            </w:pPr>
            <w:r>
              <w:rPr>
                <w:color w:val="000000"/>
                <w:sz w:val="24"/>
              </w:rPr>
              <w:t>4</w:t>
            </w:r>
          </w:p>
        </w:tc>
        <w:tc>
          <w:tcPr>
            <w:tcW w:w="0" w:type="auto"/>
            <w:vAlign w:val="center"/>
          </w:tcPr>
          <w:p w:rsidR="00BF0E12" w:rsidRDefault="005726D2">
            <w:pPr>
              <w:jc w:val="center"/>
            </w:pPr>
            <w:r>
              <w:rPr>
                <w:color w:val="000000"/>
                <w:sz w:val="24"/>
              </w:rPr>
              <w:t>111819480</w:t>
            </w:r>
          </w:p>
        </w:tc>
        <w:tc>
          <w:tcPr>
            <w:tcW w:w="0" w:type="auto"/>
            <w:vAlign w:val="center"/>
          </w:tcPr>
          <w:p w:rsidR="00BF0E12" w:rsidRDefault="005726D2">
            <w:pPr>
              <w:jc w:val="center"/>
            </w:pPr>
            <w:r>
              <w:rPr>
                <w:color w:val="000000"/>
                <w:sz w:val="24"/>
              </w:rPr>
              <w:t>18</w:t>
            </w:r>
            <w:r>
              <w:rPr>
                <w:color w:val="000000"/>
                <w:sz w:val="24"/>
              </w:rPr>
              <w:t>恒丰银行</w:t>
            </w:r>
            <w:r>
              <w:rPr>
                <w:color w:val="000000"/>
                <w:sz w:val="24"/>
              </w:rPr>
              <w:t>CD480</w:t>
            </w:r>
          </w:p>
        </w:tc>
        <w:tc>
          <w:tcPr>
            <w:tcW w:w="0" w:type="auto"/>
            <w:vAlign w:val="center"/>
          </w:tcPr>
          <w:p w:rsidR="00BF0E12" w:rsidRDefault="005726D2">
            <w:pPr>
              <w:jc w:val="right"/>
            </w:pPr>
            <w:r>
              <w:rPr>
                <w:color w:val="000000"/>
                <w:sz w:val="24"/>
              </w:rPr>
              <w:t>1,000,000</w:t>
            </w:r>
          </w:p>
        </w:tc>
        <w:tc>
          <w:tcPr>
            <w:tcW w:w="0" w:type="auto"/>
            <w:vAlign w:val="center"/>
          </w:tcPr>
          <w:p w:rsidR="00BF0E12" w:rsidRDefault="005726D2">
            <w:pPr>
              <w:jc w:val="right"/>
            </w:pPr>
            <w:r>
              <w:rPr>
                <w:color w:val="000000"/>
                <w:sz w:val="24"/>
              </w:rPr>
              <w:t>99,402,001.27</w:t>
            </w:r>
          </w:p>
        </w:tc>
        <w:tc>
          <w:tcPr>
            <w:tcW w:w="0" w:type="auto"/>
            <w:vAlign w:val="center"/>
          </w:tcPr>
          <w:p w:rsidR="00BF0E12" w:rsidRDefault="005726D2">
            <w:pPr>
              <w:jc w:val="right"/>
            </w:pPr>
            <w:r>
              <w:rPr>
                <w:color w:val="000000"/>
                <w:sz w:val="24"/>
              </w:rPr>
              <w:t>1.35</w:t>
            </w:r>
          </w:p>
        </w:tc>
      </w:tr>
      <w:tr w:rsidR="00BF0E12">
        <w:trPr>
          <w:jc w:val="center"/>
        </w:trPr>
        <w:tc>
          <w:tcPr>
            <w:tcW w:w="0" w:type="auto"/>
            <w:vAlign w:val="center"/>
          </w:tcPr>
          <w:p w:rsidR="00BF0E12" w:rsidRDefault="005726D2">
            <w:pPr>
              <w:jc w:val="center"/>
            </w:pPr>
            <w:r>
              <w:rPr>
                <w:color w:val="000000"/>
                <w:sz w:val="24"/>
              </w:rPr>
              <w:t>5</w:t>
            </w:r>
          </w:p>
        </w:tc>
        <w:tc>
          <w:tcPr>
            <w:tcW w:w="0" w:type="auto"/>
            <w:vAlign w:val="center"/>
          </w:tcPr>
          <w:p w:rsidR="00BF0E12" w:rsidRDefault="005726D2">
            <w:pPr>
              <w:jc w:val="center"/>
            </w:pPr>
            <w:r>
              <w:rPr>
                <w:color w:val="000000"/>
                <w:sz w:val="24"/>
              </w:rPr>
              <w:t>111870833</w:t>
            </w:r>
          </w:p>
        </w:tc>
        <w:tc>
          <w:tcPr>
            <w:tcW w:w="0" w:type="auto"/>
            <w:vAlign w:val="center"/>
          </w:tcPr>
          <w:p w:rsidR="00BF0E12" w:rsidRDefault="005726D2">
            <w:pPr>
              <w:jc w:val="center"/>
            </w:pPr>
            <w:r>
              <w:rPr>
                <w:color w:val="000000"/>
                <w:sz w:val="24"/>
              </w:rPr>
              <w:t>18</w:t>
            </w:r>
            <w:r>
              <w:rPr>
                <w:color w:val="000000"/>
                <w:sz w:val="24"/>
              </w:rPr>
              <w:t>华融湘江银行</w:t>
            </w:r>
            <w:r>
              <w:rPr>
                <w:color w:val="000000"/>
                <w:sz w:val="24"/>
              </w:rPr>
              <w:t>CD226</w:t>
            </w:r>
          </w:p>
        </w:tc>
        <w:tc>
          <w:tcPr>
            <w:tcW w:w="0" w:type="auto"/>
            <w:vAlign w:val="center"/>
          </w:tcPr>
          <w:p w:rsidR="00BF0E12" w:rsidRDefault="005726D2">
            <w:pPr>
              <w:jc w:val="right"/>
            </w:pPr>
            <w:r>
              <w:rPr>
                <w:color w:val="000000"/>
                <w:sz w:val="24"/>
              </w:rPr>
              <w:t>1,000,000</w:t>
            </w:r>
          </w:p>
        </w:tc>
        <w:tc>
          <w:tcPr>
            <w:tcW w:w="0" w:type="auto"/>
            <w:vAlign w:val="center"/>
          </w:tcPr>
          <w:p w:rsidR="00BF0E12" w:rsidRDefault="005726D2">
            <w:pPr>
              <w:jc w:val="right"/>
            </w:pPr>
            <w:r>
              <w:rPr>
                <w:color w:val="000000"/>
                <w:sz w:val="24"/>
              </w:rPr>
              <w:t>99,390,622.20</w:t>
            </w:r>
          </w:p>
        </w:tc>
        <w:tc>
          <w:tcPr>
            <w:tcW w:w="0" w:type="auto"/>
            <w:vAlign w:val="center"/>
          </w:tcPr>
          <w:p w:rsidR="00BF0E12" w:rsidRDefault="005726D2">
            <w:pPr>
              <w:jc w:val="right"/>
            </w:pPr>
            <w:r>
              <w:rPr>
                <w:color w:val="000000"/>
                <w:sz w:val="24"/>
              </w:rPr>
              <w:t>1.35</w:t>
            </w:r>
          </w:p>
        </w:tc>
      </w:tr>
      <w:tr w:rsidR="00BF0E12">
        <w:trPr>
          <w:jc w:val="center"/>
        </w:trPr>
        <w:tc>
          <w:tcPr>
            <w:tcW w:w="0" w:type="auto"/>
            <w:vAlign w:val="center"/>
          </w:tcPr>
          <w:p w:rsidR="00BF0E12" w:rsidRDefault="005726D2">
            <w:pPr>
              <w:jc w:val="center"/>
            </w:pPr>
            <w:r>
              <w:rPr>
                <w:color w:val="000000"/>
                <w:sz w:val="24"/>
              </w:rPr>
              <w:t>6</w:t>
            </w:r>
          </w:p>
        </w:tc>
        <w:tc>
          <w:tcPr>
            <w:tcW w:w="0" w:type="auto"/>
            <w:vAlign w:val="center"/>
          </w:tcPr>
          <w:p w:rsidR="00BF0E12" w:rsidRDefault="005726D2">
            <w:pPr>
              <w:jc w:val="center"/>
            </w:pPr>
            <w:r>
              <w:rPr>
                <w:color w:val="000000"/>
                <w:sz w:val="24"/>
              </w:rPr>
              <w:t>111994342</w:t>
            </w:r>
          </w:p>
        </w:tc>
        <w:tc>
          <w:tcPr>
            <w:tcW w:w="0" w:type="auto"/>
            <w:vAlign w:val="center"/>
          </w:tcPr>
          <w:p w:rsidR="00BF0E12" w:rsidRDefault="005726D2">
            <w:pPr>
              <w:jc w:val="center"/>
            </w:pPr>
            <w:r>
              <w:rPr>
                <w:color w:val="000000"/>
                <w:sz w:val="24"/>
              </w:rPr>
              <w:t>19</w:t>
            </w:r>
            <w:r>
              <w:rPr>
                <w:color w:val="000000"/>
                <w:sz w:val="24"/>
              </w:rPr>
              <w:t>廊坊银行</w:t>
            </w:r>
            <w:r>
              <w:rPr>
                <w:color w:val="000000"/>
                <w:sz w:val="24"/>
              </w:rPr>
              <w:t>CD001</w:t>
            </w:r>
          </w:p>
        </w:tc>
        <w:tc>
          <w:tcPr>
            <w:tcW w:w="0" w:type="auto"/>
            <w:vAlign w:val="center"/>
          </w:tcPr>
          <w:p w:rsidR="00BF0E12" w:rsidRDefault="005726D2">
            <w:pPr>
              <w:jc w:val="right"/>
            </w:pPr>
            <w:r>
              <w:rPr>
                <w:color w:val="000000"/>
                <w:sz w:val="24"/>
              </w:rPr>
              <w:t>1,000,000</w:t>
            </w:r>
          </w:p>
        </w:tc>
        <w:tc>
          <w:tcPr>
            <w:tcW w:w="0" w:type="auto"/>
            <w:vAlign w:val="center"/>
          </w:tcPr>
          <w:p w:rsidR="00BF0E12" w:rsidRDefault="005726D2">
            <w:pPr>
              <w:jc w:val="right"/>
            </w:pPr>
            <w:r>
              <w:rPr>
                <w:color w:val="000000"/>
                <w:sz w:val="24"/>
              </w:rPr>
              <w:t>99,323,337.78</w:t>
            </w:r>
          </w:p>
        </w:tc>
        <w:tc>
          <w:tcPr>
            <w:tcW w:w="0" w:type="auto"/>
            <w:vAlign w:val="center"/>
          </w:tcPr>
          <w:p w:rsidR="00BF0E12" w:rsidRDefault="005726D2">
            <w:pPr>
              <w:jc w:val="right"/>
            </w:pPr>
            <w:r>
              <w:rPr>
                <w:color w:val="000000"/>
                <w:sz w:val="24"/>
              </w:rPr>
              <w:t>1.35</w:t>
            </w:r>
          </w:p>
        </w:tc>
      </w:tr>
      <w:tr w:rsidR="00BF0E12">
        <w:trPr>
          <w:jc w:val="center"/>
        </w:trPr>
        <w:tc>
          <w:tcPr>
            <w:tcW w:w="0" w:type="auto"/>
            <w:vAlign w:val="center"/>
          </w:tcPr>
          <w:p w:rsidR="00BF0E12" w:rsidRDefault="005726D2">
            <w:pPr>
              <w:jc w:val="center"/>
            </w:pPr>
            <w:r>
              <w:rPr>
                <w:color w:val="000000"/>
                <w:sz w:val="24"/>
              </w:rPr>
              <w:t>7</w:t>
            </w:r>
          </w:p>
        </w:tc>
        <w:tc>
          <w:tcPr>
            <w:tcW w:w="0" w:type="auto"/>
            <w:vAlign w:val="center"/>
          </w:tcPr>
          <w:p w:rsidR="00BF0E12" w:rsidRDefault="005726D2">
            <w:pPr>
              <w:jc w:val="center"/>
            </w:pPr>
            <w:r>
              <w:rPr>
                <w:color w:val="000000"/>
                <w:sz w:val="24"/>
              </w:rPr>
              <w:t>111885108</w:t>
            </w:r>
          </w:p>
        </w:tc>
        <w:tc>
          <w:tcPr>
            <w:tcW w:w="0" w:type="auto"/>
            <w:vAlign w:val="center"/>
          </w:tcPr>
          <w:p w:rsidR="00BF0E12" w:rsidRDefault="005726D2">
            <w:pPr>
              <w:jc w:val="center"/>
            </w:pPr>
            <w:r>
              <w:rPr>
                <w:color w:val="000000"/>
                <w:sz w:val="24"/>
              </w:rPr>
              <w:t>18</w:t>
            </w:r>
            <w:r>
              <w:rPr>
                <w:color w:val="000000"/>
                <w:sz w:val="24"/>
              </w:rPr>
              <w:t>贵阳银行</w:t>
            </w:r>
            <w:r>
              <w:rPr>
                <w:color w:val="000000"/>
                <w:sz w:val="24"/>
              </w:rPr>
              <w:t>CD150</w:t>
            </w:r>
          </w:p>
        </w:tc>
        <w:tc>
          <w:tcPr>
            <w:tcW w:w="0" w:type="auto"/>
            <w:vAlign w:val="center"/>
          </w:tcPr>
          <w:p w:rsidR="00BF0E12" w:rsidRDefault="005726D2">
            <w:pPr>
              <w:jc w:val="right"/>
            </w:pPr>
            <w:r>
              <w:rPr>
                <w:color w:val="000000"/>
                <w:sz w:val="24"/>
              </w:rPr>
              <w:t>1,000,000</w:t>
            </w:r>
          </w:p>
        </w:tc>
        <w:tc>
          <w:tcPr>
            <w:tcW w:w="0" w:type="auto"/>
            <w:vAlign w:val="center"/>
          </w:tcPr>
          <w:p w:rsidR="00BF0E12" w:rsidRDefault="005726D2">
            <w:pPr>
              <w:jc w:val="right"/>
            </w:pPr>
            <w:r>
              <w:rPr>
                <w:color w:val="000000"/>
                <w:sz w:val="24"/>
              </w:rPr>
              <w:t>99,313,475.26</w:t>
            </w:r>
          </w:p>
        </w:tc>
        <w:tc>
          <w:tcPr>
            <w:tcW w:w="0" w:type="auto"/>
            <w:vAlign w:val="center"/>
          </w:tcPr>
          <w:p w:rsidR="00BF0E12" w:rsidRDefault="005726D2">
            <w:pPr>
              <w:jc w:val="right"/>
            </w:pPr>
            <w:r>
              <w:rPr>
                <w:color w:val="000000"/>
                <w:sz w:val="24"/>
              </w:rPr>
              <w:t>1.35</w:t>
            </w:r>
          </w:p>
        </w:tc>
      </w:tr>
      <w:tr w:rsidR="00BF0E12">
        <w:trPr>
          <w:jc w:val="center"/>
        </w:trPr>
        <w:tc>
          <w:tcPr>
            <w:tcW w:w="0" w:type="auto"/>
            <w:vAlign w:val="center"/>
          </w:tcPr>
          <w:p w:rsidR="00BF0E12" w:rsidRDefault="005726D2">
            <w:pPr>
              <w:jc w:val="center"/>
            </w:pPr>
            <w:r>
              <w:rPr>
                <w:color w:val="000000"/>
                <w:sz w:val="24"/>
              </w:rPr>
              <w:t>8</w:t>
            </w:r>
          </w:p>
        </w:tc>
        <w:tc>
          <w:tcPr>
            <w:tcW w:w="0" w:type="auto"/>
            <w:vAlign w:val="center"/>
          </w:tcPr>
          <w:p w:rsidR="00BF0E12" w:rsidRDefault="005726D2">
            <w:pPr>
              <w:jc w:val="center"/>
            </w:pPr>
            <w:r>
              <w:rPr>
                <w:color w:val="000000"/>
                <w:sz w:val="24"/>
              </w:rPr>
              <w:t>111819501</w:t>
            </w:r>
          </w:p>
        </w:tc>
        <w:tc>
          <w:tcPr>
            <w:tcW w:w="0" w:type="auto"/>
            <w:vAlign w:val="center"/>
          </w:tcPr>
          <w:p w:rsidR="00BF0E12" w:rsidRDefault="005726D2">
            <w:pPr>
              <w:jc w:val="center"/>
            </w:pPr>
            <w:r>
              <w:rPr>
                <w:color w:val="000000"/>
                <w:sz w:val="24"/>
              </w:rPr>
              <w:t>18</w:t>
            </w:r>
            <w:r>
              <w:rPr>
                <w:color w:val="000000"/>
                <w:sz w:val="24"/>
              </w:rPr>
              <w:t>恒丰银行</w:t>
            </w:r>
            <w:r>
              <w:rPr>
                <w:color w:val="000000"/>
                <w:sz w:val="24"/>
              </w:rPr>
              <w:t>CD501</w:t>
            </w:r>
          </w:p>
        </w:tc>
        <w:tc>
          <w:tcPr>
            <w:tcW w:w="0" w:type="auto"/>
            <w:vAlign w:val="center"/>
          </w:tcPr>
          <w:p w:rsidR="00BF0E12" w:rsidRDefault="005726D2">
            <w:pPr>
              <w:jc w:val="right"/>
            </w:pPr>
            <w:r>
              <w:rPr>
                <w:color w:val="000000"/>
                <w:sz w:val="24"/>
              </w:rPr>
              <w:t>1,000,000</w:t>
            </w:r>
          </w:p>
        </w:tc>
        <w:tc>
          <w:tcPr>
            <w:tcW w:w="0" w:type="auto"/>
            <w:vAlign w:val="center"/>
          </w:tcPr>
          <w:p w:rsidR="00BF0E12" w:rsidRDefault="005726D2">
            <w:pPr>
              <w:jc w:val="right"/>
            </w:pPr>
            <w:r>
              <w:rPr>
                <w:color w:val="000000"/>
                <w:sz w:val="24"/>
              </w:rPr>
              <w:t>99,312,359.52</w:t>
            </w:r>
          </w:p>
        </w:tc>
        <w:tc>
          <w:tcPr>
            <w:tcW w:w="0" w:type="auto"/>
            <w:vAlign w:val="center"/>
          </w:tcPr>
          <w:p w:rsidR="00BF0E12" w:rsidRDefault="005726D2">
            <w:pPr>
              <w:jc w:val="right"/>
            </w:pPr>
            <w:r>
              <w:rPr>
                <w:color w:val="000000"/>
                <w:sz w:val="24"/>
              </w:rPr>
              <w:t>1.35</w:t>
            </w:r>
          </w:p>
        </w:tc>
      </w:tr>
      <w:tr w:rsidR="00BF0E12">
        <w:trPr>
          <w:jc w:val="center"/>
        </w:trPr>
        <w:tc>
          <w:tcPr>
            <w:tcW w:w="0" w:type="auto"/>
            <w:vAlign w:val="center"/>
          </w:tcPr>
          <w:p w:rsidR="00BF0E12" w:rsidRDefault="005726D2">
            <w:pPr>
              <w:jc w:val="center"/>
            </w:pPr>
            <w:r>
              <w:rPr>
                <w:color w:val="000000"/>
                <w:sz w:val="24"/>
              </w:rPr>
              <w:t>9</w:t>
            </w:r>
          </w:p>
        </w:tc>
        <w:tc>
          <w:tcPr>
            <w:tcW w:w="0" w:type="auto"/>
            <w:vAlign w:val="center"/>
          </w:tcPr>
          <w:p w:rsidR="00BF0E12" w:rsidRDefault="005726D2">
            <w:pPr>
              <w:jc w:val="center"/>
            </w:pPr>
            <w:r>
              <w:rPr>
                <w:color w:val="000000"/>
                <w:sz w:val="24"/>
              </w:rPr>
              <w:t>111871527</w:t>
            </w:r>
          </w:p>
        </w:tc>
        <w:tc>
          <w:tcPr>
            <w:tcW w:w="0" w:type="auto"/>
            <w:vAlign w:val="center"/>
          </w:tcPr>
          <w:p w:rsidR="00BF0E12" w:rsidRDefault="005726D2">
            <w:pPr>
              <w:jc w:val="center"/>
            </w:pPr>
            <w:r>
              <w:rPr>
                <w:color w:val="000000"/>
                <w:sz w:val="24"/>
              </w:rPr>
              <w:t>18</w:t>
            </w:r>
            <w:r>
              <w:rPr>
                <w:color w:val="000000"/>
                <w:sz w:val="24"/>
              </w:rPr>
              <w:t>徽商银行</w:t>
            </w:r>
            <w:r>
              <w:rPr>
                <w:color w:val="000000"/>
                <w:sz w:val="24"/>
              </w:rPr>
              <w:t>CD183</w:t>
            </w:r>
          </w:p>
        </w:tc>
        <w:tc>
          <w:tcPr>
            <w:tcW w:w="0" w:type="auto"/>
            <w:vAlign w:val="center"/>
          </w:tcPr>
          <w:p w:rsidR="00BF0E12" w:rsidRDefault="005726D2">
            <w:pPr>
              <w:jc w:val="right"/>
            </w:pPr>
            <w:r>
              <w:rPr>
                <w:color w:val="000000"/>
                <w:sz w:val="24"/>
              </w:rPr>
              <w:t>1,000,000</w:t>
            </w:r>
          </w:p>
        </w:tc>
        <w:tc>
          <w:tcPr>
            <w:tcW w:w="0" w:type="auto"/>
            <w:vAlign w:val="center"/>
          </w:tcPr>
          <w:p w:rsidR="00BF0E12" w:rsidRDefault="005726D2">
            <w:pPr>
              <w:jc w:val="right"/>
            </w:pPr>
            <w:r>
              <w:rPr>
                <w:color w:val="000000"/>
                <w:sz w:val="24"/>
              </w:rPr>
              <w:t>99,279,146.45</w:t>
            </w:r>
          </w:p>
        </w:tc>
        <w:tc>
          <w:tcPr>
            <w:tcW w:w="0" w:type="auto"/>
            <w:vAlign w:val="center"/>
          </w:tcPr>
          <w:p w:rsidR="00BF0E12" w:rsidRDefault="005726D2">
            <w:pPr>
              <w:jc w:val="right"/>
            </w:pPr>
            <w:r>
              <w:rPr>
                <w:color w:val="000000"/>
                <w:sz w:val="24"/>
              </w:rPr>
              <w:t>1.35</w:t>
            </w:r>
          </w:p>
        </w:tc>
      </w:tr>
      <w:tr w:rsidR="00BF0E12">
        <w:trPr>
          <w:jc w:val="center"/>
        </w:trPr>
        <w:tc>
          <w:tcPr>
            <w:tcW w:w="0" w:type="auto"/>
            <w:vAlign w:val="center"/>
          </w:tcPr>
          <w:p w:rsidR="00BF0E12" w:rsidRDefault="005726D2">
            <w:pPr>
              <w:jc w:val="center"/>
            </w:pPr>
            <w:r>
              <w:rPr>
                <w:color w:val="000000"/>
                <w:sz w:val="24"/>
              </w:rPr>
              <w:t>10</w:t>
            </w:r>
          </w:p>
        </w:tc>
        <w:tc>
          <w:tcPr>
            <w:tcW w:w="0" w:type="auto"/>
            <w:vAlign w:val="center"/>
          </w:tcPr>
          <w:p w:rsidR="00BF0E12" w:rsidRDefault="005726D2">
            <w:pPr>
              <w:jc w:val="center"/>
            </w:pPr>
            <w:r>
              <w:rPr>
                <w:color w:val="000000"/>
                <w:sz w:val="24"/>
              </w:rPr>
              <w:t>111871463</w:t>
            </w:r>
          </w:p>
        </w:tc>
        <w:tc>
          <w:tcPr>
            <w:tcW w:w="0" w:type="auto"/>
            <w:vAlign w:val="center"/>
          </w:tcPr>
          <w:p w:rsidR="00BF0E12" w:rsidRDefault="005726D2">
            <w:pPr>
              <w:jc w:val="center"/>
            </w:pPr>
            <w:r>
              <w:rPr>
                <w:color w:val="000000"/>
                <w:sz w:val="24"/>
              </w:rPr>
              <w:t>18</w:t>
            </w:r>
            <w:r>
              <w:rPr>
                <w:color w:val="000000"/>
                <w:sz w:val="24"/>
              </w:rPr>
              <w:t>河北银行</w:t>
            </w:r>
            <w:r>
              <w:rPr>
                <w:color w:val="000000"/>
                <w:sz w:val="24"/>
              </w:rPr>
              <w:t>CD055</w:t>
            </w:r>
          </w:p>
        </w:tc>
        <w:tc>
          <w:tcPr>
            <w:tcW w:w="0" w:type="auto"/>
            <w:vAlign w:val="center"/>
          </w:tcPr>
          <w:p w:rsidR="00BF0E12" w:rsidRDefault="005726D2">
            <w:pPr>
              <w:jc w:val="right"/>
            </w:pPr>
            <w:r>
              <w:rPr>
                <w:color w:val="000000"/>
                <w:sz w:val="24"/>
              </w:rPr>
              <w:t>1,000,000</w:t>
            </w:r>
          </w:p>
        </w:tc>
        <w:tc>
          <w:tcPr>
            <w:tcW w:w="0" w:type="auto"/>
            <w:vAlign w:val="center"/>
          </w:tcPr>
          <w:p w:rsidR="00BF0E12" w:rsidRDefault="005726D2">
            <w:pPr>
              <w:jc w:val="right"/>
            </w:pPr>
            <w:r>
              <w:rPr>
                <w:color w:val="000000"/>
                <w:sz w:val="24"/>
              </w:rPr>
              <w:t>99,277,159.47</w:t>
            </w:r>
          </w:p>
        </w:tc>
        <w:tc>
          <w:tcPr>
            <w:tcW w:w="0" w:type="auto"/>
            <w:vAlign w:val="center"/>
          </w:tcPr>
          <w:p w:rsidR="00BF0E12" w:rsidRDefault="005726D2">
            <w:pPr>
              <w:jc w:val="right"/>
            </w:pPr>
            <w:r>
              <w:rPr>
                <w:color w:val="000000"/>
                <w:sz w:val="24"/>
              </w:rPr>
              <w:t>1.35</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0.1450%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0.0122%</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0.0834%</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w="8868" w:type="dxa"/>
        <w:jc w:val="center"/>
        <w:tblCellMar>
          <w:top w:w="57" w:type="dxa"/>
          <w:bottom w:w="57" w:type="dxa"/>
        </w:tblCellMar>
        <w:tblLook w:val="04A0" w:firstRow="1" w:lastRow="0" w:firstColumn="1" w:lastColumn="0" w:noHBand="0" w:noVBand="1"/>
      </w:tblPr>
      <w:tblGrid>
        <w:gridCol w:w="1413"/>
        <w:gridCol w:w="1472"/>
        <w:gridCol w:w="1434"/>
        <w:gridCol w:w="1479"/>
        <w:gridCol w:w="1596"/>
        <w:gridCol w:w="1474"/>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BF0E12">
        <w:trPr>
          <w:jc w:val="center"/>
        </w:trPr>
        <w:tc>
          <w:tcPr>
            <w:tcW w:w="0" w:type="auto"/>
            <w:vAlign w:val="center"/>
          </w:tcPr>
          <w:p w:rsidR="00BF0E12" w:rsidRDefault="005726D2">
            <w:pPr>
              <w:jc w:val="center"/>
            </w:pPr>
            <w:r>
              <w:rPr>
                <w:color w:val="000000"/>
                <w:sz w:val="24"/>
              </w:rPr>
              <w:t>1</w:t>
            </w:r>
          </w:p>
        </w:tc>
        <w:tc>
          <w:tcPr>
            <w:tcW w:w="0" w:type="auto"/>
            <w:vAlign w:val="center"/>
          </w:tcPr>
          <w:p w:rsidR="00BF0E12" w:rsidRDefault="005726D2">
            <w:pPr>
              <w:jc w:val="center"/>
            </w:pPr>
            <w:r>
              <w:rPr>
                <w:color w:val="000000"/>
                <w:sz w:val="24"/>
              </w:rPr>
              <w:t>139183</w:t>
            </w:r>
          </w:p>
        </w:tc>
        <w:tc>
          <w:tcPr>
            <w:tcW w:w="0" w:type="auto"/>
            <w:vAlign w:val="center"/>
          </w:tcPr>
          <w:p w:rsidR="00BF0E12" w:rsidRDefault="005726D2">
            <w:pPr>
              <w:jc w:val="center"/>
            </w:pPr>
            <w:r>
              <w:rPr>
                <w:color w:val="000000"/>
                <w:sz w:val="24"/>
              </w:rPr>
              <w:t>蚁信</w:t>
            </w:r>
            <w:r>
              <w:rPr>
                <w:color w:val="000000"/>
                <w:sz w:val="24"/>
              </w:rPr>
              <w:t>05A</w:t>
            </w:r>
          </w:p>
        </w:tc>
        <w:tc>
          <w:tcPr>
            <w:tcW w:w="0" w:type="auto"/>
            <w:vAlign w:val="center"/>
          </w:tcPr>
          <w:p w:rsidR="00BF0E12" w:rsidRDefault="005726D2">
            <w:pPr>
              <w:jc w:val="right"/>
            </w:pPr>
            <w:r>
              <w:rPr>
                <w:color w:val="000000"/>
                <w:sz w:val="24"/>
              </w:rPr>
              <w:t>600,000</w:t>
            </w:r>
          </w:p>
        </w:tc>
        <w:tc>
          <w:tcPr>
            <w:tcW w:w="0" w:type="auto"/>
            <w:vAlign w:val="center"/>
          </w:tcPr>
          <w:p w:rsidR="00BF0E12" w:rsidRDefault="005726D2">
            <w:pPr>
              <w:jc w:val="right"/>
            </w:pPr>
            <w:r>
              <w:rPr>
                <w:color w:val="000000"/>
                <w:sz w:val="24"/>
              </w:rPr>
              <w:t>60,000,000.00</w:t>
            </w:r>
          </w:p>
        </w:tc>
        <w:tc>
          <w:tcPr>
            <w:tcW w:w="0" w:type="auto"/>
            <w:vAlign w:val="center"/>
          </w:tcPr>
          <w:p w:rsidR="00BF0E12" w:rsidRDefault="005726D2">
            <w:pPr>
              <w:jc w:val="right"/>
            </w:pPr>
            <w:r>
              <w:rPr>
                <w:color w:val="000000"/>
                <w:sz w:val="24"/>
              </w:rPr>
              <w:t>0.81</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14,421,709.76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366,300.80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14,788,010.56</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2,729,735,211.95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608,635,881.62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32,165,338,339.37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112,398,619.68</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27,625,809,400.67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611,125,711.59</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7,269,264,150.65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109,908,789.71</w:t>
            </w:r>
          </w:p>
        </w:tc>
      </w:tr>
    </w:tbl>
    <w:p w:rsidR="00BF0E12" w:rsidRDefault="005726D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BF0E12">
        <w:trPr>
          <w:jc w:val="center"/>
        </w:trPr>
        <w:tc>
          <w:tcPr>
            <w:tcW w:w="1454" w:type="dxa"/>
            <w:vAlign w:val="center"/>
          </w:tcPr>
          <w:p w:rsidR="00BF0E12" w:rsidRDefault="005726D2">
            <w:pPr>
              <w:jc w:val="center"/>
            </w:pPr>
            <w:r>
              <w:rPr>
                <w:color w:val="000000"/>
                <w:sz w:val="24"/>
              </w:rPr>
              <w:t>1</w:t>
            </w:r>
          </w:p>
        </w:tc>
        <w:tc>
          <w:tcPr>
            <w:tcW w:w="1678" w:type="dxa"/>
            <w:vAlign w:val="center"/>
          </w:tcPr>
          <w:p w:rsidR="00BF0E12" w:rsidRDefault="005726D2">
            <w:pPr>
              <w:jc w:val="center"/>
            </w:pPr>
            <w:r>
              <w:rPr>
                <w:color w:val="000000"/>
                <w:sz w:val="24"/>
              </w:rPr>
              <w:t>E</w:t>
            </w:r>
            <w:r>
              <w:rPr>
                <w:color w:val="000000"/>
                <w:sz w:val="24"/>
              </w:rPr>
              <w:t>类份额红利再投</w:t>
            </w:r>
          </w:p>
        </w:tc>
        <w:tc>
          <w:tcPr>
            <w:tcW w:w="1249" w:type="dxa"/>
            <w:vAlign w:val="center"/>
          </w:tcPr>
          <w:p w:rsidR="00BF0E12" w:rsidRDefault="005726D2">
            <w:pPr>
              <w:jc w:val="center"/>
            </w:pPr>
            <w:r>
              <w:rPr>
                <w:color w:val="000000"/>
                <w:sz w:val="24"/>
              </w:rPr>
              <w:t>-</w:t>
            </w:r>
          </w:p>
        </w:tc>
        <w:tc>
          <w:tcPr>
            <w:tcW w:w="1544" w:type="dxa"/>
            <w:vAlign w:val="center"/>
          </w:tcPr>
          <w:p w:rsidR="00BF0E12" w:rsidRDefault="005726D2">
            <w:pPr>
              <w:jc w:val="right"/>
            </w:pPr>
            <w:r>
              <w:rPr>
                <w:color w:val="000000"/>
                <w:sz w:val="24"/>
              </w:rPr>
              <w:t>1,819.08</w:t>
            </w:r>
          </w:p>
        </w:tc>
        <w:tc>
          <w:tcPr>
            <w:tcW w:w="1670" w:type="dxa"/>
            <w:vAlign w:val="center"/>
          </w:tcPr>
          <w:p w:rsidR="00BF0E12" w:rsidRDefault="005726D2">
            <w:pPr>
              <w:jc w:val="right"/>
            </w:pPr>
            <w:r>
              <w:rPr>
                <w:color w:val="000000"/>
                <w:sz w:val="24"/>
              </w:rPr>
              <w:t>1,819.08</w:t>
            </w:r>
          </w:p>
        </w:tc>
        <w:tc>
          <w:tcPr>
            <w:tcW w:w="1273" w:type="dxa"/>
            <w:vAlign w:val="center"/>
          </w:tcPr>
          <w:p w:rsidR="00BF0E12" w:rsidRDefault="005726D2">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1,819.08</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1,819.08</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BF0E12" w:rsidRDefault="005726D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；持有本基金</w:t>
      </w:r>
      <w:r>
        <w:rPr>
          <w:color w:val="000000"/>
          <w:sz w:val="24"/>
        </w:rPr>
        <w:t>E</w:t>
      </w:r>
      <w:r>
        <w:rPr>
          <w:color w:val="000000"/>
          <w:sz w:val="24"/>
        </w:rPr>
        <w:t>类份额</w:t>
      </w:r>
      <w:r>
        <w:rPr>
          <w:color w:val="000000"/>
          <w:sz w:val="24"/>
        </w:rPr>
        <w:t>262,714.52</w:t>
      </w:r>
      <w:r>
        <w:rPr>
          <w:color w:val="000000"/>
          <w:sz w:val="24"/>
        </w:rPr>
        <w:t>份，占本基金期末</w:t>
      </w:r>
      <w:r>
        <w:rPr>
          <w:color w:val="000000"/>
          <w:sz w:val="24"/>
        </w:rPr>
        <w:t>E</w:t>
      </w:r>
      <w:r>
        <w:rPr>
          <w:color w:val="000000"/>
          <w:sz w:val="24"/>
        </w:rPr>
        <w:t>类基金总份额的</w:t>
      </w:r>
      <w:r>
        <w:rPr>
          <w:color w:val="000000"/>
          <w:sz w:val="24"/>
        </w:rPr>
        <w:t>0.24%</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BF0E12" w:rsidRDefault="005726D2">
      <w:pPr>
        <w:spacing w:before="29" w:line="288" w:lineRule="auto"/>
        <w:ind w:firstLineChars="200" w:firstLine="480"/>
        <w:rPr>
          <w:color w:val="000000"/>
          <w:sz w:val="24"/>
        </w:rPr>
      </w:pPr>
      <w:r>
        <w:rPr>
          <w:color w:val="000000"/>
          <w:sz w:val="24"/>
        </w:rPr>
        <w:t>1</w:t>
      </w:r>
      <w:r>
        <w:rPr>
          <w:color w:val="000000"/>
          <w:sz w:val="24"/>
        </w:rPr>
        <w:t>、中国证监会准予交银施罗德现金宝货币市场基金募集注册的文件；</w:t>
      </w:r>
      <w:r>
        <w:rPr>
          <w:color w:val="000000"/>
          <w:sz w:val="24"/>
        </w:rPr>
        <w:t xml:space="preserve"> </w:t>
      </w:r>
    </w:p>
    <w:p w:rsidR="00BF0E12" w:rsidRDefault="005726D2">
      <w:pPr>
        <w:spacing w:before="29" w:line="288" w:lineRule="auto"/>
        <w:ind w:firstLineChars="200" w:firstLine="480"/>
        <w:rPr>
          <w:color w:val="000000"/>
          <w:sz w:val="24"/>
        </w:rPr>
      </w:pPr>
      <w:r>
        <w:rPr>
          <w:color w:val="000000"/>
          <w:sz w:val="24"/>
        </w:rPr>
        <w:t>2</w:t>
      </w:r>
      <w:r>
        <w:rPr>
          <w:color w:val="000000"/>
          <w:sz w:val="24"/>
        </w:rPr>
        <w:t>、《交银施罗德现金宝货币市场基金基金合同》；</w:t>
      </w:r>
      <w:r>
        <w:rPr>
          <w:color w:val="000000"/>
          <w:sz w:val="24"/>
        </w:rPr>
        <w:t xml:space="preserve"> </w:t>
      </w:r>
    </w:p>
    <w:p w:rsidR="00BF0E12" w:rsidRDefault="005726D2">
      <w:pPr>
        <w:spacing w:before="29" w:line="288" w:lineRule="auto"/>
        <w:ind w:firstLineChars="200" w:firstLine="480"/>
        <w:rPr>
          <w:color w:val="000000"/>
          <w:sz w:val="24"/>
        </w:rPr>
      </w:pPr>
      <w:r>
        <w:rPr>
          <w:color w:val="000000"/>
          <w:sz w:val="24"/>
        </w:rPr>
        <w:t>3</w:t>
      </w:r>
      <w:r>
        <w:rPr>
          <w:color w:val="000000"/>
          <w:sz w:val="24"/>
        </w:rPr>
        <w:t>、《交银施罗德现金宝货币市场基金招募说明书》；</w:t>
      </w:r>
      <w:r>
        <w:rPr>
          <w:color w:val="000000"/>
          <w:sz w:val="24"/>
        </w:rPr>
        <w:t xml:space="preserve"> </w:t>
      </w:r>
    </w:p>
    <w:p w:rsidR="00BF0E12" w:rsidRDefault="005726D2">
      <w:pPr>
        <w:spacing w:before="29" w:line="288" w:lineRule="auto"/>
        <w:ind w:firstLineChars="200" w:firstLine="480"/>
        <w:rPr>
          <w:color w:val="000000"/>
          <w:sz w:val="24"/>
        </w:rPr>
      </w:pPr>
      <w:r>
        <w:rPr>
          <w:color w:val="000000"/>
          <w:sz w:val="24"/>
        </w:rPr>
        <w:t>4</w:t>
      </w:r>
      <w:r>
        <w:rPr>
          <w:color w:val="000000"/>
          <w:sz w:val="24"/>
        </w:rPr>
        <w:t>、《交银施罗德现金宝货币市场基金托管协议》；</w:t>
      </w:r>
    </w:p>
    <w:p w:rsidR="00BF0E12" w:rsidRDefault="005726D2">
      <w:pPr>
        <w:spacing w:before="29" w:line="288" w:lineRule="auto"/>
        <w:ind w:firstLineChars="200" w:firstLine="480"/>
        <w:rPr>
          <w:color w:val="000000"/>
          <w:sz w:val="24"/>
        </w:rPr>
      </w:pPr>
      <w:r>
        <w:rPr>
          <w:color w:val="000000"/>
          <w:sz w:val="24"/>
        </w:rPr>
        <w:t>5</w:t>
      </w:r>
      <w:r>
        <w:rPr>
          <w:color w:val="000000"/>
          <w:sz w:val="24"/>
        </w:rPr>
        <w:t>、关于申请募集交银施罗德现金宝货币市场基金的法律意见书；</w:t>
      </w:r>
    </w:p>
    <w:p w:rsidR="00BF0E12" w:rsidRDefault="005726D2">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BF0E12" w:rsidRDefault="005726D2">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、报告期内交银施罗德现金宝货币市场基金在指定报刊上各项公告的原稿。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BF0E12" w:rsidRDefault="005726D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5FF" w:rsidRDefault="006245FF">
      <w:r>
        <w:separator/>
      </w:r>
    </w:p>
  </w:endnote>
  <w:endnote w:type="continuationSeparator" w:id="0">
    <w:p w:rsidR="006245FF" w:rsidRDefault="0062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887D14">
      <w:rPr>
        <w:noProof/>
        <w:kern w:val="0"/>
        <w:szCs w:val="21"/>
      </w:rPr>
      <w:t>9</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887D14">
      <w:rPr>
        <w:noProof/>
        <w:kern w:val="0"/>
        <w:szCs w:val="21"/>
      </w:rPr>
      <w:t>14</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5FF" w:rsidRDefault="006245FF">
      <w:r>
        <w:separator/>
      </w:r>
    </w:p>
  </w:footnote>
  <w:footnote w:type="continuationSeparator" w:id="0">
    <w:p w:rsidR="006245FF" w:rsidRDefault="0062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交银施罗德现金宝货币市场基金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26D2"/>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87D14"/>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0E12"/>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5:docId w15:val="{8F1507DC-7AD5-4ABC-9B72-AE3937CC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BB9FBD5-1F9D-4504-87FC-5A10F0C7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14</Pages>
  <Words>1261</Words>
  <Characters>7190</Characters>
  <Application>Microsoft Office Word</Application>
  <DocSecurity>0</DocSecurity>
  <Lines>59</Lines>
  <Paragraphs>16</Paragraphs>
  <ScaleCrop>false</ScaleCrop>
  <Company>jysld</Company>
  <LinksUpToDate>false</LinksUpToDate>
  <CharactersWithSpaces>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316</cp:revision>
  <cp:lastPrinted>2009-01-22T10:11:00Z</cp:lastPrinted>
  <dcterms:created xsi:type="dcterms:W3CDTF">2012-11-21T05:49:00Z</dcterms:created>
  <dcterms:modified xsi:type="dcterms:W3CDTF">2019-04-18T06:04:00Z</dcterms:modified>
</cp:coreProperties>
</file>