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w:t>
      </w:r>
      <w:proofErr w:type="gramStart"/>
      <w:r w:rsidRPr="0081286B">
        <w:rPr>
          <w:b/>
          <w:sz w:val="36"/>
          <w:szCs w:val="36"/>
        </w:rPr>
        <w:t>银施罗德成长</w:t>
      </w:r>
      <w:proofErr w:type="gramEnd"/>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02C90" w:rsidRDefault="000335C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银成长</w:t>
            </w:r>
            <w:proofErr w:type="gramEnd"/>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181,799,912.93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w:t>
            </w:r>
            <w:proofErr w:type="gramStart"/>
            <w:r w:rsidRPr="00414345">
              <w:rPr>
                <w:color w:val="000000"/>
                <w:kern w:val="0"/>
                <w:sz w:val="24"/>
                <w:szCs w:val="24"/>
              </w:rPr>
              <w:t>型上市</w:t>
            </w:r>
            <w:proofErr w:type="gramEnd"/>
            <w:r w:rsidRPr="00414345">
              <w:rPr>
                <w:color w:val="000000"/>
                <w:kern w:val="0"/>
                <w:sz w:val="24"/>
                <w:szCs w:val="24"/>
              </w:rPr>
              <w:t>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414345">
              <w:rPr>
                <w:color w:val="000000"/>
                <w:kern w:val="0"/>
                <w:sz w:val="24"/>
                <w:szCs w:val="24"/>
              </w:rPr>
              <w:t>型上市</w:t>
            </w:r>
            <w:proofErr w:type="gramEnd"/>
            <w:r w:rsidRPr="00414345">
              <w:rPr>
                <w:color w:val="000000"/>
                <w:kern w:val="0"/>
                <w:sz w:val="24"/>
                <w:szCs w:val="24"/>
              </w:rPr>
              <w:t>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w:t>
            </w:r>
            <w:proofErr w:type="gramStart"/>
            <w:r w:rsidRPr="00414345">
              <w:rPr>
                <w:color w:val="000000"/>
                <w:kern w:val="0"/>
                <w:sz w:val="24"/>
                <w:szCs w:val="24"/>
              </w:rPr>
              <w:t>以成长</w:t>
            </w:r>
            <w:proofErr w:type="gramEnd"/>
            <w:r w:rsidRPr="00414345">
              <w:rPr>
                <w:color w:val="000000"/>
                <w:kern w:val="0"/>
                <w:sz w:val="24"/>
                <w:szCs w:val="24"/>
              </w:rPr>
              <w:t>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335CF" w:rsidRPr="00414345" w:rsidTr="000335C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335CF" w:rsidRPr="00414345" w:rsidTr="00033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3,809,564.90</w:t>
            </w:r>
          </w:p>
        </w:tc>
      </w:tr>
      <w:tr w:rsidR="000335CF" w:rsidRPr="00414345" w:rsidTr="00033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34,735,044.95</w:t>
            </w:r>
          </w:p>
        </w:tc>
      </w:tr>
      <w:tr w:rsidR="000335CF" w:rsidRPr="00414345" w:rsidTr="00033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0.3672</w:t>
            </w:r>
          </w:p>
        </w:tc>
      </w:tr>
      <w:tr w:rsidR="000335CF" w:rsidRPr="00414345" w:rsidTr="000335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215,906,379.53</w:t>
            </w:r>
          </w:p>
        </w:tc>
      </w:tr>
      <w:tr w:rsidR="000335CF" w:rsidRPr="00414345" w:rsidTr="000335C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1.188</w:t>
            </w:r>
          </w:p>
        </w:tc>
      </w:tr>
    </w:tbl>
    <w:p w:rsidR="00F02C90" w:rsidRDefault="000335C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02C90">
        <w:trPr>
          <w:jc w:val="center"/>
        </w:trPr>
        <w:tc>
          <w:tcPr>
            <w:tcW w:w="1701" w:type="dxa"/>
            <w:vAlign w:val="center"/>
          </w:tcPr>
          <w:p w:rsidR="00F02C90" w:rsidRDefault="000335CF">
            <w:pPr>
              <w:jc w:val="left"/>
            </w:pPr>
            <w:r>
              <w:rPr>
                <w:color w:val="000000"/>
                <w:sz w:val="24"/>
                <w:szCs w:val="24"/>
              </w:rPr>
              <w:t>过去三个月</w:t>
            </w:r>
          </w:p>
        </w:tc>
        <w:tc>
          <w:tcPr>
            <w:tcW w:w="1045" w:type="dxa"/>
            <w:vAlign w:val="center"/>
          </w:tcPr>
          <w:p w:rsidR="00F02C90" w:rsidRDefault="000335CF">
            <w:pPr>
              <w:jc w:val="center"/>
            </w:pPr>
            <w:r>
              <w:rPr>
                <w:color w:val="000000"/>
                <w:sz w:val="24"/>
                <w:szCs w:val="24"/>
              </w:rPr>
              <w:t>47.58%</w:t>
            </w:r>
          </w:p>
        </w:tc>
        <w:tc>
          <w:tcPr>
            <w:tcW w:w="1344" w:type="dxa"/>
            <w:vAlign w:val="center"/>
          </w:tcPr>
          <w:p w:rsidR="00F02C90" w:rsidRDefault="000335CF">
            <w:pPr>
              <w:jc w:val="center"/>
            </w:pPr>
            <w:r>
              <w:rPr>
                <w:color w:val="000000"/>
                <w:sz w:val="24"/>
                <w:szCs w:val="24"/>
              </w:rPr>
              <w:t>1.6</w:t>
            </w:r>
            <w:r>
              <w:rPr>
                <w:rFonts w:hint="eastAsia"/>
                <w:color w:val="000000"/>
                <w:sz w:val="24"/>
                <w:szCs w:val="24"/>
              </w:rPr>
              <w:t>7</w:t>
            </w:r>
            <w:r>
              <w:rPr>
                <w:color w:val="000000"/>
                <w:sz w:val="24"/>
                <w:szCs w:val="24"/>
              </w:rPr>
              <w:t>%</w:t>
            </w:r>
          </w:p>
        </w:tc>
        <w:tc>
          <w:tcPr>
            <w:tcW w:w="1194" w:type="dxa"/>
            <w:vAlign w:val="center"/>
          </w:tcPr>
          <w:p w:rsidR="00F02C90" w:rsidRDefault="00F30D86">
            <w:pPr>
              <w:jc w:val="center"/>
            </w:pPr>
            <w:r>
              <w:rPr>
                <w:rFonts w:hint="eastAsia"/>
                <w:color w:val="000000"/>
                <w:sz w:val="24"/>
                <w:szCs w:val="24"/>
              </w:rPr>
              <w:t>26</w:t>
            </w:r>
            <w:r>
              <w:rPr>
                <w:color w:val="000000"/>
                <w:sz w:val="24"/>
                <w:szCs w:val="24"/>
              </w:rPr>
              <w:t>.3</w:t>
            </w:r>
            <w:r w:rsidR="00D36252">
              <w:rPr>
                <w:rFonts w:hint="eastAsia"/>
                <w:color w:val="000000"/>
                <w:sz w:val="24"/>
                <w:szCs w:val="24"/>
              </w:rPr>
              <w:t>4</w:t>
            </w:r>
            <w:r w:rsidR="000335CF">
              <w:rPr>
                <w:color w:val="000000"/>
                <w:sz w:val="24"/>
                <w:szCs w:val="24"/>
              </w:rPr>
              <w:t>%</w:t>
            </w:r>
          </w:p>
        </w:tc>
        <w:tc>
          <w:tcPr>
            <w:tcW w:w="1492" w:type="dxa"/>
            <w:vAlign w:val="center"/>
          </w:tcPr>
          <w:p w:rsidR="00F02C90" w:rsidRDefault="00F30D86">
            <w:pPr>
              <w:jc w:val="center"/>
            </w:pPr>
            <w:r>
              <w:rPr>
                <w:rFonts w:hint="eastAsia"/>
                <w:color w:val="000000"/>
                <w:sz w:val="24"/>
                <w:szCs w:val="24"/>
              </w:rPr>
              <w:t>1</w:t>
            </w:r>
            <w:r w:rsidR="000335CF">
              <w:rPr>
                <w:color w:val="000000"/>
                <w:sz w:val="24"/>
                <w:szCs w:val="24"/>
              </w:rPr>
              <w:t>.</w:t>
            </w:r>
            <w:r>
              <w:rPr>
                <w:rFonts w:hint="eastAsia"/>
                <w:color w:val="000000"/>
                <w:sz w:val="24"/>
                <w:szCs w:val="24"/>
              </w:rPr>
              <w:t>2</w:t>
            </w:r>
            <w:r w:rsidR="000335CF">
              <w:rPr>
                <w:rFonts w:hint="eastAsia"/>
                <w:color w:val="000000"/>
                <w:sz w:val="24"/>
                <w:szCs w:val="24"/>
              </w:rPr>
              <w:t>2</w:t>
            </w:r>
            <w:r w:rsidR="000335CF">
              <w:rPr>
                <w:color w:val="000000"/>
                <w:sz w:val="24"/>
                <w:szCs w:val="24"/>
              </w:rPr>
              <w:t>%</w:t>
            </w:r>
          </w:p>
        </w:tc>
        <w:tc>
          <w:tcPr>
            <w:tcW w:w="1194" w:type="dxa"/>
            <w:vAlign w:val="center"/>
          </w:tcPr>
          <w:p w:rsidR="00F02C90" w:rsidRDefault="00F30D86">
            <w:pPr>
              <w:jc w:val="center"/>
            </w:pPr>
            <w:r>
              <w:rPr>
                <w:rFonts w:hint="eastAsia"/>
                <w:color w:val="000000"/>
                <w:sz w:val="24"/>
                <w:szCs w:val="24"/>
              </w:rPr>
              <w:t>21</w:t>
            </w:r>
            <w:r w:rsidR="000335CF">
              <w:rPr>
                <w:color w:val="000000"/>
                <w:sz w:val="24"/>
                <w:szCs w:val="24"/>
              </w:rPr>
              <w:t>.2</w:t>
            </w:r>
            <w:r w:rsidR="00D36252">
              <w:rPr>
                <w:rFonts w:hint="eastAsia"/>
                <w:color w:val="000000"/>
                <w:sz w:val="24"/>
                <w:szCs w:val="24"/>
              </w:rPr>
              <w:t>4</w:t>
            </w:r>
            <w:r w:rsidR="000335CF">
              <w:rPr>
                <w:color w:val="000000"/>
                <w:sz w:val="24"/>
                <w:szCs w:val="24"/>
              </w:rPr>
              <w:t>%</w:t>
            </w:r>
          </w:p>
        </w:tc>
        <w:tc>
          <w:tcPr>
            <w:tcW w:w="898" w:type="dxa"/>
            <w:vAlign w:val="center"/>
          </w:tcPr>
          <w:p w:rsidR="00F02C90" w:rsidRDefault="000335CF">
            <w:pPr>
              <w:jc w:val="center"/>
            </w:pPr>
            <w:r>
              <w:rPr>
                <w:color w:val="000000"/>
                <w:sz w:val="24"/>
                <w:szCs w:val="24"/>
              </w:rPr>
              <w:t>0.</w:t>
            </w:r>
            <w:r w:rsidR="00F30D86">
              <w:rPr>
                <w:rFonts w:hint="eastAsia"/>
                <w:color w:val="000000"/>
                <w:sz w:val="24"/>
                <w:szCs w:val="24"/>
              </w:rPr>
              <w:t>4</w:t>
            </w:r>
            <w:r>
              <w:rPr>
                <w:color w:val="000000"/>
                <w:sz w:val="24"/>
                <w:szCs w:val="24"/>
              </w:rPr>
              <w:t>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6A23AC" w:rsidP="00C15CAC">
      <w:pPr>
        <w:pStyle w:val="a5"/>
        <w:snapToGrid w:val="0"/>
        <w:spacing w:before="29" w:line="288" w:lineRule="auto"/>
        <w:jc w:val="center"/>
        <w:rPr>
          <w:rFonts w:ascii="Times New Roman" w:hAnsi="Times New Roman" w:cs="Times New Roman"/>
          <w:color w:val="000000"/>
          <w:sz w:val="24"/>
          <w:szCs w:val="24"/>
        </w:rPr>
      </w:pPr>
      <w:r>
        <w:rPr>
          <w:noProof/>
        </w:rPr>
        <w:drawing>
          <wp:inline distT="0" distB="0" distL="0" distR="0" wp14:anchorId="73A9B227" wp14:editId="22D871C7">
            <wp:extent cx="5731510" cy="3356610"/>
            <wp:effectExtent l="0" t="0" r="0" b="0"/>
            <wp:docPr id="1" name="图片 2" descr="走势图1.jpg"/>
            <wp:cNvGraphicFramePr/>
            <a:graphic xmlns:a="http://schemas.openxmlformats.org/drawingml/2006/main">
              <a:graphicData uri="http://schemas.openxmlformats.org/drawingml/2006/picture">
                <pic:pic xmlns:pic="http://schemas.openxmlformats.org/drawingml/2006/picture">
                  <pic:nvPicPr>
                    <pic:cNvPr id="3" name="图片 2" descr="走势图1.jpg"/>
                    <pic:cNvPicPr/>
                  </pic:nvPicPr>
                  <pic:blipFill>
                    <a:blip r:embed="rId14" cstate="print"/>
                    <a:stretch>
                      <a:fillRect/>
                    </a:stretch>
                  </pic:blipFill>
                  <pic:spPr>
                    <a:xfrm>
                      <a:off x="0" y="0"/>
                      <a:ext cx="5731510" cy="3356610"/>
                    </a:xfrm>
                    <a:prstGeom prst="rect">
                      <a:avLst/>
                    </a:prstGeom>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02C90">
        <w:trPr>
          <w:jc w:val="center"/>
        </w:trPr>
        <w:tc>
          <w:tcPr>
            <w:tcW w:w="846" w:type="dxa"/>
            <w:vAlign w:val="center"/>
          </w:tcPr>
          <w:p w:rsidR="00F02C90" w:rsidRDefault="000335CF">
            <w:pPr>
              <w:jc w:val="center"/>
            </w:pPr>
            <w:r>
              <w:rPr>
                <w:color w:val="000000"/>
                <w:sz w:val="24"/>
                <w:szCs w:val="24"/>
              </w:rPr>
              <w:t>王少成</w:t>
            </w:r>
          </w:p>
        </w:tc>
        <w:tc>
          <w:tcPr>
            <w:tcW w:w="845" w:type="dxa"/>
            <w:vAlign w:val="center"/>
          </w:tcPr>
          <w:p w:rsidR="00F02C90" w:rsidRDefault="000335CF">
            <w:pPr>
              <w:jc w:val="center"/>
            </w:pPr>
            <w:r>
              <w:rPr>
                <w:color w:val="000000"/>
                <w:sz w:val="24"/>
                <w:szCs w:val="24"/>
              </w:rPr>
              <w:t>交</w:t>
            </w:r>
            <w:proofErr w:type="gramStart"/>
            <w:r>
              <w:rPr>
                <w:color w:val="000000"/>
                <w:sz w:val="24"/>
                <w:szCs w:val="24"/>
              </w:rPr>
              <w:t>银成长</w:t>
            </w:r>
            <w:proofErr w:type="gramEnd"/>
            <w:r>
              <w:rPr>
                <w:color w:val="000000"/>
                <w:sz w:val="24"/>
                <w:szCs w:val="24"/>
              </w:rPr>
              <w:t>混合、交银蓝筹混合、交</w:t>
            </w:r>
            <w:proofErr w:type="gramStart"/>
            <w:r>
              <w:rPr>
                <w:color w:val="000000"/>
                <w:sz w:val="24"/>
                <w:szCs w:val="24"/>
              </w:rPr>
              <w:t>银成长</w:t>
            </w:r>
            <w:proofErr w:type="gramEnd"/>
            <w:r>
              <w:rPr>
                <w:color w:val="000000"/>
                <w:sz w:val="24"/>
                <w:szCs w:val="24"/>
              </w:rPr>
              <w:t>30</w:t>
            </w:r>
            <w:r>
              <w:rPr>
                <w:color w:val="000000"/>
                <w:sz w:val="24"/>
                <w:szCs w:val="24"/>
              </w:rPr>
              <w:t>混合、</w:t>
            </w:r>
            <w:proofErr w:type="gramStart"/>
            <w:r>
              <w:rPr>
                <w:color w:val="000000"/>
                <w:sz w:val="24"/>
                <w:szCs w:val="24"/>
              </w:rPr>
              <w:t>交银恒益</w:t>
            </w:r>
            <w:proofErr w:type="gramEnd"/>
            <w:r>
              <w:rPr>
                <w:color w:val="000000"/>
                <w:sz w:val="24"/>
                <w:szCs w:val="24"/>
              </w:rPr>
              <w:t>灵活配置混合的基金经理，公司权益投资总监</w:t>
            </w:r>
          </w:p>
        </w:tc>
        <w:tc>
          <w:tcPr>
            <w:tcW w:w="1549" w:type="dxa"/>
            <w:vAlign w:val="center"/>
          </w:tcPr>
          <w:p w:rsidR="00F02C90" w:rsidRDefault="000335CF">
            <w:pPr>
              <w:jc w:val="center"/>
            </w:pPr>
            <w:r>
              <w:rPr>
                <w:color w:val="000000"/>
                <w:sz w:val="24"/>
                <w:szCs w:val="24"/>
              </w:rPr>
              <w:t>2013-07-02</w:t>
            </w:r>
          </w:p>
        </w:tc>
        <w:tc>
          <w:tcPr>
            <w:tcW w:w="1548" w:type="dxa"/>
            <w:vAlign w:val="center"/>
          </w:tcPr>
          <w:p w:rsidR="00F02C90" w:rsidRDefault="000335CF">
            <w:pPr>
              <w:jc w:val="center"/>
            </w:pPr>
            <w:r>
              <w:rPr>
                <w:color w:val="000000"/>
                <w:sz w:val="24"/>
                <w:szCs w:val="24"/>
              </w:rPr>
              <w:t>-</w:t>
            </w:r>
          </w:p>
        </w:tc>
        <w:tc>
          <w:tcPr>
            <w:tcW w:w="1407" w:type="dxa"/>
            <w:vAlign w:val="center"/>
          </w:tcPr>
          <w:p w:rsidR="00F02C90" w:rsidRDefault="000335CF">
            <w:pPr>
              <w:jc w:val="center"/>
            </w:pPr>
            <w:r>
              <w:rPr>
                <w:color w:val="000000"/>
                <w:sz w:val="24"/>
                <w:szCs w:val="24"/>
              </w:rPr>
              <w:t>15</w:t>
            </w:r>
            <w:r>
              <w:rPr>
                <w:color w:val="000000"/>
                <w:sz w:val="24"/>
                <w:szCs w:val="24"/>
              </w:rPr>
              <w:t>年</w:t>
            </w:r>
          </w:p>
        </w:tc>
        <w:tc>
          <w:tcPr>
            <w:tcW w:w="2673" w:type="dxa"/>
            <w:vAlign w:val="center"/>
          </w:tcPr>
          <w:p w:rsidR="00F02C90" w:rsidRDefault="000335CF">
            <w:r>
              <w:rPr>
                <w:color w:val="000000"/>
                <w:sz w:val="24"/>
                <w:szCs w:val="24"/>
              </w:rPr>
              <w:t>王少成先生，复旦大学硕士学历。历任上海融昌资产管理公司研究员，中原证券投资经理，信</w:t>
            </w:r>
            <w:proofErr w:type="gramStart"/>
            <w:r>
              <w:rPr>
                <w:color w:val="000000"/>
                <w:sz w:val="24"/>
                <w:szCs w:val="24"/>
              </w:rPr>
              <w:t>诚基金</w:t>
            </w:r>
            <w:proofErr w:type="gramEnd"/>
            <w:r>
              <w:rPr>
                <w:color w:val="000000"/>
                <w:sz w:val="24"/>
                <w:szCs w:val="24"/>
              </w:rPr>
              <w:t>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r w:rsidR="00F02C90">
        <w:trPr>
          <w:jc w:val="center"/>
        </w:trPr>
        <w:tc>
          <w:tcPr>
            <w:tcW w:w="846" w:type="dxa"/>
            <w:vAlign w:val="center"/>
          </w:tcPr>
          <w:p w:rsidR="00F02C90" w:rsidRDefault="000335CF">
            <w:pPr>
              <w:jc w:val="center"/>
            </w:pPr>
            <w:r>
              <w:rPr>
                <w:color w:val="000000"/>
                <w:sz w:val="24"/>
                <w:szCs w:val="24"/>
              </w:rPr>
              <w:t>郭斐</w:t>
            </w:r>
          </w:p>
        </w:tc>
        <w:tc>
          <w:tcPr>
            <w:tcW w:w="845" w:type="dxa"/>
            <w:vAlign w:val="center"/>
          </w:tcPr>
          <w:p w:rsidR="00F02C90" w:rsidRDefault="000335CF">
            <w:pPr>
              <w:jc w:val="center"/>
            </w:pPr>
            <w:r>
              <w:rPr>
                <w:color w:val="000000"/>
                <w:sz w:val="24"/>
                <w:szCs w:val="24"/>
              </w:rPr>
              <w:t>交</w:t>
            </w:r>
            <w:proofErr w:type="gramStart"/>
            <w:r>
              <w:rPr>
                <w:color w:val="000000"/>
                <w:sz w:val="24"/>
                <w:szCs w:val="24"/>
              </w:rPr>
              <w:t>银成长</w:t>
            </w:r>
            <w:proofErr w:type="gramEnd"/>
            <w:r>
              <w:rPr>
                <w:color w:val="000000"/>
                <w:sz w:val="24"/>
                <w:szCs w:val="24"/>
              </w:rPr>
              <w:t>30</w:t>
            </w:r>
            <w:r>
              <w:rPr>
                <w:color w:val="000000"/>
                <w:sz w:val="24"/>
                <w:szCs w:val="24"/>
              </w:rPr>
              <w:t>混合、交银经济新动力混合的基金经理</w:t>
            </w:r>
          </w:p>
        </w:tc>
        <w:tc>
          <w:tcPr>
            <w:tcW w:w="1549" w:type="dxa"/>
            <w:vAlign w:val="center"/>
          </w:tcPr>
          <w:p w:rsidR="00F02C90" w:rsidRDefault="000335CF">
            <w:pPr>
              <w:jc w:val="center"/>
            </w:pPr>
            <w:r>
              <w:rPr>
                <w:color w:val="000000"/>
                <w:sz w:val="24"/>
                <w:szCs w:val="24"/>
              </w:rPr>
              <w:t>2017-09-26</w:t>
            </w:r>
          </w:p>
        </w:tc>
        <w:tc>
          <w:tcPr>
            <w:tcW w:w="1548" w:type="dxa"/>
            <w:vAlign w:val="center"/>
          </w:tcPr>
          <w:p w:rsidR="00F02C90" w:rsidRDefault="000335CF">
            <w:pPr>
              <w:jc w:val="center"/>
            </w:pPr>
            <w:r>
              <w:rPr>
                <w:color w:val="000000"/>
                <w:sz w:val="24"/>
                <w:szCs w:val="24"/>
              </w:rPr>
              <w:t>-</w:t>
            </w:r>
          </w:p>
        </w:tc>
        <w:tc>
          <w:tcPr>
            <w:tcW w:w="1407" w:type="dxa"/>
            <w:vAlign w:val="center"/>
          </w:tcPr>
          <w:p w:rsidR="00F02C90" w:rsidRDefault="000335CF">
            <w:pPr>
              <w:jc w:val="center"/>
            </w:pPr>
            <w:r>
              <w:rPr>
                <w:color w:val="000000"/>
                <w:sz w:val="24"/>
                <w:szCs w:val="24"/>
              </w:rPr>
              <w:t>10</w:t>
            </w:r>
            <w:r>
              <w:rPr>
                <w:color w:val="000000"/>
                <w:sz w:val="24"/>
                <w:szCs w:val="24"/>
              </w:rPr>
              <w:t>年</w:t>
            </w:r>
          </w:p>
        </w:tc>
        <w:tc>
          <w:tcPr>
            <w:tcW w:w="2673" w:type="dxa"/>
            <w:vAlign w:val="center"/>
          </w:tcPr>
          <w:p w:rsidR="00F02C90" w:rsidRDefault="000335CF">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02C90" w:rsidRDefault="000335C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02C90" w:rsidRDefault="000335C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02C90" w:rsidRDefault="000335C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02C90" w:rsidRDefault="000335CF">
      <w:pPr>
        <w:spacing w:before="29" w:line="288" w:lineRule="auto"/>
        <w:ind w:firstLineChars="200" w:firstLine="480"/>
        <w:rPr>
          <w:color w:val="000000"/>
          <w:sz w:val="24"/>
          <w:szCs w:val="24"/>
        </w:rPr>
      </w:pPr>
      <w:r>
        <w:rPr>
          <w:color w:val="000000"/>
          <w:sz w:val="24"/>
          <w:szCs w:val="24"/>
        </w:rPr>
        <w:t>2019</w:t>
      </w:r>
      <w:r>
        <w:rPr>
          <w:color w:val="000000"/>
          <w:sz w:val="24"/>
          <w:szCs w:val="24"/>
        </w:rPr>
        <w:t>年一季度，</w:t>
      </w:r>
      <w:r>
        <w:rPr>
          <w:color w:val="000000"/>
          <w:sz w:val="24"/>
          <w:szCs w:val="24"/>
        </w:rPr>
        <w:t>A</w:t>
      </w:r>
      <w:r>
        <w:rPr>
          <w:color w:val="000000"/>
          <w:sz w:val="24"/>
          <w:szCs w:val="24"/>
        </w:rPr>
        <w:t>股市场在全球风险偏好修复的大环境下迎来了久违的小阳春，较为宽松的货币环境以及优于预期的数据改善共同催生了</w:t>
      </w:r>
      <w:r>
        <w:rPr>
          <w:color w:val="000000"/>
          <w:sz w:val="24"/>
          <w:szCs w:val="24"/>
        </w:rPr>
        <w:t>“</w:t>
      </w:r>
      <w:r>
        <w:rPr>
          <w:color w:val="000000"/>
          <w:sz w:val="24"/>
          <w:szCs w:val="24"/>
        </w:rPr>
        <w:t>价值搭台、成长唱戏</w:t>
      </w:r>
      <w:r>
        <w:rPr>
          <w:color w:val="000000"/>
          <w:sz w:val="24"/>
          <w:szCs w:val="24"/>
        </w:rPr>
        <w:t>”</w:t>
      </w:r>
      <w:r>
        <w:rPr>
          <w:color w:val="000000"/>
          <w:sz w:val="24"/>
          <w:szCs w:val="24"/>
        </w:rPr>
        <w:t>的局面。</w:t>
      </w:r>
    </w:p>
    <w:p w:rsidR="00F02C90" w:rsidRDefault="000335CF">
      <w:pPr>
        <w:spacing w:before="29" w:line="288" w:lineRule="auto"/>
        <w:ind w:firstLineChars="200" w:firstLine="480"/>
        <w:rPr>
          <w:color w:val="000000"/>
          <w:sz w:val="24"/>
          <w:szCs w:val="24"/>
        </w:rPr>
      </w:pPr>
      <w:r>
        <w:rPr>
          <w:color w:val="000000"/>
          <w:sz w:val="24"/>
          <w:szCs w:val="24"/>
        </w:rPr>
        <w:t>报告期内，本基金较早提升了</w:t>
      </w:r>
      <w:proofErr w:type="gramStart"/>
      <w:r>
        <w:rPr>
          <w:color w:val="000000"/>
          <w:sz w:val="24"/>
          <w:szCs w:val="24"/>
        </w:rPr>
        <w:t>仓位</w:t>
      </w:r>
      <w:proofErr w:type="gramEnd"/>
      <w:r>
        <w:rPr>
          <w:color w:val="000000"/>
          <w:sz w:val="24"/>
          <w:szCs w:val="24"/>
        </w:rPr>
        <w:t>，重点配置了新能源汽车、智能装备、创新硬件、</w:t>
      </w:r>
      <w:r>
        <w:rPr>
          <w:color w:val="000000"/>
          <w:sz w:val="24"/>
          <w:szCs w:val="24"/>
        </w:rPr>
        <w:t>5G</w:t>
      </w:r>
      <w:r>
        <w:rPr>
          <w:color w:val="000000"/>
          <w:sz w:val="24"/>
          <w:szCs w:val="24"/>
        </w:rPr>
        <w:t>以及产业信息化等领域的成长股及以地产为代表的逆周期蓝筹品种。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二季度，我们认为市场机遇与风险并存，重点关注经济止跌企稳的预期何时会被证实或证伪。在日渐升温的市场热情下，我们仍看到一批估值具备吸引力的优质成长股的存在，它们或顺应产业爆发的趋势，或有望成长为细分行业的隐形冠军。同时，以地产为代表的逆周期蓝</w:t>
      </w:r>
      <w:proofErr w:type="gramStart"/>
      <w:r w:rsidRPr="00414345">
        <w:rPr>
          <w:color w:val="000000"/>
          <w:sz w:val="24"/>
          <w:szCs w:val="24"/>
        </w:rPr>
        <w:t>筹品种</w:t>
      </w:r>
      <w:proofErr w:type="gramEnd"/>
      <w:r w:rsidRPr="00414345">
        <w:rPr>
          <w:color w:val="000000"/>
          <w:sz w:val="24"/>
          <w:szCs w:val="24"/>
        </w:rPr>
        <w:t>仍然具备配置的价值。本基金将持续挖掘行业成长空间广阔、具备核心竞争力的公司，把握合适的配置窗口，力争为投资人获得持续稳定的超额回报。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194,003,850.31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88.08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194,003,850.31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88.08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24,002,690.16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2,262,132.00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220,268,672.47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5,793,590.98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138,547,317.93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7,230,605.00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6,129,448.60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17,844,242.36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18,458,645.44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194,003,850.31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89.86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02C90">
        <w:trPr>
          <w:jc w:val="center"/>
        </w:trPr>
        <w:tc>
          <w:tcPr>
            <w:tcW w:w="855" w:type="dxa"/>
            <w:vAlign w:val="center"/>
          </w:tcPr>
          <w:p w:rsidR="00F02C90" w:rsidRDefault="000335CF">
            <w:pPr>
              <w:jc w:val="center"/>
            </w:pPr>
            <w:r>
              <w:rPr>
                <w:color w:val="000000"/>
                <w:sz w:val="24"/>
                <w:szCs w:val="24"/>
              </w:rPr>
              <w:t>1</w:t>
            </w:r>
          </w:p>
        </w:tc>
        <w:tc>
          <w:tcPr>
            <w:tcW w:w="1334" w:type="dxa"/>
            <w:vAlign w:val="center"/>
          </w:tcPr>
          <w:p w:rsidR="00F02C90" w:rsidRDefault="000335CF">
            <w:pPr>
              <w:jc w:val="center"/>
            </w:pPr>
            <w:r>
              <w:rPr>
                <w:color w:val="000000"/>
                <w:sz w:val="24"/>
                <w:szCs w:val="24"/>
              </w:rPr>
              <w:t>300014</w:t>
            </w:r>
          </w:p>
        </w:tc>
        <w:tc>
          <w:tcPr>
            <w:tcW w:w="1777" w:type="dxa"/>
            <w:vAlign w:val="center"/>
          </w:tcPr>
          <w:p w:rsidR="00F02C90" w:rsidRDefault="000335CF">
            <w:pPr>
              <w:jc w:val="center"/>
            </w:pPr>
            <w:r>
              <w:rPr>
                <w:color w:val="000000"/>
                <w:sz w:val="24"/>
                <w:szCs w:val="24"/>
              </w:rPr>
              <w:t>亿</w:t>
            </w:r>
            <w:proofErr w:type="gramStart"/>
            <w:r>
              <w:rPr>
                <w:color w:val="000000"/>
                <w:sz w:val="24"/>
                <w:szCs w:val="24"/>
              </w:rPr>
              <w:t>纬锂能</w:t>
            </w:r>
            <w:proofErr w:type="gramEnd"/>
          </w:p>
        </w:tc>
        <w:tc>
          <w:tcPr>
            <w:tcW w:w="1334" w:type="dxa"/>
            <w:vAlign w:val="center"/>
          </w:tcPr>
          <w:p w:rsidR="00F02C90" w:rsidRDefault="000335CF">
            <w:pPr>
              <w:jc w:val="right"/>
            </w:pPr>
            <w:r>
              <w:rPr>
                <w:color w:val="000000"/>
                <w:sz w:val="24"/>
                <w:szCs w:val="24"/>
              </w:rPr>
              <w:t>845,076</w:t>
            </w:r>
          </w:p>
        </w:tc>
        <w:tc>
          <w:tcPr>
            <w:tcW w:w="1924" w:type="dxa"/>
            <w:vAlign w:val="center"/>
          </w:tcPr>
          <w:p w:rsidR="00F02C90" w:rsidRDefault="000335CF">
            <w:pPr>
              <w:jc w:val="right"/>
            </w:pPr>
            <w:r>
              <w:rPr>
                <w:color w:val="000000"/>
                <w:sz w:val="24"/>
                <w:szCs w:val="24"/>
              </w:rPr>
              <w:t>20,602,952.88</w:t>
            </w:r>
          </w:p>
        </w:tc>
        <w:tc>
          <w:tcPr>
            <w:tcW w:w="1644" w:type="dxa"/>
            <w:vAlign w:val="center"/>
          </w:tcPr>
          <w:p w:rsidR="00F02C90" w:rsidRDefault="000335CF">
            <w:pPr>
              <w:jc w:val="right"/>
            </w:pPr>
            <w:r>
              <w:rPr>
                <w:color w:val="000000"/>
                <w:sz w:val="24"/>
                <w:szCs w:val="24"/>
              </w:rPr>
              <w:t>9.54</w:t>
            </w:r>
          </w:p>
        </w:tc>
      </w:tr>
      <w:tr w:rsidR="00F02C90">
        <w:trPr>
          <w:jc w:val="center"/>
        </w:trPr>
        <w:tc>
          <w:tcPr>
            <w:tcW w:w="855" w:type="dxa"/>
            <w:vAlign w:val="center"/>
          </w:tcPr>
          <w:p w:rsidR="00F02C90" w:rsidRDefault="000335CF">
            <w:pPr>
              <w:jc w:val="center"/>
            </w:pPr>
            <w:r>
              <w:rPr>
                <w:color w:val="000000"/>
                <w:sz w:val="24"/>
                <w:szCs w:val="24"/>
              </w:rPr>
              <w:t>2</w:t>
            </w:r>
          </w:p>
        </w:tc>
        <w:tc>
          <w:tcPr>
            <w:tcW w:w="1334" w:type="dxa"/>
            <w:vAlign w:val="center"/>
          </w:tcPr>
          <w:p w:rsidR="00F02C90" w:rsidRDefault="000335CF">
            <w:pPr>
              <w:jc w:val="center"/>
            </w:pPr>
            <w:r>
              <w:rPr>
                <w:color w:val="000000"/>
                <w:sz w:val="24"/>
                <w:szCs w:val="24"/>
              </w:rPr>
              <w:t>603666</w:t>
            </w:r>
          </w:p>
        </w:tc>
        <w:tc>
          <w:tcPr>
            <w:tcW w:w="1777" w:type="dxa"/>
            <w:vAlign w:val="center"/>
          </w:tcPr>
          <w:p w:rsidR="00F02C90" w:rsidRDefault="000335CF">
            <w:pPr>
              <w:jc w:val="center"/>
            </w:pPr>
            <w:r>
              <w:rPr>
                <w:color w:val="000000"/>
                <w:sz w:val="24"/>
                <w:szCs w:val="24"/>
              </w:rPr>
              <w:t>亿嘉和</w:t>
            </w:r>
          </w:p>
        </w:tc>
        <w:tc>
          <w:tcPr>
            <w:tcW w:w="1334" w:type="dxa"/>
            <w:vAlign w:val="center"/>
          </w:tcPr>
          <w:p w:rsidR="00F02C90" w:rsidRDefault="000335CF">
            <w:pPr>
              <w:jc w:val="right"/>
            </w:pPr>
            <w:r>
              <w:rPr>
                <w:color w:val="000000"/>
                <w:sz w:val="24"/>
                <w:szCs w:val="24"/>
              </w:rPr>
              <w:t>293,780</w:t>
            </w:r>
          </w:p>
        </w:tc>
        <w:tc>
          <w:tcPr>
            <w:tcW w:w="1924" w:type="dxa"/>
            <w:vAlign w:val="center"/>
          </w:tcPr>
          <w:p w:rsidR="00F02C90" w:rsidRDefault="000335CF">
            <w:pPr>
              <w:jc w:val="right"/>
            </w:pPr>
            <w:r>
              <w:rPr>
                <w:color w:val="000000"/>
                <w:sz w:val="24"/>
                <w:szCs w:val="24"/>
              </w:rPr>
              <w:t>19,865,403.60</w:t>
            </w:r>
          </w:p>
        </w:tc>
        <w:tc>
          <w:tcPr>
            <w:tcW w:w="1644" w:type="dxa"/>
            <w:vAlign w:val="center"/>
          </w:tcPr>
          <w:p w:rsidR="00F02C90" w:rsidRDefault="000335CF">
            <w:pPr>
              <w:jc w:val="right"/>
            </w:pPr>
            <w:r>
              <w:rPr>
                <w:color w:val="000000"/>
                <w:sz w:val="24"/>
                <w:szCs w:val="24"/>
              </w:rPr>
              <w:t>9.20</w:t>
            </w:r>
          </w:p>
        </w:tc>
      </w:tr>
      <w:tr w:rsidR="00F02C90">
        <w:trPr>
          <w:jc w:val="center"/>
        </w:trPr>
        <w:tc>
          <w:tcPr>
            <w:tcW w:w="855" w:type="dxa"/>
            <w:vAlign w:val="center"/>
          </w:tcPr>
          <w:p w:rsidR="00F02C90" w:rsidRDefault="000335CF">
            <w:pPr>
              <w:jc w:val="center"/>
            </w:pPr>
            <w:r>
              <w:rPr>
                <w:color w:val="000000"/>
                <w:sz w:val="24"/>
                <w:szCs w:val="24"/>
              </w:rPr>
              <w:t>3</w:t>
            </w:r>
          </w:p>
        </w:tc>
        <w:tc>
          <w:tcPr>
            <w:tcW w:w="1334" w:type="dxa"/>
            <w:vAlign w:val="center"/>
          </w:tcPr>
          <w:p w:rsidR="00F02C90" w:rsidRDefault="000335CF">
            <w:pPr>
              <w:jc w:val="center"/>
            </w:pPr>
            <w:r>
              <w:rPr>
                <w:color w:val="000000"/>
                <w:sz w:val="24"/>
                <w:szCs w:val="24"/>
              </w:rPr>
              <w:t>603160</w:t>
            </w:r>
          </w:p>
        </w:tc>
        <w:tc>
          <w:tcPr>
            <w:tcW w:w="1777" w:type="dxa"/>
            <w:vAlign w:val="center"/>
          </w:tcPr>
          <w:p w:rsidR="00F02C90" w:rsidRDefault="000335CF">
            <w:pPr>
              <w:jc w:val="center"/>
            </w:pPr>
            <w:proofErr w:type="gramStart"/>
            <w:r>
              <w:rPr>
                <w:color w:val="000000"/>
                <w:sz w:val="24"/>
                <w:szCs w:val="24"/>
              </w:rPr>
              <w:t>汇顶科技</w:t>
            </w:r>
            <w:proofErr w:type="gramEnd"/>
          </w:p>
        </w:tc>
        <w:tc>
          <w:tcPr>
            <w:tcW w:w="1334" w:type="dxa"/>
            <w:vAlign w:val="center"/>
          </w:tcPr>
          <w:p w:rsidR="00F02C90" w:rsidRDefault="000335CF">
            <w:pPr>
              <w:jc w:val="right"/>
            </w:pPr>
            <w:r>
              <w:rPr>
                <w:color w:val="000000"/>
                <w:sz w:val="24"/>
                <w:szCs w:val="24"/>
              </w:rPr>
              <w:t>159,204</w:t>
            </w:r>
          </w:p>
        </w:tc>
        <w:tc>
          <w:tcPr>
            <w:tcW w:w="1924" w:type="dxa"/>
            <w:vAlign w:val="center"/>
          </w:tcPr>
          <w:p w:rsidR="00F02C90" w:rsidRDefault="000335CF">
            <w:pPr>
              <w:jc w:val="right"/>
            </w:pPr>
            <w:r>
              <w:rPr>
                <w:color w:val="000000"/>
                <w:sz w:val="24"/>
                <w:szCs w:val="24"/>
              </w:rPr>
              <w:t>16,525,375.20</w:t>
            </w:r>
          </w:p>
        </w:tc>
        <w:tc>
          <w:tcPr>
            <w:tcW w:w="1644" w:type="dxa"/>
            <w:vAlign w:val="center"/>
          </w:tcPr>
          <w:p w:rsidR="00F02C90" w:rsidRDefault="000335CF">
            <w:pPr>
              <w:jc w:val="right"/>
            </w:pPr>
            <w:r>
              <w:rPr>
                <w:color w:val="000000"/>
                <w:sz w:val="24"/>
                <w:szCs w:val="24"/>
              </w:rPr>
              <w:t>7.65</w:t>
            </w:r>
          </w:p>
        </w:tc>
      </w:tr>
      <w:tr w:rsidR="00F02C90">
        <w:trPr>
          <w:jc w:val="center"/>
        </w:trPr>
        <w:tc>
          <w:tcPr>
            <w:tcW w:w="855" w:type="dxa"/>
            <w:vAlign w:val="center"/>
          </w:tcPr>
          <w:p w:rsidR="00F02C90" w:rsidRDefault="000335CF">
            <w:pPr>
              <w:jc w:val="center"/>
            </w:pPr>
            <w:r>
              <w:rPr>
                <w:color w:val="000000"/>
                <w:sz w:val="24"/>
                <w:szCs w:val="24"/>
              </w:rPr>
              <w:t>4</w:t>
            </w:r>
          </w:p>
        </w:tc>
        <w:tc>
          <w:tcPr>
            <w:tcW w:w="1334" w:type="dxa"/>
            <w:vAlign w:val="center"/>
          </w:tcPr>
          <w:p w:rsidR="00F02C90" w:rsidRDefault="000335CF">
            <w:pPr>
              <w:jc w:val="center"/>
            </w:pPr>
            <w:r>
              <w:rPr>
                <w:color w:val="000000"/>
                <w:sz w:val="24"/>
                <w:szCs w:val="24"/>
              </w:rPr>
              <w:t>300207</w:t>
            </w:r>
          </w:p>
        </w:tc>
        <w:tc>
          <w:tcPr>
            <w:tcW w:w="1777" w:type="dxa"/>
            <w:vAlign w:val="center"/>
          </w:tcPr>
          <w:p w:rsidR="00F02C90" w:rsidRDefault="000335CF">
            <w:pPr>
              <w:jc w:val="center"/>
            </w:pPr>
            <w:proofErr w:type="gramStart"/>
            <w:r>
              <w:rPr>
                <w:color w:val="000000"/>
                <w:sz w:val="24"/>
                <w:szCs w:val="24"/>
              </w:rPr>
              <w:t>欣旺达</w:t>
            </w:r>
            <w:proofErr w:type="gramEnd"/>
          </w:p>
        </w:tc>
        <w:tc>
          <w:tcPr>
            <w:tcW w:w="1334" w:type="dxa"/>
            <w:vAlign w:val="center"/>
          </w:tcPr>
          <w:p w:rsidR="00F02C90" w:rsidRDefault="000335CF">
            <w:pPr>
              <w:jc w:val="right"/>
            </w:pPr>
            <w:r>
              <w:rPr>
                <w:color w:val="000000"/>
                <w:sz w:val="24"/>
                <w:szCs w:val="24"/>
              </w:rPr>
              <w:t>1,015,977</w:t>
            </w:r>
          </w:p>
        </w:tc>
        <w:tc>
          <w:tcPr>
            <w:tcW w:w="1924" w:type="dxa"/>
            <w:vAlign w:val="center"/>
          </w:tcPr>
          <w:p w:rsidR="00F02C90" w:rsidRDefault="000335CF">
            <w:pPr>
              <w:jc w:val="right"/>
            </w:pPr>
            <w:r>
              <w:rPr>
                <w:color w:val="000000"/>
                <w:sz w:val="24"/>
                <w:szCs w:val="24"/>
              </w:rPr>
              <w:t>12,100,286.07</w:t>
            </w:r>
          </w:p>
        </w:tc>
        <w:tc>
          <w:tcPr>
            <w:tcW w:w="1644" w:type="dxa"/>
            <w:vAlign w:val="center"/>
          </w:tcPr>
          <w:p w:rsidR="00F02C90" w:rsidRDefault="000335CF">
            <w:pPr>
              <w:jc w:val="right"/>
            </w:pPr>
            <w:r>
              <w:rPr>
                <w:color w:val="000000"/>
                <w:sz w:val="24"/>
                <w:szCs w:val="24"/>
              </w:rPr>
              <w:t>5.60</w:t>
            </w:r>
          </w:p>
        </w:tc>
      </w:tr>
      <w:tr w:rsidR="00F02C90">
        <w:trPr>
          <w:jc w:val="center"/>
        </w:trPr>
        <w:tc>
          <w:tcPr>
            <w:tcW w:w="855" w:type="dxa"/>
            <w:vAlign w:val="center"/>
          </w:tcPr>
          <w:p w:rsidR="00F02C90" w:rsidRDefault="000335CF">
            <w:pPr>
              <w:jc w:val="center"/>
            </w:pPr>
            <w:r>
              <w:rPr>
                <w:color w:val="000000"/>
                <w:sz w:val="24"/>
                <w:szCs w:val="24"/>
              </w:rPr>
              <w:t>5</w:t>
            </w:r>
          </w:p>
        </w:tc>
        <w:tc>
          <w:tcPr>
            <w:tcW w:w="1334" w:type="dxa"/>
            <w:vAlign w:val="center"/>
          </w:tcPr>
          <w:p w:rsidR="00F02C90" w:rsidRDefault="000335CF">
            <w:pPr>
              <w:jc w:val="center"/>
            </w:pPr>
            <w:r>
              <w:rPr>
                <w:color w:val="000000"/>
                <w:sz w:val="24"/>
                <w:szCs w:val="24"/>
              </w:rPr>
              <w:t>600480</w:t>
            </w:r>
          </w:p>
        </w:tc>
        <w:tc>
          <w:tcPr>
            <w:tcW w:w="1777" w:type="dxa"/>
            <w:vAlign w:val="center"/>
          </w:tcPr>
          <w:p w:rsidR="00F02C90" w:rsidRDefault="000335CF">
            <w:pPr>
              <w:jc w:val="center"/>
            </w:pPr>
            <w:r>
              <w:rPr>
                <w:color w:val="000000"/>
                <w:sz w:val="24"/>
                <w:szCs w:val="24"/>
              </w:rPr>
              <w:t>凌云股份</w:t>
            </w:r>
          </w:p>
        </w:tc>
        <w:tc>
          <w:tcPr>
            <w:tcW w:w="1334" w:type="dxa"/>
            <w:vAlign w:val="center"/>
          </w:tcPr>
          <w:p w:rsidR="00F02C90" w:rsidRDefault="000335CF">
            <w:pPr>
              <w:jc w:val="right"/>
            </w:pPr>
            <w:r>
              <w:rPr>
                <w:color w:val="000000"/>
                <w:sz w:val="24"/>
                <w:szCs w:val="24"/>
              </w:rPr>
              <w:t>906,900</w:t>
            </w:r>
          </w:p>
        </w:tc>
        <w:tc>
          <w:tcPr>
            <w:tcW w:w="1924" w:type="dxa"/>
            <w:vAlign w:val="center"/>
          </w:tcPr>
          <w:p w:rsidR="00F02C90" w:rsidRDefault="000335CF">
            <w:pPr>
              <w:jc w:val="right"/>
            </w:pPr>
            <w:r>
              <w:rPr>
                <w:color w:val="000000"/>
                <w:sz w:val="24"/>
                <w:szCs w:val="24"/>
              </w:rPr>
              <w:t>11,245,560.00</w:t>
            </w:r>
          </w:p>
        </w:tc>
        <w:tc>
          <w:tcPr>
            <w:tcW w:w="1644" w:type="dxa"/>
            <w:vAlign w:val="center"/>
          </w:tcPr>
          <w:p w:rsidR="00F02C90" w:rsidRDefault="000335CF">
            <w:pPr>
              <w:jc w:val="right"/>
            </w:pPr>
            <w:r>
              <w:rPr>
                <w:color w:val="000000"/>
                <w:sz w:val="24"/>
                <w:szCs w:val="24"/>
              </w:rPr>
              <w:t>5.21</w:t>
            </w:r>
          </w:p>
        </w:tc>
      </w:tr>
      <w:tr w:rsidR="00F02C90">
        <w:trPr>
          <w:jc w:val="center"/>
        </w:trPr>
        <w:tc>
          <w:tcPr>
            <w:tcW w:w="855" w:type="dxa"/>
            <w:vAlign w:val="center"/>
          </w:tcPr>
          <w:p w:rsidR="00F02C90" w:rsidRDefault="000335CF">
            <w:pPr>
              <w:jc w:val="center"/>
            </w:pPr>
            <w:r>
              <w:rPr>
                <w:color w:val="000000"/>
                <w:sz w:val="24"/>
                <w:szCs w:val="24"/>
              </w:rPr>
              <w:t>6</w:t>
            </w:r>
          </w:p>
        </w:tc>
        <w:tc>
          <w:tcPr>
            <w:tcW w:w="1334" w:type="dxa"/>
            <w:vAlign w:val="center"/>
          </w:tcPr>
          <w:p w:rsidR="00F02C90" w:rsidRDefault="000335CF">
            <w:pPr>
              <w:jc w:val="center"/>
            </w:pPr>
            <w:r>
              <w:rPr>
                <w:color w:val="000000"/>
                <w:sz w:val="24"/>
                <w:szCs w:val="24"/>
              </w:rPr>
              <w:t>300638</w:t>
            </w:r>
          </w:p>
        </w:tc>
        <w:tc>
          <w:tcPr>
            <w:tcW w:w="1777" w:type="dxa"/>
            <w:vAlign w:val="center"/>
          </w:tcPr>
          <w:p w:rsidR="00F02C90" w:rsidRDefault="000335CF">
            <w:pPr>
              <w:jc w:val="center"/>
            </w:pPr>
            <w:r>
              <w:rPr>
                <w:color w:val="000000"/>
                <w:sz w:val="24"/>
                <w:szCs w:val="24"/>
              </w:rPr>
              <w:t>广和通</w:t>
            </w:r>
          </w:p>
        </w:tc>
        <w:tc>
          <w:tcPr>
            <w:tcW w:w="1334" w:type="dxa"/>
            <w:vAlign w:val="center"/>
          </w:tcPr>
          <w:p w:rsidR="00F02C90" w:rsidRDefault="000335CF">
            <w:pPr>
              <w:jc w:val="right"/>
            </w:pPr>
            <w:r>
              <w:rPr>
                <w:color w:val="000000"/>
                <w:sz w:val="24"/>
                <w:szCs w:val="24"/>
              </w:rPr>
              <w:t>184,988</w:t>
            </w:r>
          </w:p>
        </w:tc>
        <w:tc>
          <w:tcPr>
            <w:tcW w:w="1924" w:type="dxa"/>
            <w:vAlign w:val="center"/>
          </w:tcPr>
          <w:p w:rsidR="00F02C90" w:rsidRDefault="000335CF">
            <w:pPr>
              <w:jc w:val="right"/>
            </w:pPr>
            <w:r>
              <w:rPr>
                <w:color w:val="000000"/>
                <w:sz w:val="24"/>
                <w:szCs w:val="24"/>
              </w:rPr>
              <w:t>11,099,280.00</w:t>
            </w:r>
          </w:p>
        </w:tc>
        <w:tc>
          <w:tcPr>
            <w:tcW w:w="1644" w:type="dxa"/>
            <w:vAlign w:val="center"/>
          </w:tcPr>
          <w:p w:rsidR="00F02C90" w:rsidRDefault="000335CF">
            <w:pPr>
              <w:jc w:val="right"/>
            </w:pPr>
            <w:r>
              <w:rPr>
                <w:color w:val="000000"/>
                <w:sz w:val="24"/>
                <w:szCs w:val="24"/>
              </w:rPr>
              <w:t>5.14</w:t>
            </w:r>
          </w:p>
        </w:tc>
      </w:tr>
      <w:tr w:rsidR="00F02C90">
        <w:trPr>
          <w:jc w:val="center"/>
        </w:trPr>
        <w:tc>
          <w:tcPr>
            <w:tcW w:w="855" w:type="dxa"/>
            <w:vAlign w:val="center"/>
          </w:tcPr>
          <w:p w:rsidR="00F02C90" w:rsidRDefault="000335CF">
            <w:pPr>
              <w:jc w:val="center"/>
            </w:pPr>
            <w:r>
              <w:rPr>
                <w:color w:val="000000"/>
                <w:sz w:val="24"/>
                <w:szCs w:val="24"/>
              </w:rPr>
              <w:t>7</w:t>
            </w:r>
          </w:p>
        </w:tc>
        <w:tc>
          <w:tcPr>
            <w:tcW w:w="1334" w:type="dxa"/>
            <w:vAlign w:val="center"/>
          </w:tcPr>
          <w:p w:rsidR="00F02C90" w:rsidRDefault="000335CF">
            <w:pPr>
              <w:jc w:val="center"/>
            </w:pPr>
            <w:r>
              <w:rPr>
                <w:color w:val="000000"/>
                <w:sz w:val="24"/>
                <w:szCs w:val="24"/>
              </w:rPr>
              <w:t>601231</w:t>
            </w:r>
          </w:p>
        </w:tc>
        <w:tc>
          <w:tcPr>
            <w:tcW w:w="1777" w:type="dxa"/>
            <w:vAlign w:val="center"/>
          </w:tcPr>
          <w:p w:rsidR="00F02C90" w:rsidRDefault="000335CF">
            <w:pPr>
              <w:jc w:val="center"/>
            </w:pPr>
            <w:proofErr w:type="gramStart"/>
            <w:r>
              <w:rPr>
                <w:color w:val="000000"/>
                <w:sz w:val="24"/>
                <w:szCs w:val="24"/>
              </w:rPr>
              <w:t>环旭电子</w:t>
            </w:r>
            <w:proofErr w:type="gramEnd"/>
          </w:p>
        </w:tc>
        <w:tc>
          <w:tcPr>
            <w:tcW w:w="1334" w:type="dxa"/>
            <w:vAlign w:val="center"/>
          </w:tcPr>
          <w:p w:rsidR="00F02C90" w:rsidRDefault="000335CF">
            <w:pPr>
              <w:jc w:val="right"/>
            </w:pPr>
            <w:r>
              <w:rPr>
                <w:color w:val="000000"/>
                <w:sz w:val="24"/>
                <w:szCs w:val="24"/>
              </w:rPr>
              <w:t>549,701</w:t>
            </w:r>
          </w:p>
        </w:tc>
        <w:tc>
          <w:tcPr>
            <w:tcW w:w="1924" w:type="dxa"/>
            <w:vAlign w:val="center"/>
          </w:tcPr>
          <w:p w:rsidR="00F02C90" w:rsidRDefault="000335CF">
            <w:pPr>
              <w:jc w:val="right"/>
            </w:pPr>
            <w:r>
              <w:rPr>
                <w:color w:val="000000"/>
                <w:sz w:val="24"/>
                <w:szCs w:val="24"/>
              </w:rPr>
              <w:t>8,465,395.40</w:t>
            </w:r>
          </w:p>
        </w:tc>
        <w:tc>
          <w:tcPr>
            <w:tcW w:w="1644" w:type="dxa"/>
            <w:vAlign w:val="center"/>
          </w:tcPr>
          <w:p w:rsidR="00F02C90" w:rsidRDefault="000335CF">
            <w:pPr>
              <w:jc w:val="right"/>
            </w:pPr>
            <w:r>
              <w:rPr>
                <w:color w:val="000000"/>
                <w:sz w:val="24"/>
                <w:szCs w:val="24"/>
              </w:rPr>
              <w:t>3.92</w:t>
            </w:r>
          </w:p>
        </w:tc>
      </w:tr>
      <w:tr w:rsidR="00F02C90">
        <w:trPr>
          <w:jc w:val="center"/>
        </w:trPr>
        <w:tc>
          <w:tcPr>
            <w:tcW w:w="855" w:type="dxa"/>
            <w:vAlign w:val="center"/>
          </w:tcPr>
          <w:p w:rsidR="00F02C90" w:rsidRDefault="000335CF">
            <w:pPr>
              <w:jc w:val="center"/>
            </w:pPr>
            <w:r>
              <w:rPr>
                <w:color w:val="000000"/>
                <w:sz w:val="24"/>
                <w:szCs w:val="24"/>
              </w:rPr>
              <w:t>8</w:t>
            </w:r>
          </w:p>
        </w:tc>
        <w:tc>
          <w:tcPr>
            <w:tcW w:w="1334" w:type="dxa"/>
            <w:vAlign w:val="center"/>
          </w:tcPr>
          <w:p w:rsidR="00F02C90" w:rsidRDefault="000335CF">
            <w:pPr>
              <w:jc w:val="center"/>
            </w:pPr>
            <w:r>
              <w:rPr>
                <w:color w:val="000000"/>
                <w:sz w:val="24"/>
                <w:szCs w:val="24"/>
              </w:rPr>
              <w:t>600131</w:t>
            </w:r>
          </w:p>
        </w:tc>
        <w:tc>
          <w:tcPr>
            <w:tcW w:w="1777" w:type="dxa"/>
            <w:vAlign w:val="center"/>
          </w:tcPr>
          <w:p w:rsidR="00F02C90" w:rsidRDefault="000335CF">
            <w:pPr>
              <w:jc w:val="center"/>
            </w:pPr>
            <w:r>
              <w:rPr>
                <w:color w:val="000000"/>
                <w:sz w:val="24"/>
                <w:szCs w:val="24"/>
              </w:rPr>
              <w:t>岷江水电</w:t>
            </w:r>
          </w:p>
        </w:tc>
        <w:tc>
          <w:tcPr>
            <w:tcW w:w="1334" w:type="dxa"/>
            <w:vAlign w:val="center"/>
          </w:tcPr>
          <w:p w:rsidR="00F02C90" w:rsidRDefault="000335CF">
            <w:pPr>
              <w:jc w:val="right"/>
            </w:pPr>
            <w:r>
              <w:rPr>
                <w:color w:val="000000"/>
                <w:sz w:val="24"/>
                <w:szCs w:val="24"/>
              </w:rPr>
              <w:t>387,700</w:t>
            </w:r>
          </w:p>
        </w:tc>
        <w:tc>
          <w:tcPr>
            <w:tcW w:w="1924" w:type="dxa"/>
            <w:vAlign w:val="center"/>
          </w:tcPr>
          <w:p w:rsidR="00F02C90" w:rsidRDefault="000335CF">
            <w:pPr>
              <w:jc w:val="right"/>
            </w:pPr>
            <w:r>
              <w:rPr>
                <w:color w:val="000000"/>
                <w:sz w:val="24"/>
                <w:szCs w:val="24"/>
              </w:rPr>
              <w:t>7,230,605.00</w:t>
            </w:r>
          </w:p>
        </w:tc>
        <w:tc>
          <w:tcPr>
            <w:tcW w:w="1644" w:type="dxa"/>
            <w:vAlign w:val="center"/>
          </w:tcPr>
          <w:p w:rsidR="00F02C90" w:rsidRDefault="000335CF">
            <w:pPr>
              <w:jc w:val="right"/>
            </w:pPr>
            <w:r>
              <w:rPr>
                <w:color w:val="000000"/>
                <w:sz w:val="24"/>
                <w:szCs w:val="24"/>
              </w:rPr>
              <w:t>3.35</w:t>
            </w:r>
          </w:p>
        </w:tc>
      </w:tr>
      <w:tr w:rsidR="00F02C90">
        <w:trPr>
          <w:jc w:val="center"/>
        </w:trPr>
        <w:tc>
          <w:tcPr>
            <w:tcW w:w="855" w:type="dxa"/>
            <w:vAlign w:val="center"/>
          </w:tcPr>
          <w:p w:rsidR="00F02C90" w:rsidRDefault="000335CF">
            <w:pPr>
              <w:jc w:val="center"/>
            </w:pPr>
            <w:r>
              <w:rPr>
                <w:color w:val="000000"/>
                <w:sz w:val="24"/>
                <w:szCs w:val="24"/>
              </w:rPr>
              <w:t>9</w:t>
            </w:r>
          </w:p>
        </w:tc>
        <w:tc>
          <w:tcPr>
            <w:tcW w:w="1334" w:type="dxa"/>
            <w:vAlign w:val="center"/>
          </w:tcPr>
          <w:p w:rsidR="00F02C90" w:rsidRDefault="000335CF">
            <w:pPr>
              <w:jc w:val="center"/>
            </w:pPr>
            <w:r>
              <w:rPr>
                <w:color w:val="000000"/>
                <w:sz w:val="24"/>
                <w:szCs w:val="24"/>
              </w:rPr>
              <w:t>601155</w:t>
            </w:r>
          </w:p>
        </w:tc>
        <w:tc>
          <w:tcPr>
            <w:tcW w:w="1777" w:type="dxa"/>
            <w:vAlign w:val="center"/>
          </w:tcPr>
          <w:p w:rsidR="00F02C90" w:rsidRDefault="000335CF">
            <w:pPr>
              <w:jc w:val="center"/>
            </w:pPr>
            <w:r>
              <w:rPr>
                <w:color w:val="000000"/>
                <w:sz w:val="24"/>
                <w:szCs w:val="24"/>
              </w:rPr>
              <w:t>新城控股</w:t>
            </w:r>
          </w:p>
        </w:tc>
        <w:tc>
          <w:tcPr>
            <w:tcW w:w="1334" w:type="dxa"/>
            <w:vAlign w:val="center"/>
          </w:tcPr>
          <w:p w:rsidR="00F02C90" w:rsidRDefault="000335CF">
            <w:pPr>
              <w:jc w:val="right"/>
            </w:pPr>
            <w:r>
              <w:rPr>
                <w:color w:val="000000"/>
                <w:sz w:val="24"/>
                <w:szCs w:val="24"/>
              </w:rPr>
              <w:t>137,992</w:t>
            </w:r>
          </w:p>
        </w:tc>
        <w:tc>
          <w:tcPr>
            <w:tcW w:w="1924" w:type="dxa"/>
            <w:vAlign w:val="center"/>
          </w:tcPr>
          <w:p w:rsidR="00F02C90" w:rsidRDefault="000335CF">
            <w:pPr>
              <w:jc w:val="right"/>
            </w:pPr>
            <w:r>
              <w:rPr>
                <w:color w:val="000000"/>
                <w:sz w:val="24"/>
                <w:szCs w:val="24"/>
              </w:rPr>
              <w:t>6,230,338.80</w:t>
            </w:r>
          </w:p>
        </w:tc>
        <w:tc>
          <w:tcPr>
            <w:tcW w:w="1644" w:type="dxa"/>
            <w:vAlign w:val="center"/>
          </w:tcPr>
          <w:p w:rsidR="00F02C90" w:rsidRDefault="000335CF">
            <w:pPr>
              <w:jc w:val="right"/>
            </w:pPr>
            <w:r>
              <w:rPr>
                <w:color w:val="000000"/>
                <w:sz w:val="24"/>
                <w:szCs w:val="24"/>
              </w:rPr>
              <w:t>2.89</w:t>
            </w:r>
          </w:p>
        </w:tc>
      </w:tr>
      <w:tr w:rsidR="00F02C90">
        <w:trPr>
          <w:jc w:val="center"/>
        </w:trPr>
        <w:tc>
          <w:tcPr>
            <w:tcW w:w="855" w:type="dxa"/>
            <w:vAlign w:val="center"/>
          </w:tcPr>
          <w:p w:rsidR="00F02C90" w:rsidRDefault="000335CF">
            <w:pPr>
              <w:jc w:val="center"/>
            </w:pPr>
            <w:r>
              <w:rPr>
                <w:color w:val="000000"/>
                <w:sz w:val="24"/>
                <w:szCs w:val="24"/>
              </w:rPr>
              <w:t>10</w:t>
            </w:r>
          </w:p>
        </w:tc>
        <w:tc>
          <w:tcPr>
            <w:tcW w:w="1334" w:type="dxa"/>
            <w:vAlign w:val="center"/>
          </w:tcPr>
          <w:p w:rsidR="00F02C90" w:rsidRDefault="000335CF">
            <w:pPr>
              <w:jc w:val="center"/>
            </w:pPr>
            <w:r>
              <w:rPr>
                <w:color w:val="000000"/>
                <w:sz w:val="24"/>
                <w:szCs w:val="24"/>
              </w:rPr>
              <w:t>603713</w:t>
            </w:r>
          </w:p>
        </w:tc>
        <w:tc>
          <w:tcPr>
            <w:tcW w:w="1777" w:type="dxa"/>
            <w:vAlign w:val="center"/>
          </w:tcPr>
          <w:p w:rsidR="00F02C90" w:rsidRDefault="000335CF">
            <w:pPr>
              <w:jc w:val="center"/>
            </w:pPr>
            <w:r>
              <w:rPr>
                <w:color w:val="000000"/>
                <w:sz w:val="24"/>
                <w:szCs w:val="24"/>
              </w:rPr>
              <w:t>密尔克卫</w:t>
            </w:r>
          </w:p>
        </w:tc>
        <w:tc>
          <w:tcPr>
            <w:tcW w:w="1334" w:type="dxa"/>
            <w:vAlign w:val="center"/>
          </w:tcPr>
          <w:p w:rsidR="00F02C90" w:rsidRDefault="000335CF">
            <w:pPr>
              <w:jc w:val="right"/>
            </w:pPr>
            <w:r>
              <w:rPr>
                <w:color w:val="000000"/>
                <w:sz w:val="24"/>
                <w:szCs w:val="24"/>
              </w:rPr>
              <w:t>153,428</w:t>
            </w:r>
          </w:p>
        </w:tc>
        <w:tc>
          <w:tcPr>
            <w:tcW w:w="1924" w:type="dxa"/>
            <w:vAlign w:val="center"/>
          </w:tcPr>
          <w:p w:rsidR="00F02C90" w:rsidRDefault="000335CF">
            <w:pPr>
              <w:jc w:val="right"/>
            </w:pPr>
            <w:r>
              <w:rPr>
                <w:color w:val="000000"/>
                <w:sz w:val="24"/>
                <w:szCs w:val="24"/>
              </w:rPr>
              <w:t>6,129,448.60</w:t>
            </w:r>
          </w:p>
        </w:tc>
        <w:tc>
          <w:tcPr>
            <w:tcW w:w="1644" w:type="dxa"/>
            <w:vAlign w:val="center"/>
          </w:tcPr>
          <w:p w:rsidR="00F02C90" w:rsidRDefault="000335CF">
            <w:pPr>
              <w:jc w:val="right"/>
            </w:pPr>
            <w:r>
              <w:rPr>
                <w:color w:val="000000"/>
                <w:sz w:val="24"/>
                <w:szCs w:val="24"/>
              </w:rPr>
              <w:t>2.84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35,522.68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6,234.87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2,220,374.45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2,262,132.00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69,995,117.24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129,033,788.51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17,228,992.82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181,799,912.93</w:t>
            </w:r>
          </w:p>
        </w:tc>
      </w:tr>
    </w:tbl>
    <w:p w:rsidR="00F02C90" w:rsidRDefault="000335C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F02C90">
        <w:tc>
          <w:tcPr>
            <w:tcW w:w="993" w:type="dxa"/>
            <w:vMerge w:val="restart"/>
          </w:tcPr>
          <w:p w:rsidR="00F02C90" w:rsidRDefault="00F02C90"/>
          <w:p w:rsidR="00F02C90" w:rsidRDefault="000335CF">
            <w:r>
              <w:rPr>
                <w:rFonts w:ascii="宋体" w:hAnsi="宋体" w:hint="eastAsia"/>
                <w:bCs/>
                <w:color w:val="000000"/>
                <w:kern w:val="0"/>
              </w:rPr>
              <w:t>机构</w:t>
            </w:r>
          </w:p>
        </w:tc>
        <w:tc>
          <w:tcPr>
            <w:tcW w:w="992" w:type="dxa"/>
            <w:vAlign w:val="center"/>
          </w:tcPr>
          <w:p w:rsidR="00F02C90" w:rsidRDefault="000335CF">
            <w:pPr>
              <w:jc w:val="center"/>
            </w:pPr>
            <w:r>
              <w:rPr>
                <w:rFonts w:ascii="宋体" w:hAnsi="宋体"/>
                <w:color w:val="000000"/>
                <w:kern w:val="0"/>
              </w:rPr>
              <w:t>1</w:t>
            </w:r>
          </w:p>
        </w:tc>
        <w:tc>
          <w:tcPr>
            <w:tcW w:w="1843" w:type="dxa"/>
            <w:vAlign w:val="center"/>
          </w:tcPr>
          <w:p w:rsidR="00F02C90" w:rsidRDefault="000335CF">
            <w:pPr>
              <w:jc w:val="center"/>
            </w:pPr>
            <w:r>
              <w:rPr>
                <w:rFonts w:ascii="宋体" w:hAnsi="宋体"/>
                <w:color w:val="000000"/>
                <w:kern w:val="0"/>
              </w:rPr>
              <w:t>2019/1/1-2019/3/31</w:t>
            </w:r>
          </w:p>
        </w:tc>
        <w:tc>
          <w:tcPr>
            <w:tcW w:w="851" w:type="dxa"/>
            <w:vAlign w:val="center"/>
          </w:tcPr>
          <w:p w:rsidR="00F02C90" w:rsidRDefault="000335CF">
            <w:pPr>
              <w:jc w:val="center"/>
            </w:pPr>
            <w:r>
              <w:rPr>
                <w:rFonts w:ascii="宋体" w:hAnsi="宋体"/>
                <w:color w:val="000000"/>
                <w:kern w:val="0"/>
              </w:rPr>
              <w:t>-</w:t>
            </w:r>
          </w:p>
        </w:tc>
        <w:tc>
          <w:tcPr>
            <w:tcW w:w="850" w:type="dxa"/>
            <w:vAlign w:val="center"/>
          </w:tcPr>
          <w:p w:rsidR="00F02C90" w:rsidRDefault="000335CF">
            <w:pPr>
              <w:jc w:val="center"/>
            </w:pPr>
            <w:r>
              <w:rPr>
                <w:rFonts w:ascii="宋体" w:hAnsi="宋体"/>
                <w:color w:val="000000"/>
                <w:kern w:val="0"/>
              </w:rPr>
              <w:t>35,289,003.87</w:t>
            </w:r>
          </w:p>
        </w:tc>
        <w:tc>
          <w:tcPr>
            <w:tcW w:w="1134" w:type="dxa"/>
            <w:vAlign w:val="center"/>
          </w:tcPr>
          <w:p w:rsidR="00F02C90" w:rsidRDefault="000335CF">
            <w:pPr>
              <w:jc w:val="center"/>
            </w:pPr>
            <w:r>
              <w:rPr>
                <w:rFonts w:ascii="宋体" w:hAnsi="宋体"/>
                <w:color w:val="000000"/>
                <w:kern w:val="0"/>
              </w:rPr>
              <w:t>-</w:t>
            </w:r>
          </w:p>
        </w:tc>
        <w:tc>
          <w:tcPr>
            <w:tcW w:w="1419" w:type="dxa"/>
            <w:vAlign w:val="center"/>
          </w:tcPr>
          <w:p w:rsidR="00F02C90" w:rsidRDefault="000335CF">
            <w:pPr>
              <w:jc w:val="center"/>
            </w:pPr>
            <w:r>
              <w:rPr>
                <w:rFonts w:ascii="宋体" w:hAnsi="宋体"/>
                <w:color w:val="000000"/>
                <w:kern w:val="0"/>
              </w:rPr>
              <w:t>35,289,003.87</w:t>
            </w:r>
          </w:p>
        </w:tc>
        <w:tc>
          <w:tcPr>
            <w:tcW w:w="1130" w:type="dxa"/>
            <w:vAlign w:val="center"/>
          </w:tcPr>
          <w:p w:rsidR="00F02C90" w:rsidRDefault="000335CF">
            <w:pPr>
              <w:jc w:val="center"/>
            </w:pPr>
            <w:r>
              <w:rPr>
                <w:rFonts w:ascii="宋体" w:hAnsi="宋体"/>
                <w:color w:val="000000"/>
                <w:kern w:val="0"/>
              </w:rPr>
              <w:t>19.41%</w:t>
            </w:r>
          </w:p>
        </w:tc>
      </w:tr>
      <w:tr w:rsidR="00F02C90">
        <w:tc>
          <w:tcPr>
            <w:tcW w:w="993" w:type="dxa"/>
            <w:vMerge/>
          </w:tcPr>
          <w:p w:rsidR="00F02C90" w:rsidRDefault="00F02C90"/>
        </w:tc>
        <w:tc>
          <w:tcPr>
            <w:tcW w:w="992" w:type="dxa"/>
            <w:vAlign w:val="center"/>
          </w:tcPr>
          <w:p w:rsidR="00F02C90" w:rsidRDefault="000335CF">
            <w:pPr>
              <w:jc w:val="center"/>
            </w:pPr>
            <w:r>
              <w:rPr>
                <w:rFonts w:ascii="宋体" w:hAnsi="宋体"/>
                <w:color w:val="000000"/>
                <w:kern w:val="0"/>
              </w:rPr>
              <w:t>2</w:t>
            </w:r>
          </w:p>
        </w:tc>
        <w:tc>
          <w:tcPr>
            <w:tcW w:w="1843" w:type="dxa"/>
            <w:vAlign w:val="center"/>
          </w:tcPr>
          <w:p w:rsidR="00F02C90" w:rsidRDefault="000335CF">
            <w:pPr>
              <w:jc w:val="center"/>
            </w:pPr>
            <w:r>
              <w:rPr>
                <w:rFonts w:ascii="宋体" w:hAnsi="宋体"/>
                <w:color w:val="000000"/>
                <w:kern w:val="0"/>
              </w:rPr>
              <w:t>2019/1/1-2019/3/31</w:t>
            </w:r>
          </w:p>
        </w:tc>
        <w:tc>
          <w:tcPr>
            <w:tcW w:w="851" w:type="dxa"/>
            <w:vAlign w:val="center"/>
          </w:tcPr>
          <w:p w:rsidR="00F02C90" w:rsidRDefault="000335CF">
            <w:pPr>
              <w:jc w:val="center"/>
            </w:pPr>
            <w:r>
              <w:rPr>
                <w:rFonts w:ascii="宋体" w:hAnsi="宋体"/>
                <w:color w:val="000000"/>
                <w:kern w:val="0"/>
              </w:rPr>
              <w:t>17,538,461.54</w:t>
            </w:r>
          </w:p>
        </w:tc>
        <w:tc>
          <w:tcPr>
            <w:tcW w:w="850" w:type="dxa"/>
            <w:vAlign w:val="center"/>
          </w:tcPr>
          <w:p w:rsidR="00F02C90" w:rsidRDefault="000335CF">
            <w:pPr>
              <w:jc w:val="center"/>
            </w:pPr>
            <w:r>
              <w:rPr>
                <w:rFonts w:ascii="宋体" w:hAnsi="宋体"/>
                <w:color w:val="000000"/>
                <w:kern w:val="0"/>
              </w:rPr>
              <w:t>-</w:t>
            </w:r>
          </w:p>
        </w:tc>
        <w:tc>
          <w:tcPr>
            <w:tcW w:w="1134" w:type="dxa"/>
            <w:vAlign w:val="center"/>
          </w:tcPr>
          <w:p w:rsidR="00F02C90" w:rsidRDefault="000335CF">
            <w:pPr>
              <w:jc w:val="center"/>
            </w:pPr>
            <w:r>
              <w:rPr>
                <w:rFonts w:ascii="宋体" w:hAnsi="宋体"/>
                <w:color w:val="000000"/>
                <w:kern w:val="0"/>
              </w:rPr>
              <w:t>-</w:t>
            </w:r>
          </w:p>
        </w:tc>
        <w:tc>
          <w:tcPr>
            <w:tcW w:w="1419" w:type="dxa"/>
            <w:vAlign w:val="center"/>
          </w:tcPr>
          <w:p w:rsidR="00F02C90" w:rsidRDefault="000335CF">
            <w:pPr>
              <w:jc w:val="center"/>
            </w:pPr>
            <w:r>
              <w:rPr>
                <w:rFonts w:ascii="宋体" w:hAnsi="宋体"/>
                <w:color w:val="000000"/>
                <w:kern w:val="0"/>
              </w:rPr>
              <w:t>17,538,461.54</w:t>
            </w:r>
          </w:p>
        </w:tc>
        <w:tc>
          <w:tcPr>
            <w:tcW w:w="1130" w:type="dxa"/>
            <w:vAlign w:val="center"/>
          </w:tcPr>
          <w:p w:rsidR="00F02C90" w:rsidRDefault="000335CF">
            <w:pPr>
              <w:jc w:val="center"/>
            </w:pPr>
            <w:r>
              <w:rPr>
                <w:rFonts w:ascii="宋体" w:hAnsi="宋体"/>
                <w:color w:val="000000"/>
                <w:kern w:val="0"/>
              </w:rPr>
              <w:t>9.65%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02C90" w:rsidRDefault="000335C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02C90" w:rsidRDefault="000335C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02C90" w:rsidRDefault="000335C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A23AC">
      <w:rPr>
        <w:noProof/>
        <w:kern w:val="0"/>
        <w:szCs w:val="21"/>
      </w:rPr>
      <w:t>13</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6A23AC">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5CF"/>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23AC"/>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36252"/>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2C90"/>
    <w:rsid w:val="00F11104"/>
    <w:rsid w:val="00F11BB5"/>
    <w:rsid w:val="00F16E3F"/>
    <w:rsid w:val="00F2070B"/>
    <w:rsid w:val="00F22499"/>
    <w:rsid w:val="00F22B0F"/>
    <w:rsid w:val="00F24B42"/>
    <w:rsid w:val="00F24F73"/>
    <w:rsid w:val="00F27299"/>
    <w:rsid w:val="00F30D86"/>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F2ADA6A-A11E-44D4-ABED-74B87CA0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26BAF-F33F-4097-99DD-728A6BC6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TotalTime>
  <Pages>13</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陈吉卿</cp:lastModifiedBy>
  <cp:revision>582</cp:revision>
  <dcterms:created xsi:type="dcterms:W3CDTF">2012-10-16T06:07:00Z</dcterms:created>
  <dcterms:modified xsi:type="dcterms:W3CDTF">2019-04-15T02:48:00Z</dcterms:modified>
</cp:coreProperties>
</file>