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6232B" w:rsidRDefault="00642F3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6232B" w:rsidRDefault="00642F3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6232B" w:rsidRDefault="00642F3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6232B" w:rsidRDefault="00642F3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6232B" w:rsidRDefault="00642F3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1,798,321,473.06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w:t>
            </w:r>
            <w:r w:rsidRPr="00414345">
              <w:rPr>
                <w:color w:val="000000"/>
                <w:kern w:val="0"/>
                <w:sz w:val="24"/>
                <w:szCs w:val="24"/>
              </w:rPr>
              <w:lastRenderedPageBreak/>
              <w:t>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42F33" w:rsidRPr="00414345" w:rsidTr="00642F3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42F33" w:rsidRPr="00414345" w:rsidTr="00642F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20,780,055.67</w:t>
            </w:r>
          </w:p>
        </w:tc>
      </w:tr>
      <w:tr w:rsidR="00642F33" w:rsidRPr="00414345" w:rsidTr="00642F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25,275,425.53</w:t>
            </w:r>
          </w:p>
        </w:tc>
      </w:tr>
      <w:tr w:rsidR="00642F33" w:rsidRPr="00414345" w:rsidTr="00642F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0.0261</w:t>
            </w:r>
          </w:p>
        </w:tc>
      </w:tr>
      <w:tr w:rsidR="00642F33" w:rsidRPr="00414345" w:rsidTr="00642F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2,388,198,053.16</w:t>
            </w:r>
          </w:p>
        </w:tc>
      </w:tr>
      <w:tr w:rsidR="00642F33" w:rsidRPr="00414345" w:rsidTr="00642F3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1.328</w:t>
            </w:r>
          </w:p>
        </w:tc>
      </w:tr>
    </w:tbl>
    <w:p w:rsidR="0026232B" w:rsidRDefault="00642F3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6232B">
        <w:trPr>
          <w:jc w:val="center"/>
        </w:trPr>
        <w:tc>
          <w:tcPr>
            <w:tcW w:w="1701" w:type="dxa"/>
            <w:vAlign w:val="center"/>
          </w:tcPr>
          <w:p w:rsidR="0026232B" w:rsidRDefault="00642F33">
            <w:pPr>
              <w:jc w:val="left"/>
            </w:pPr>
            <w:r>
              <w:rPr>
                <w:color w:val="000000"/>
                <w:sz w:val="24"/>
                <w:szCs w:val="24"/>
              </w:rPr>
              <w:t>过去三个月</w:t>
            </w:r>
          </w:p>
        </w:tc>
        <w:tc>
          <w:tcPr>
            <w:tcW w:w="1045" w:type="dxa"/>
            <w:vAlign w:val="center"/>
          </w:tcPr>
          <w:p w:rsidR="0026232B" w:rsidRDefault="00642F33">
            <w:pPr>
              <w:jc w:val="center"/>
            </w:pPr>
            <w:r>
              <w:rPr>
                <w:color w:val="000000"/>
                <w:sz w:val="24"/>
                <w:szCs w:val="24"/>
              </w:rPr>
              <w:t>2.23%</w:t>
            </w:r>
          </w:p>
        </w:tc>
        <w:tc>
          <w:tcPr>
            <w:tcW w:w="1344" w:type="dxa"/>
            <w:vAlign w:val="center"/>
          </w:tcPr>
          <w:p w:rsidR="0026232B" w:rsidRDefault="00642F33">
            <w:pPr>
              <w:jc w:val="center"/>
            </w:pPr>
            <w:r>
              <w:rPr>
                <w:color w:val="000000"/>
                <w:sz w:val="24"/>
                <w:szCs w:val="24"/>
              </w:rPr>
              <w:t>0.12%</w:t>
            </w:r>
          </w:p>
        </w:tc>
        <w:tc>
          <w:tcPr>
            <w:tcW w:w="1194" w:type="dxa"/>
            <w:vAlign w:val="center"/>
          </w:tcPr>
          <w:p w:rsidR="0026232B" w:rsidRDefault="00642F33">
            <w:pPr>
              <w:jc w:val="center"/>
            </w:pPr>
            <w:r>
              <w:rPr>
                <w:color w:val="000000"/>
                <w:sz w:val="24"/>
                <w:szCs w:val="24"/>
              </w:rPr>
              <w:t>0.57%</w:t>
            </w:r>
          </w:p>
        </w:tc>
        <w:tc>
          <w:tcPr>
            <w:tcW w:w="1492" w:type="dxa"/>
            <w:vAlign w:val="center"/>
          </w:tcPr>
          <w:p w:rsidR="0026232B" w:rsidRDefault="00642F33">
            <w:pPr>
              <w:jc w:val="center"/>
            </w:pPr>
            <w:r>
              <w:rPr>
                <w:color w:val="000000"/>
                <w:sz w:val="24"/>
                <w:szCs w:val="24"/>
              </w:rPr>
              <w:t>0.05%</w:t>
            </w:r>
          </w:p>
        </w:tc>
        <w:tc>
          <w:tcPr>
            <w:tcW w:w="1194" w:type="dxa"/>
            <w:vAlign w:val="center"/>
          </w:tcPr>
          <w:p w:rsidR="0026232B" w:rsidRDefault="00642F33">
            <w:pPr>
              <w:jc w:val="center"/>
            </w:pPr>
            <w:r>
              <w:rPr>
                <w:color w:val="000000"/>
                <w:sz w:val="24"/>
                <w:szCs w:val="24"/>
              </w:rPr>
              <w:t>1.66%</w:t>
            </w:r>
          </w:p>
        </w:tc>
        <w:tc>
          <w:tcPr>
            <w:tcW w:w="898" w:type="dxa"/>
            <w:vAlign w:val="center"/>
          </w:tcPr>
          <w:p w:rsidR="0026232B" w:rsidRDefault="00642F33">
            <w:pPr>
              <w:jc w:val="center"/>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6232B">
        <w:trPr>
          <w:jc w:val="center"/>
        </w:trPr>
        <w:tc>
          <w:tcPr>
            <w:tcW w:w="846" w:type="dxa"/>
            <w:vAlign w:val="center"/>
          </w:tcPr>
          <w:p w:rsidR="0026232B" w:rsidRDefault="00642F33">
            <w:pPr>
              <w:jc w:val="center"/>
            </w:pPr>
            <w:r>
              <w:rPr>
                <w:color w:val="000000"/>
                <w:sz w:val="24"/>
                <w:szCs w:val="24"/>
              </w:rPr>
              <w:t>唐赟</w:t>
            </w:r>
          </w:p>
        </w:tc>
        <w:tc>
          <w:tcPr>
            <w:tcW w:w="845" w:type="dxa"/>
            <w:vAlign w:val="center"/>
          </w:tcPr>
          <w:p w:rsidR="0026232B" w:rsidRDefault="00642F33">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、交银双利债券、交银双轮动债券、交银裕通纯债债券、交银安心收益债券、交银荣鑫灵活配置混合的基金经理</w:t>
            </w:r>
          </w:p>
        </w:tc>
        <w:tc>
          <w:tcPr>
            <w:tcW w:w="1549" w:type="dxa"/>
            <w:vAlign w:val="center"/>
          </w:tcPr>
          <w:p w:rsidR="0026232B" w:rsidRDefault="00642F33">
            <w:pPr>
              <w:jc w:val="center"/>
            </w:pPr>
            <w:r>
              <w:rPr>
                <w:color w:val="000000"/>
                <w:sz w:val="24"/>
                <w:szCs w:val="24"/>
              </w:rPr>
              <w:t>2015-08-04</w:t>
            </w:r>
          </w:p>
        </w:tc>
        <w:tc>
          <w:tcPr>
            <w:tcW w:w="1548" w:type="dxa"/>
            <w:vAlign w:val="center"/>
          </w:tcPr>
          <w:p w:rsidR="0026232B" w:rsidRDefault="00642F33">
            <w:pPr>
              <w:jc w:val="center"/>
            </w:pPr>
            <w:r>
              <w:rPr>
                <w:color w:val="000000"/>
                <w:sz w:val="24"/>
                <w:szCs w:val="24"/>
              </w:rPr>
              <w:t>-</w:t>
            </w:r>
          </w:p>
        </w:tc>
        <w:tc>
          <w:tcPr>
            <w:tcW w:w="1407" w:type="dxa"/>
            <w:vAlign w:val="center"/>
          </w:tcPr>
          <w:p w:rsidR="0026232B" w:rsidRDefault="00642F33">
            <w:pPr>
              <w:jc w:val="center"/>
            </w:pPr>
            <w:r>
              <w:rPr>
                <w:color w:val="000000"/>
                <w:sz w:val="24"/>
                <w:szCs w:val="24"/>
              </w:rPr>
              <w:t>9</w:t>
            </w:r>
            <w:r>
              <w:rPr>
                <w:color w:val="000000"/>
                <w:sz w:val="24"/>
                <w:szCs w:val="24"/>
              </w:rPr>
              <w:t>年</w:t>
            </w:r>
          </w:p>
        </w:tc>
        <w:tc>
          <w:tcPr>
            <w:tcW w:w="2673" w:type="dxa"/>
            <w:vAlign w:val="center"/>
          </w:tcPr>
          <w:p w:rsidR="0026232B" w:rsidRDefault="00642F33">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1</w:t>
            </w:r>
            <w:r>
              <w:rPr>
                <w:color w:val="000000"/>
                <w:sz w:val="24"/>
                <w:szCs w:val="24"/>
              </w:rPr>
              <w:t>日担任转型前的交银施罗德荣和保本混合型证券投资基金的基金经理。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6232B" w:rsidRDefault="00642F3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w:t>
      </w:r>
      <w:r>
        <w:rPr>
          <w:color w:val="000000"/>
          <w:sz w:val="24"/>
          <w:szCs w:val="24"/>
        </w:rPr>
        <w:lastRenderedPageBreak/>
        <w:t>平，旗下所管理的所有资产组合，包括证券投资基金和特定客户资产管理专户均严格遵循制度进行公平交易。</w:t>
      </w:r>
    </w:p>
    <w:p w:rsidR="0026232B" w:rsidRDefault="00642F3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6232B" w:rsidRDefault="00642F3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6232B" w:rsidRDefault="00642F33">
      <w:pPr>
        <w:spacing w:before="29" w:line="288" w:lineRule="auto"/>
        <w:ind w:firstLineChars="200" w:firstLine="480"/>
        <w:rPr>
          <w:color w:val="000000"/>
          <w:sz w:val="24"/>
          <w:szCs w:val="24"/>
        </w:rPr>
      </w:pPr>
      <w:r>
        <w:rPr>
          <w:color w:val="000000"/>
          <w:sz w:val="24"/>
          <w:szCs w:val="24"/>
        </w:rPr>
        <w:t>2019</w:t>
      </w:r>
      <w:r>
        <w:rPr>
          <w:color w:val="000000"/>
          <w:sz w:val="24"/>
          <w:szCs w:val="24"/>
        </w:rPr>
        <w:t>年年初以来，在贸易战边际缓和，年初贷款和社融大幅放量，地方债发行较往年提前且发行力度较大，股市阶段性上涨带来风险偏好提升等多重因素的作用之下，国内利率水平在震荡中小幅走高。宽信用初步成效体现，广谱利率水平下降明显，其中信用债市场的利率水平下行幅度最大，大多数企业的融资压力明显缓和，城投债受到市场的追捧，信用利差进一步压缩。可转债方面，权益类资产今年一季度市场表现亮眼，可转债也跟随股市持续放量上涨。</w:t>
      </w:r>
    </w:p>
    <w:p w:rsidR="0026232B" w:rsidRDefault="00642F33">
      <w:pPr>
        <w:spacing w:before="29" w:line="288" w:lineRule="auto"/>
        <w:ind w:firstLineChars="200" w:firstLine="480"/>
        <w:rPr>
          <w:color w:val="000000"/>
          <w:sz w:val="24"/>
          <w:szCs w:val="24"/>
        </w:rPr>
      </w:pPr>
      <w:r>
        <w:rPr>
          <w:color w:val="000000"/>
          <w:sz w:val="24"/>
          <w:szCs w:val="24"/>
        </w:rPr>
        <w:t>报告期内，基于对利率波动加大，市场缺乏结构性行情，信用利差有压缩空间的判断，本基金维持中性的久期配置，保持信用债整体的较高仓位，适当增加中低等级的配置比例，并择机选择小部分仓位进行长久期利率债的波段交易，以期增厚组合收益。可转债方面，本基金今年一季度增加了可转债的仓位配置，同时积极把握个券机会。</w:t>
      </w:r>
    </w:p>
    <w:p w:rsidR="0026232B" w:rsidRDefault="00642F33">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二季度，我们认为，海外经济增速整体向下，国内基建对经济的短期拉动较强，但经济长期下行压力仍较大。首先，国内基建投资短期内乐观，可能带动房地产开发投资数据不弱，但是全年来看，制造业投资下行压力将显现，基建托底的边际效果在减弱，三四线房地产市场持续降温。通胀方面，进入三月，部分地区猪肉价格上涨，进一步推升市场对于二季度通胀的预期，仍需关注市场预期的改变。相比国内，海</w:t>
      </w:r>
      <w:r>
        <w:rPr>
          <w:color w:val="000000"/>
          <w:sz w:val="24"/>
          <w:szCs w:val="24"/>
        </w:rPr>
        <w:lastRenderedPageBreak/>
        <w:t>外经济走弱的确定性更强，一方面，美国的经济动能整体减弱，投资端开始拖累增长，消费的持续性有待验证，税改和基建效应在持续消退，未来财政政策继续扩张有限。另一方面，欧元区制造业景气度处于下行阶段，出口萎缩拖累基本面，多数国家受到硬性赤字约束，投资难以再发力。经历了一年多的债券牛市之后，目前的收益率水平已明显下降，债券组合的静态收益率相对较低，收益率的下行空间被压缩，需要警惕利率上升的风险，今年债券类资产取得较高绝对收益的难度增加。</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可转债方面，我们认为今年或仍存在行情机会，在维持目前的仓位基础上，拟进行适当调整，考虑将结构性减少高价转债的配置，增配中等偏低价格的转债。</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2,337,440,764.92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84.23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2,337,440,764.92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84.23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104,200,252.10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w:t>
            </w:r>
            <w:r w:rsidRPr="007B5F21">
              <w:rPr>
                <w:rFonts w:eastAsiaTheme="minorEastAsia"/>
                <w:color w:val="000000" w:themeColor="text1"/>
                <w:sz w:val="24"/>
                <w:szCs w:val="24"/>
              </w:rPr>
              <w:lastRenderedPageBreak/>
              <w:t>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lastRenderedPageBreak/>
              <w:t>92,052,038.45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241,225,629.96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8.69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2,774,918,685.43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0642AC" w:rsidRPr="00414345" w:rsidRDefault="000642AC" w:rsidP="00C15CAC">
      <w:pPr>
        <w:autoSpaceDE w:val="0"/>
        <w:autoSpaceDN w:val="0"/>
        <w:adjustRightInd w:val="0"/>
        <w:spacing w:before="29" w:line="288" w:lineRule="auto"/>
        <w:jc w:val="left"/>
        <w:rPr>
          <w:color w:val="000000"/>
          <w:sz w:val="24"/>
          <w:szCs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17,507,721.00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0.73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242,228,450.00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242,228,450.00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604,311,000.00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25.30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751,255,000.00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31.46</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574,507,000.00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24.06</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147,631,593.92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6.18</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2,337,440,764.92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97.87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6232B">
        <w:trPr>
          <w:jc w:val="center"/>
        </w:trPr>
        <w:tc>
          <w:tcPr>
            <w:tcW w:w="850" w:type="dxa"/>
            <w:vAlign w:val="center"/>
          </w:tcPr>
          <w:p w:rsidR="0026232B" w:rsidRDefault="00642F33">
            <w:pPr>
              <w:jc w:val="center"/>
            </w:pPr>
            <w:r>
              <w:rPr>
                <w:color w:val="000000"/>
                <w:sz w:val="24"/>
                <w:szCs w:val="24"/>
              </w:rPr>
              <w:lastRenderedPageBreak/>
              <w:t>1</w:t>
            </w:r>
          </w:p>
        </w:tc>
        <w:tc>
          <w:tcPr>
            <w:tcW w:w="1475" w:type="dxa"/>
            <w:vAlign w:val="center"/>
          </w:tcPr>
          <w:p w:rsidR="0026232B" w:rsidRDefault="00642F33">
            <w:pPr>
              <w:jc w:val="center"/>
            </w:pPr>
            <w:r>
              <w:rPr>
                <w:color w:val="000000"/>
                <w:sz w:val="24"/>
                <w:szCs w:val="24"/>
              </w:rPr>
              <w:t>190205</w:t>
            </w:r>
          </w:p>
        </w:tc>
        <w:tc>
          <w:tcPr>
            <w:tcW w:w="1769" w:type="dxa"/>
            <w:vAlign w:val="center"/>
          </w:tcPr>
          <w:p w:rsidR="0026232B" w:rsidRDefault="00642F33">
            <w:pPr>
              <w:jc w:val="center"/>
            </w:pPr>
            <w:r>
              <w:rPr>
                <w:color w:val="000000"/>
                <w:sz w:val="24"/>
                <w:szCs w:val="24"/>
              </w:rPr>
              <w:t>19</w:t>
            </w:r>
            <w:r>
              <w:rPr>
                <w:color w:val="000000"/>
                <w:sz w:val="24"/>
                <w:szCs w:val="24"/>
              </w:rPr>
              <w:t>国开</w:t>
            </w:r>
            <w:r>
              <w:rPr>
                <w:color w:val="000000"/>
                <w:sz w:val="24"/>
                <w:szCs w:val="24"/>
              </w:rPr>
              <w:t>05</w:t>
            </w:r>
          </w:p>
        </w:tc>
        <w:tc>
          <w:tcPr>
            <w:tcW w:w="1387" w:type="dxa"/>
            <w:vAlign w:val="center"/>
          </w:tcPr>
          <w:p w:rsidR="0026232B" w:rsidRDefault="00642F33">
            <w:pPr>
              <w:jc w:val="right"/>
            </w:pPr>
            <w:r>
              <w:rPr>
                <w:color w:val="000000"/>
                <w:sz w:val="24"/>
                <w:szCs w:val="24"/>
              </w:rPr>
              <w:t>1,400,000</w:t>
            </w:r>
          </w:p>
        </w:tc>
        <w:tc>
          <w:tcPr>
            <w:tcW w:w="2150" w:type="dxa"/>
            <w:vAlign w:val="center"/>
          </w:tcPr>
          <w:p w:rsidR="0026232B" w:rsidRDefault="00642F33">
            <w:pPr>
              <w:jc w:val="right"/>
            </w:pPr>
            <w:r>
              <w:rPr>
                <w:color w:val="000000"/>
                <w:sz w:val="24"/>
                <w:szCs w:val="24"/>
              </w:rPr>
              <w:t>138,824,000.00</w:t>
            </w:r>
          </w:p>
        </w:tc>
        <w:tc>
          <w:tcPr>
            <w:tcW w:w="1237" w:type="dxa"/>
            <w:vAlign w:val="center"/>
          </w:tcPr>
          <w:p w:rsidR="0026232B" w:rsidRDefault="00642F33">
            <w:pPr>
              <w:jc w:val="right"/>
            </w:pPr>
            <w:r>
              <w:rPr>
                <w:color w:val="000000"/>
                <w:sz w:val="24"/>
                <w:szCs w:val="24"/>
              </w:rPr>
              <w:t>5.81</w:t>
            </w:r>
          </w:p>
        </w:tc>
      </w:tr>
      <w:tr w:rsidR="0026232B">
        <w:trPr>
          <w:jc w:val="center"/>
        </w:trPr>
        <w:tc>
          <w:tcPr>
            <w:tcW w:w="850" w:type="dxa"/>
            <w:vAlign w:val="center"/>
          </w:tcPr>
          <w:p w:rsidR="0026232B" w:rsidRDefault="00642F33">
            <w:pPr>
              <w:jc w:val="center"/>
            </w:pPr>
            <w:r>
              <w:rPr>
                <w:color w:val="000000"/>
                <w:sz w:val="24"/>
                <w:szCs w:val="24"/>
              </w:rPr>
              <w:t>2</w:t>
            </w:r>
          </w:p>
        </w:tc>
        <w:tc>
          <w:tcPr>
            <w:tcW w:w="1475" w:type="dxa"/>
            <w:vAlign w:val="center"/>
          </w:tcPr>
          <w:p w:rsidR="0026232B" w:rsidRDefault="00642F33">
            <w:pPr>
              <w:jc w:val="center"/>
            </w:pPr>
            <w:r>
              <w:rPr>
                <w:color w:val="000000"/>
                <w:sz w:val="24"/>
                <w:szCs w:val="24"/>
              </w:rPr>
              <w:t>108603</w:t>
            </w:r>
          </w:p>
        </w:tc>
        <w:tc>
          <w:tcPr>
            <w:tcW w:w="1769" w:type="dxa"/>
            <w:vAlign w:val="center"/>
          </w:tcPr>
          <w:p w:rsidR="0026232B" w:rsidRDefault="00642F33">
            <w:pPr>
              <w:jc w:val="center"/>
            </w:pPr>
            <w:r>
              <w:rPr>
                <w:color w:val="000000"/>
                <w:sz w:val="24"/>
                <w:szCs w:val="24"/>
              </w:rPr>
              <w:t>国开</w:t>
            </w:r>
            <w:r>
              <w:rPr>
                <w:color w:val="000000"/>
                <w:sz w:val="24"/>
                <w:szCs w:val="24"/>
              </w:rPr>
              <w:t>1804</w:t>
            </w:r>
          </w:p>
        </w:tc>
        <w:tc>
          <w:tcPr>
            <w:tcW w:w="1387" w:type="dxa"/>
            <w:vAlign w:val="center"/>
          </w:tcPr>
          <w:p w:rsidR="0026232B" w:rsidRDefault="00642F33">
            <w:pPr>
              <w:jc w:val="right"/>
            </w:pPr>
            <w:r>
              <w:rPr>
                <w:color w:val="000000"/>
                <w:sz w:val="24"/>
                <w:szCs w:val="24"/>
              </w:rPr>
              <w:t>1,028,900</w:t>
            </w:r>
          </w:p>
        </w:tc>
        <w:tc>
          <w:tcPr>
            <w:tcW w:w="2150" w:type="dxa"/>
            <w:vAlign w:val="center"/>
          </w:tcPr>
          <w:p w:rsidR="0026232B" w:rsidRDefault="00642F33">
            <w:pPr>
              <w:jc w:val="right"/>
            </w:pPr>
            <w:r>
              <w:rPr>
                <w:color w:val="000000"/>
                <w:sz w:val="24"/>
                <w:szCs w:val="24"/>
              </w:rPr>
              <w:t>103,404,450.00</w:t>
            </w:r>
          </w:p>
        </w:tc>
        <w:tc>
          <w:tcPr>
            <w:tcW w:w="1237" w:type="dxa"/>
            <w:vAlign w:val="center"/>
          </w:tcPr>
          <w:p w:rsidR="0026232B" w:rsidRDefault="00642F33">
            <w:pPr>
              <w:jc w:val="right"/>
            </w:pPr>
            <w:r>
              <w:rPr>
                <w:color w:val="000000"/>
                <w:sz w:val="24"/>
                <w:szCs w:val="24"/>
              </w:rPr>
              <w:t>4.33</w:t>
            </w:r>
          </w:p>
        </w:tc>
      </w:tr>
      <w:tr w:rsidR="0026232B">
        <w:trPr>
          <w:jc w:val="center"/>
        </w:trPr>
        <w:tc>
          <w:tcPr>
            <w:tcW w:w="850" w:type="dxa"/>
            <w:vAlign w:val="center"/>
          </w:tcPr>
          <w:p w:rsidR="0026232B" w:rsidRDefault="00642F33">
            <w:pPr>
              <w:jc w:val="center"/>
            </w:pPr>
            <w:r>
              <w:rPr>
                <w:color w:val="000000"/>
                <w:sz w:val="24"/>
                <w:szCs w:val="24"/>
              </w:rPr>
              <w:t>3</w:t>
            </w:r>
          </w:p>
        </w:tc>
        <w:tc>
          <w:tcPr>
            <w:tcW w:w="1475" w:type="dxa"/>
            <w:vAlign w:val="center"/>
          </w:tcPr>
          <w:p w:rsidR="0026232B" w:rsidRDefault="00642F33">
            <w:pPr>
              <w:jc w:val="center"/>
            </w:pPr>
            <w:r>
              <w:rPr>
                <w:color w:val="000000"/>
                <w:sz w:val="24"/>
                <w:szCs w:val="24"/>
              </w:rPr>
              <w:t>011900661</w:t>
            </w:r>
          </w:p>
        </w:tc>
        <w:tc>
          <w:tcPr>
            <w:tcW w:w="1769" w:type="dxa"/>
            <w:vAlign w:val="center"/>
          </w:tcPr>
          <w:p w:rsidR="0026232B" w:rsidRDefault="00642F33">
            <w:pPr>
              <w:jc w:val="center"/>
            </w:pPr>
            <w:r>
              <w:rPr>
                <w:color w:val="000000"/>
                <w:sz w:val="24"/>
                <w:szCs w:val="24"/>
              </w:rPr>
              <w:t>19</w:t>
            </w:r>
            <w:r>
              <w:rPr>
                <w:color w:val="000000"/>
                <w:sz w:val="24"/>
                <w:szCs w:val="24"/>
              </w:rPr>
              <w:t>鲁信</w:t>
            </w:r>
            <w:r>
              <w:rPr>
                <w:color w:val="000000"/>
                <w:sz w:val="24"/>
                <w:szCs w:val="24"/>
              </w:rPr>
              <w:t>SCP001</w:t>
            </w:r>
          </w:p>
        </w:tc>
        <w:tc>
          <w:tcPr>
            <w:tcW w:w="1387" w:type="dxa"/>
            <w:vAlign w:val="center"/>
          </w:tcPr>
          <w:p w:rsidR="0026232B" w:rsidRDefault="00642F33">
            <w:pPr>
              <w:jc w:val="right"/>
            </w:pPr>
            <w:r>
              <w:rPr>
                <w:color w:val="000000"/>
                <w:sz w:val="24"/>
                <w:szCs w:val="24"/>
              </w:rPr>
              <w:t>800,000</w:t>
            </w:r>
          </w:p>
        </w:tc>
        <w:tc>
          <w:tcPr>
            <w:tcW w:w="2150" w:type="dxa"/>
            <w:vAlign w:val="center"/>
          </w:tcPr>
          <w:p w:rsidR="0026232B" w:rsidRDefault="00642F33">
            <w:pPr>
              <w:jc w:val="right"/>
            </w:pPr>
            <w:r>
              <w:rPr>
                <w:color w:val="000000"/>
                <w:sz w:val="24"/>
                <w:szCs w:val="24"/>
              </w:rPr>
              <w:t>80,104,000.00</w:t>
            </w:r>
          </w:p>
        </w:tc>
        <w:tc>
          <w:tcPr>
            <w:tcW w:w="1237" w:type="dxa"/>
            <w:vAlign w:val="center"/>
          </w:tcPr>
          <w:p w:rsidR="0026232B" w:rsidRDefault="00642F33">
            <w:pPr>
              <w:jc w:val="right"/>
            </w:pPr>
            <w:r>
              <w:rPr>
                <w:color w:val="000000"/>
                <w:sz w:val="24"/>
                <w:szCs w:val="24"/>
              </w:rPr>
              <w:t>3.35</w:t>
            </w:r>
          </w:p>
        </w:tc>
      </w:tr>
      <w:tr w:rsidR="0026232B">
        <w:trPr>
          <w:jc w:val="center"/>
        </w:trPr>
        <w:tc>
          <w:tcPr>
            <w:tcW w:w="850" w:type="dxa"/>
            <w:vAlign w:val="center"/>
          </w:tcPr>
          <w:p w:rsidR="0026232B" w:rsidRDefault="00642F33">
            <w:pPr>
              <w:jc w:val="center"/>
            </w:pPr>
            <w:r>
              <w:rPr>
                <w:color w:val="000000"/>
                <w:sz w:val="24"/>
                <w:szCs w:val="24"/>
              </w:rPr>
              <w:t>4</w:t>
            </w:r>
          </w:p>
        </w:tc>
        <w:tc>
          <w:tcPr>
            <w:tcW w:w="1475" w:type="dxa"/>
            <w:vAlign w:val="center"/>
          </w:tcPr>
          <w:p w:rsidR="0026232B" w:rsidRDefault="00642F33">
            <w:pPr>
              <w:jc w:val="center"/>
            </w:pPr>
            <w:r>
              <w:rPr>
                <w:color w:val="000000"/>
                <w:sz w:val="24"/>
                <w:szCs w:val="24"/>
              </w:rPr>
              <w:t>011900703</w:t>
            </w:r>
          </w:p>
        </w:tc>
        <w:tc>
          <w:tcPr>
            <w:tcW w:w="1769" w:type="dxa"/>
            <w:vAlign w:val="center"/>
          </w:tcPr>
          <w:p w:rsidR="0026232B" w:rsidRDefault="00642F33">
            <w:pPr>
              <w:jc w:val="center"/>
            </w:pPr>
            <w:r>
              <w:rPr>
                <w:color w:val="000000"/>
                <w:sz w:val="24"/>
                <w:szCs w:val="24"/>
              </w:rPr>
              <w:t>19</w:t>
            </w:r>
            <w:r>
              <w:rPr>
                <w:color w:val="000000"/>
                <w:sz w:val="24"/>
                <w:szCs w:val="24"/>
              </w:rPr>
              <w:t>鄂联投</w:t>
            </w:r>
            <w:r>
              <w:rPr>
                <w:color w:val="000000"/>
                <w:sz w:val="24"/>
                <w:szCs w:val="24"/>
              </w:rPr>
              <w:t>SCP001</w:t>
            </w:r>
          </w:p>
        </w:tc>
        <w:tc>
          <w:tcPr>
            <w:tcW w:w="1387" w:type="dxa"/>
            <w:vAlign w:val="center"/>
          </w:tcPr>
          <w:p w:rsidR="0026232B" w:rsidRDefault="00642F33">
            <w:pPr>
              <w:jc w:val="right"/>
            </w:pPr>
            <w:r>
              <w:rPr>
                <w:color w:val="000000"/>
                <w:sz w:val="24"/>
                <w:szCs w:val="24"/>
              </w:rPr>
              <w:t>800,000</w:t>
            </w:r>
          </w:p>
        </w:tc>
        <w:tc>
          <w:tcPr>
            <w:tcW w:w="2150" w:type="dxa"/>
            <w:vAlign w:val="center"/>
          </w:tcPr>
          <w:p w:rsidR="0026232B" w:rsidRDefault="00642F33">
            <w:pPr>
              <w:jc w:val="right"/>
            </w:pPr>
            <w:r>
              <w:rPr>
                <w:color w:val="000000"/>
                <w:sz w:val="24"/>
                <w:szCs w:val="24"/>
              </w:rPr>
              <w:t>80,008,000.00</w:t>
            </w:r>
          </w:p>
        </w:tc>
        <w:tc>
          <w:tcPr>
            <w:tcW w:w="1237" w:type="dxa"/>
            <w:vAlign w:val="center"/>
          </w:tcPr>
          <w:p w:rsidR="0026232B" w:rsidRDefault="00642F33">
            <w:pPr>
              <w:jc w:val="right"/>
            </w:pPr>
            <w:r>
              <w:rPr>
                <w:color w:val="000000"/>
                <w:sz w:val="24"/>
                <w:szCs w:val="24"/>
              </w:rPr>
              <w:t>3.35</w:t>
            </w:r>
          </w:p>
        </w:tc>
      </w:tr>
      <w:tr w:rsidR="0026232B">
        <w:trPr>
          <w:jc w:val="center"/>
        </w:trPr>
        <w:tc>
          <w:tcPr>
            <w:tcW w:w="850" w:type="dxa"/>
            <w:vAlign w:val="center"/>
          </w:tcPr>
          <w:p w:rsidR="0026232B" w:rsidRDefault="00642F33">
            <w:pPr>
              <w:jc w:val="center"/>
            </w:pPr>
            <w:r>
              <w:rPr>
                <w:color w:val="000000"/>
                <w:sz w:val="24"/>
                <w:szCs w:val="24"/>
              </w:rPr>
              <w:t>5</w:t>
            </w:r>
          </w:p>
        </w:tc>
        <w:tc>
          <w:tcPr>
            <w:tcW w:w="1475" w:type="dxa"/>
            <w:vAlign w:val="center"/>
          </w:tcPr>
          <w:p w:rsidR="0026232B" w:rsidRDefault="00642F33">
            <w:pPr>
              <w:jc w:val="center"/>
            </w:pPr>
            <w:r>
              <w:rPr>
                <w:color w:val="000000"/>
                <w:sz w:val="24"/>
                <w:szCs w:val="24"/>
              </w:rPr>
              <w:t>113021</w:t>
            </w:r>
          </w:p>
        </w:tc>
        <w:tc>
          <w:tcPr>
            <w:tcW w:w="1769" w:type="dxa"/>
            <w:vAlign w:val="center"/>
          </w:tcPr>
          <w:p w:rsidR="0026232B" w:rsidRDefault="00642F33">
            <w:pPr>
              <w:jc w:val="center"/>
            </w:pPr>
            <w:r>
              <w:rPr>
                <w:color w:val="000000"/>
                <w:sz w:val="24"/>
                <w:szCs w:val="24"/>
              </w:rPr>
              <w:t>中信转债</w:t>
            </w:r>
          </w:p>
        </w:tc>
        <w:tc>
          <w:tcPr>
            <w:tcW w:w="1387" w:type="dxa"/>
            <w:vAlign w:val="center"/>
          </w:tcPr>
          <w:p w:rsidR="0026232B" w:rsidRDefault="00642F33">
            <w:pPr>
              <w:jc w:val="right"/>
            </w:pPr>
            <w:r>
              <w:rPr>
                <w:color w:val="000000"/>
                <w:sz w:val="24"/>
                <w:szCs w:val="24"/>
              </w:rPr>
              <w:t>585,000</w:t>
            </w:r>
          </w:p>
        </w:tc>
        <w:tc>
          <w:tcPr>
            <w:tcW w:w="2150" w:type="dxa"/>
            <w:vAlign w:val="center"/>
          </w:tcPr>
          <w:p w:rsidR="0026232B" w:rsidRDefault="00642F33">
            <w:pPr>
              <w:jc w:val="right"/>
            </w:pPr>
            <w:r>
              <w:rPr>
                <w:color w:val="000000"/>
                <w:sz w:val="24"/>
                <w:szCs w:val="24"/>
              </w:rPr>
              <w:t>63,022,050.00</w:t>
            </w:r>
          </w:p>
        </w:tc>
        <w:tc>
          <w:tcPr>
            <w:tcW w:w="1237" w:type="dxa"/>
            <w:vAlign w:val="center"/>
          </w:tcPr>
          <w:p w:rsidR="0026232B" w:rsidRDefault="00642F33">
            <w:pPr>
              <w:jc w:val="right"/>
            </w:pPr>
            <w:r>
              <w:rPr>
                <w:color w:val="000000"/>
                <w:sz w:val="24"/>
                <w:szCs w:val="24"/>
              </w:rPr>
              <w:t>2.64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65,831.04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15,019,240.77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26,039,572.34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200,100,985.81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241,225,629.96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26232B">
        <w:trPr>
          <w:jc w:val="center"/>
        </w:trPr>
        <w:tc>
          <w:tcPr>
            <w:tcW w:w="1883" w:type="dxa"/>
            <w:vAlign w:val="center"/>
          </w:tcPr>
          <w:p w:rsidR="0026232B" w:rsidRDefault="00642F33">
            <w:pPr>
              <w:jc w:val="center"/>
            </w:pPr>
            <w:r>
              <w:rPr>
                <w:color w:val="000000"/>
                <w:sz w:val="24"/>
                <w:szCs w:val="24"/>
              </w:rPr>
              <w:t>1</w:t>
            </w:r>
          </w:p>
        </w:tc>
        <w:tc>
          <w:tcPr>
            <w:tcW w:w="1801" w:type="dxa"/>
            <w:vAlign w:val="center"/>
          </w:tcPr>
          <w:p w:rsidR="0026232B" w:rsidRDefault="00642F33">
            <w:pPr>
              <w:jc w:val="center"/>
            </w:pPr>
            <w:r>
              <w:rPr>
                <w:color w:val="000000"/>
                <w:sz w:val="24"/>
                <w:szCs w:val="24"/>
              </w:rPr>
              <w:t>113008</w:t>
            </w:r>
          </w:p>
        </w:tc>
        <w:tc>
          <w:tcPr>
            <w:tcW w:w="1727" w:type="dxa"/>
            <w:vAlign w:val="center"/>
          </w:tcPr>
          <w:p w:rsidR="0026232B" w:rsidRDefault="00642F33">
            <w:pPr>
              <w:jc w:val="center"/>
            </w:pPr>
            <w:r>
              <w:rPr>
                <w:color w:val="000000"/>
                <w:sz w:val="24"/>
                <w:szCs w:val="24"/>
              </w:rPr>
              <w:t>电气转债</w:t>
            </w:r>
          </w:p>
        </w:tc>
        <w:tc>
          <w:tcPr>
            <w:tcW w:w="1768" w:type="dxa"/>
            <w:vAlign w:val="center"/>
          </w:tcPr>
          <w:p w:rsidR="0026232B" w:rsidRDefault="00642F33">
            <w:pPr>
              <w:jc w:val="right"/>
            </w:pPr>
            <w:r>
              <w:rPr>
                <w:color w:val="000000"/>
                <w:sz w:val="24"/>
                <w:szCs w:val="24"/>
              </w:rPr>
              <w:t>12,162,000.00</w:t>
            </w:r>
          </w:p>
        </w:tc>
        <w:tc>
          <w:tcPr>
            <w:tcW w:w="1689" w:type="dxa"/>
            <w:vAlign w:val="center"/>
          </w:tcPr>
          <w:p w:rsidR="0026232B" w:rsidRDefault="00642F33">
            <w:pPr>
              <w:jc w:val="right"/>
            </w:pPr>
            <w:r>
              <w:rPr>
                <w:color w:val="000000"/>
                <w:sz w:val="24"/>
                <w:szCs w:val="24"/>
              </w:rPr>
              <w:t>0.51</w:t>
            </w:r>
          </w:p>
        </w:tc>
      </w:tr>
      <w:tr w:rsidR="0026232B">
        <w:trPr>
          <w:jc w:val="center"/>
        </w:trPr>
        <w:tc>
          <w:tcPr>
            <w:tcW w:w="1883" w:type="dxa"/>
            <w:vAlign w:val="center"/>
          </w:tcPr>
          <w:p w:rsidR="0026232B" w:rsidRDefault="00642F33">
            <w:pPr>
              <w:jc w:val="center"/>
            </w:pPr>
            <w:r>
              <w:rPr>
                <w:color w:val="000000"/>
                <w:sz w:val="24"/>
                <w:szCs w:val="24"/>
              </w:rPr>
              <w:t>2</w:t>
            </w:r>
          </w:p>
        </w:tc>
        <w:tc>
          <w:tcPr>
            <w:tcW w:w="1801" w:type="dxa"/>
            <w:vAlign w:val="center"/>
          </w:tcPr>
          <w:p w:rsidR="0026232B" w:rsidRDefault="00642F33">
            <w:pPr>
              <w:jc w:val="center"/>
            </w:pPr>
            <w:r>
              <w:rPr>
                <w:color w:val="000000"/>
                <w:sz w:val="24"/>
                <w:szCs w:val="24"/>
              </w:rPr>
              <w:t>110034</w:t>
            </w:r>
          </w:p>
        </w:tc>
        <w:tc>
          <w:tcPr>
            <w:tcW w:w="1727" w:type="dxa"/>
            <w:vAlign w:val="center"/>
          </w:tcPr>
          <w:p w:rsidR="0026232B" w:rsidRDefault="00642F33">
            <w:pPr>
              <w:jc w:val="center"/>
            </w:pPr>
            <w:r>
              <w:rPr>
                <w:color w:val="000000"/>
                <w:sz w:val="24"/>
                <w:szCs w:val="24"/>
              </w:rPr>
              <w:t>九州转债</w:t>
            </w:r>
          </w:p>
        </w:tc>
        <w:tc>
          <w:tcPr>
            <w:tcW w:w="1768" w:type="dxa"/>
            <w:vAlign w:val="center"/>
          </w:tcPr>
          <w:p w:rsidR="0026232B" w:rsidRDefault="00642F33">
            <w:pPr>
              <w:jc w:val="right"/>
            </w:pPr>
            <w:r>
              <w:rPr>
                <w:color w:val="000000"/>
                <w:sz w:val="24"/>
                <w:szCs w:val="24"/>
              </w:rPr>
              <w:t>11,042,000.00</w:t>
            </w:r>
          </w:p>
        </w:tc>
        <w:tc>
          <w:tcPr>
            <w:tcW w:w="1689" w:type="dxa"/>
            <w:vAlign w:val="center"/>
          </w:tcPr>
          <w:p w:rsidR="0026232B" w:rsidRDefault="00642F33">
            <w:pPr>
              <w:jc w:val="right"/>
            </w:pPr>
            <w:r>
              <w:rPr>
                <w:color w:val="000000"/>
                <w:sz w:val="24"/>
                <w:szCs w:val="24"/>
              </w:rPr>
              <w:t>0.46</w:t>
            </w:r>
          </w:p>
        </w:tc>
      </w:tr>
      <w:tr w:rsidR="0026232B">
        <w:trPr>
          <w:jc w:val="center"/>
        </w:trPr>
        <w:tc>
          <w:tcPr>
            <w:tcW w:w="1883" w:type="dxa"/>
            <w:vAlign w:val="center"/>
          </w:tcPr>
          <w:p w:rsidR="0026232B" w:rsidRDefault="00642F33">
            <w:pPr>
              <w:jc w:val="center"/>
            </w:pPr>
            <w:r>
              <w:rPr>
                <w:color w:val="000000"/>
                <w:sz w:val="24"/>
                <w:szCs w:val="24"/>
              </w:rPr>
              <w:t>3</w:t>
            </w:r>
          </w:p>
        </w:tc>
        <w:tc>
          <w:tcPr>
            <w:tcW w:w="1801" w:type="dxa"/>
            <w:vAlign w:val="center"/>
          </w:tcPr>
          <w:p w:rsidR="0026232B" w:rsidRDefault="00642F33">
            <w:pPr>
              <w:jc w:val="center"/>
            </w:pPr>
            <w:r>
              <w:rPr>
                <w:color w:val="000000"/>
                <w:sz w:val="24"/>
                <w:szCs w:val="24"/>
              </w:rPr>
              <w:t>128016</w:t>
            </w:r>
          </w:p>
        </w:tc>
        <w:tc>
          <w:tcPr>
            <w:tcW w:w="1727" w:type="dxa"/>
            <w:vAlign w:val="center"/>
          </w:tcPr>
          <w:p w:rsidR="0026232B" w:rsidRDefault="00642F33">
            <w:pPr>
              <w:jc w:val="center"/>
            </w:pPr>
            <w:r>
              <w:rPr>
                <w:color w:val="000000"/>
                <w:sz w:val="24"/>
                <w:szCs w:val="24"/>
              </w:rPr>
              <w:t>雨虹转债</w:t>
            </w:r>
          </w:p>
        </w:tc>
        <w:tc>
          <w:tcPr>
            <w:tcW w:w="1768" w:type="dxa"/>
            <w:vAlign w:val="center"/>
          </w:tcPr>
          <w:p w:rsidR="0026232B" w:rsidRDefault="00642F33">
            <w:pPr>
              <w:jc w:val="right"/>
            </w:pPr>
            <w:r>
              <w:rPr>
                <w:color w:val="000000"/>
                <w:sz w:val="24"/>
                <w:szCs w:val="24"/>
              </w:rPr>
              <w:t>9,288,000.00</w:t>
            </w:r>
          </w:p>
        </w:tc>
        <w:tc>
          <w:tcPr>
            <w:tcW w:w="1689" w:type="dxa"/>
            <w:vAlign w:val="center"/>
          </w:tcPr>
          <w:p w:rsidR="0026232B" w:rsidRDefault="00642F33">
            <w:pPr>
              <w:jc w:val="right"/>
            </w:pPr>
            <w:r>
              <w:rPr>
                <w:color w:val="000000"/>
                <w:sz w:val="24"/>
                <w:szCs w:val="24"/>
              </w:rPr>
              <w:t>0.39</w:t>
            </w:r>
          </w:p>
        </w:tc>
      </w:tr>
      <w:tr w:rsidR="0026232B">
        <w:trPr>
          <w:jc w:val="center"/>
        </w:trPr>
        <w:tc>
          <w:tcPr>
            <w:tcW w:w="1883" w:type="dxa"/>
            <w:vAlign w:val="center"/>
          </w:tcPr>
          <w:p w:rsidR="0026232B" w:rsidRDefault="00642F33">
            <w:pPr>
              <w:jc w:val="center"/>
            </w:pPr>
            <w:r>
              <w:rPr>
                <w:color w:val="000000"/>
                <w:sz w:val="24"/>
                <w:szCs w:val="24"/>
              </w:rPr>
              <w:t>4</w:t>
            </w:r>
          </w:p>
        </w:tc>
        <w:tc>
          <w:tcPr>
            <w:tcW w:w="1801" w:type="dxa"/>
            <w:vAlign w:val="center"/>
          </w:tcPr>
          <w:p w:rsidR="0026232B" w:rsidRDefault="00642F33">
            <w:pPr>
              <w:jc w:val="center"/>
            </w:pPr>
            <w:r>
              <w:rPr>
                <w:color w:val="000000"/>
                <w:sz w:val="24"/>
                <w:szCs w:val="24"/>
              </w:rPr>
              <w:t>123006</w:t>
            </w:r>
          </w:p>
        </w:tc>
        <w:tc>
          <w:tcPr>
            <w:tcW w:w="1727" w:type="dxa"/>
            <w:vAlign w:val="center"/>
          </w:tcPr>
          <w:p w:rsidR="0026232B" w:rsidRDefault="00642F33">
            <w:pPr>
              <w:jc w:val="center"/>
            </w:pPr>
            <w:r>
              <w:rPr>
                <w:color w:val="000000"/>
                <w:sz w:val="24"/>
                <w:szCs w:val="24"/>
              </w:rPr>
              <w:t>东财转债</w:t>
            </w:r>
          </w:p>
        </w:tc>
        <w:tc>
          <w:tcPr>
            <w:tcW w:w="1768" w:type="dxa"/>
            <w:vAlign w:val="center"/>
          </w:tcPr>
          <w:p w:rsidR="0026232B" w:rsidRDefault="00642F33">
            <w:pPr>
              <w:jc w:val="right"/>
            </w:pPr>
            <w:r>
              <w:rPr>
                <w:color w:val="000000"/>
                <w:sz w:val="24"/>
                <w:szCs w:val="24"/>
              </w:rPr>
              <w:t>8,493,500.00</w:t>
            </w:r>
          </w:p>
        </w:tc>
        <w:tc>
          <w:tcPr>
            <w:tcW w:w="1689" w:type="dxa"/>
            <w:vAlign w:val="center"/>
          </w:tcPr>
          <w:p w:rsidR="0026232B" w:rsidRDefault="00642F33">
            <w:pPr>
              <w:jc w:val="right"/>
            </w:pPr>
            <w:r>
              <w:rPr>
                <w:color w:val="000000"/>
                <w:sz w:val="24"/>
                <w:szCs w:val="24"/>
              </w:rPr>
              <w:t>0.36</w:t>
            </w:r>
          </w:p>
        </w:tc>
      </w:tr>
      <w:tr w:rsidR="0026232B">
        <w:trPr>
          <w:jc w:val="center"/>
        </w:trPr>
        <w:tc>
          <w:tcPr>
            <w:tcW w:w="1883" w:type="dxa"/>
            <w:vAlign w:val="center"/>
          </w:tcPr>
          <w:p w:rsidR="0026232B" w:rsidRDefault="00642F33">
            <w:pPr>
              <w:jc w:val="center"/>
            </w:pPr>
            <w:r>
              <w:rPr>
                <w:color w:val="000000"/>
                <w:sz w:val="24"/>
                <w:szCs w:val="24"/>
              </w:rPr>
              <w:t>5</w:t>
            </w:r>
          </w:p>
        </w:tc>
        <w:tc>
          <w:tcPr>
            <w:tcW w:w="1801" w:type="dxa"/>
            <w:vAlign w:val="center"/>
          </w:tcPr>
          <w:p w:rsidR="0026232B" w:rsidRDefault="00642F33">
            <w:pPr>
              <w:jc w:val="center"/>
            </w:pPr>
            <w:r>
              <w:rPr>
                <w:color w:val="000000"/>
                <w:sz w:val="24"/>
                <w:szCs w:val="24"/>
              </w:rPr>
              <w:t>132013</w:t>
            </w:r>
          </w:p>
        </w:tc>
        <w:tc>
          <w:tcPr>
            <w:tcW w:w="1727" w:type="dxa"/>
            <w:vAlign w:val="center"/>
          </w:tcPr>
          <w:p w:rsidR="0026232B" w:rsidRDefault="00642F33">
            <w:pPr>
              <w:jc w:val="center"/>
            </w:pPr>
            <w:r>
              <w:rPr>
                <w:color w:val="000000"/>
                <w:sz w:val="24"/>
                <w:szCs w:val="24"/>
              </w:rPr>
              <w:t>17</w:t>
            </w:r>
            <w:r>
              <w:rPr>
                <w:color w:val="000000"/>
                <w:sz w:val="24"/>
                <w:szCs w:val="24"/>
              </w:rPr>
              <w:t>宝武</w:t>
            </w:r>
            <w:r>
              <w:rPr>
                <w:color w:val="000000"/>
                <w:sz w:val="24"/>
                <w:szCs w:val="24"/>
              </w:rPr>
              <w:t>EB</w:t>
            </w:r>
          </w:p>
        </w:tc>
        <w:tc>
          <w:tcPr>
            <w:tcW w:w="1768" w:type="dxa"/>
            <w:vAlign w:val="center"/>
          </w:tcPr>
          <w:p w:rsidR="0026232B" w:rsidRDefault="00642F33">
            <w:pPr>
              <w:jc w:val="right"/>
            </w:pPr>
            <w:r>
              <w:rPr>
                <w:color w:val="000000"/>
                <w:sz w:val="24"/>
                <w:szCs w:val="24"/>
              </w:rPr>
              <w:t>7,144,900.00</w:t>
            </w:r>
          </w:p>
        </w:tc>
        <w:tc>
          <w:tcPr>
            <w:tcW w:w="1689" w:type="dxa"/>
            <w:vAlign w:val="center"/>
          </w:tcPr>
          <w:p w:rsidR="0026232B" w:rsidRDefault="00642F33">
            <w:pPr>
              <w:jc w:val="right"/>
            </w:pPr>
            <w:r>
              <w:rPr>
                <w:color w:val="000000"/>
                <w:sz w:val="24"/>
                <w:szCs w:val="24"/>
              </w:rPr>
              <w:t>0.30</w:t>
            </w:r>
          </w:p>
        </w:tc>
      </w:tr>
      <w:tr w:rsidR="0026232B">
        <w:trPr>
          <w:jc w:val="center"/>
        </w:trPr>
        <w:tc>
          <w:tcPr>
            <w:tcW w:w="1883" w:type="dxa"/>
            <w:vAlign w:val="center"/>
          </w:tcPr>
          <w:p w:rsidR="0026232B" w:rsidRDefault="00642F33">
            <w:pPr>
              <w:jc w:val="center"/>
            </w:pPr>
            <w:r>
              <w:rPr>
                <w:color w:val="000000"/>
                <w:sz w:val="24"/>
                <w:szCs w:val="24"/>
              </w:rPr>
              <w:t>6</w:t>
            </w:r>
          </w:p>
        </w:tc>
        <w:tc>
          <w:tcPr>
            <w:tcW w:w="1801" w:type="dxa"/>
            <w:vAlign w:val="center"/>
          </w:tcPr>
          <w:p w:rsidR="0026232B" w:rsidRDefault="00642F33">
            <w:pPr>
              <w:jc w:val="center"/>
            </w:pPr>
            <w:r>
              <w:rPr>
                <w:color w:val="000000"/>
                <w:sz w:val="24"/>
                <w:szCs w:val="24"/>
              </w:rPr>
              <w:t>113013</w:t>
            </w:r>
          </w:p>
        </w:tc>
        <w:tc>
          <w:tcPr>
            <w:tcW w:w="1727" w:type="dxa"/>
            <w:vAlign w:val="center"/>
          </w:tcPr>
          <w:p w:rsidR="0026232B" w:rsidRDefault="00642F33">
            <w:pPr>
              <w:jc w:val="center"/>
            </w:pPr>
            <w:r>
              <w:rPr>
                <w:color w:val="000000"/>
                <w:sz w:val="24"/>
                <w:szCs w:val="24"/>
              </w:rPr>
              <w:t>国君转债</w:t>
            </w:r>
          </w:p>
        </w:tc>
        <w:tc>
          <w:tcPr>
            <w:tcW w:w="1768" w:type="dxa"/>
            <w:vAlign w:val="center"/>
          </w:tcPr>
          <w:p w:rsidR="0026232B" w:rsidRDefault="00642F33">
            <w:pPr>
              <w:jc w:val="right"/>
            </w:pPr>
            <w:r>
              <w:rPr>
                <w:color w:val="000000"/>
                <w:sz w:val="24"/>
                <w:szCs w:val="24"/>
              </w:rPr>
              <w:t>7,104,600.00</w:t>
            </w:r>
          </w:p>
        </w:tc>
        <w:tc>
          <w:tcPr>
            <w:tcW w:w="1689" w:type="dxa"/>
            <w:vAlign w:val="center"/>
          </w:tcPr>
          <w:p w:rsidR="0026232B" w:rsidRDefault="00642F33">
            <w:pPr>
              <w:jc w:val="right"/>
            </w:pPr>
            <w:r>
              <w:rPr>
                <w:color w:val="000000"/>
                <w:sz w:val="24"/>
                <w:szCs w:val="24"/>
              </w:rPr>
              <w:t>0.30</w:t>
            </w:r>
          </w:p>
        </w:tc>
      </w:tr>
      <w:tr w:rsidR="0026232B">
        <w:trPr>
          <w:jc w:val="center"/>
        </w:trPr>
        <w:tc>
          <w:tcPr>
            <w:tcW w:w="1883" w:type="dxa"/>
            <w:vAlign w:val="center"/>
          </w:tcPr>
          <w:p w:rsidR="0026232B" w:rsidRDefault="00642F33">
            <w:pPr>
              <w:jc w:val="center"/>
            </w:pPr>
            <w:r>
              <w:rPr>
                <w:color w:val="000000"/>
                <w:sz w:val="24"/>
                <w:szCs w:val="24"/>
              </w:rPr>
              <w:t>7</w:t>
            </w:r>
          </w:p>
        </w:tc>
        <w:tc>
          <w:tcPr>
            <w:tcW w:w="1801" w:type="dxa"/>
            <w:vAlign w:val="center"/>
          </w:tcPr>
          <w:p w:rsidR="0026232B" w:rsidRDefault="00642F33">
            <w:pPr>
              <w:jc w:val="center"/>
            </w:pPr>
            <w:r>
              <w:rPr>
                <w:color w:val="000000"/>
                <w:sz w:val="24"/>
                <w:szCs w:val="24"/>
              </w:rPr>
              <w:t>113517</w:t>
            </w:r>
          </w:p>
        </w:tc>
        <w:tc>
          <w:tcPr>
            <w:tcW w:w="1727" w:type="dxa"/>
            <w:vAlign w:val="center"/>
          </w:tcPr>
          <w:p w:rsidR="0026232B" w:rsidRDefault="00642F33">
            <w:pPr>
              <w:jc w:val="center"/>
            </w:pPr>
            <w:r>
              <w:rPr>
                <w:color w:val="000000"/>
                <w:sz w:val="24"/>
                <w:szCs w:val="24"/>
              </w:rPr>
              <w:t>曙光转债</w:t>
            </w:r>
          </w:p>
        </w:tc>
        <w:tc>
          <w:tcPr>
            <w:tcW w:w="1768" w:type="dxa"/>
            <w:vAlign w:val="center"/>
          </w:tcPr>
          <w:p w:rsidR="0026232B" w:rsidRDefault="00642F33">
            <w:pPr>
              <w:jc w:val="right"/>
            </w:pPr>
            <w:r>
              <w:rPr>
                <w:color w:val="000000"/>
                <w:sz w:val="24"/>
                <w:szCs w:val="24"/>
              </w:rPr>
              <w:t>6,261,500.00</w:t>
            </w:r>
          </w:p>
        </w:tc>
        <w:tc>
          <w:tcPr>
            <w:tcW w:w="1689" w:type="dxa"/>
            <w:vAlign w:val="center"/>
          </w:tcPr>
          <w:p w:rsidR="0026232B" w:rsidRDefault="00642F33">
            <w:pPr>
              <w:jc w:val="right"/>
            </w:pPr>
            <w:r>
              <w:rPr>
                <w:color w:val="000000"/>
                <w:sz w:val="24"/>
                <w:szCs w:val="24"/>
              </w:rPr>
              <w:t>0.26</w:t>
            </w:r>
          </w:p>
        </w:tc>
      </w:tr>
      <w:tr w:rsidR="0026232B">
        <w:trPr>
          <w:jc w:val="center"/>
        </w:trPr>
        <w:tc>
          <w:tcPr>
            <w:tcW w:w="1883" w:type="dxa"/>
            <w:vAlign w:val="center"/>
          </w:tcPr>
          <w:p w:rsidR="0026232B" w:rsidRDefault="00642F33">
            <w:pPr>
              <w:jc w:val="center"/>
            </w:pPr>
            <w:r>
              <w:rPr>
                <w:color w:val="000000"/>
                <w:sz w:val="24"/>
                <w:szCs w:val="24"/>
              </w:rPr>
              <w:t>8</w:t>
            </w:r>
          </w:p>
        </w:tc>
        <w:tc>
          <w:tcPr>
            <w:tcW w:w="1801" w:type="dxa"/>
            <w:vAlign w:val="center"/>
          </w:tcPr>
          <w:p w:rsidR="0026232B" w:rsidRDefault="00642F33">
            <w:pPr>
              <w:jc w:val="center"/>
            </w:pPr>
            <w:r>
              <w:rPr>
                <w:color w:val="000000"/>
                <w:sz w:val="24"/>
                <w:szCs w:val="24"/>
              </w:rPr>
              <w:t>113015</w:t>
            </w:r>
          </w:p>
        </w:tc>
        <w:tc>
          <w:tcPr>
            <w:tcW w:w="1727" w:type="dxa"/>
            <w:vAlign w:val="center"/>
          </w:tcPr>
          <w:p w:rsidR="0026232B" w:rsidRDefault="00642F33">
            <w:pPr>
              <w:jc w:val="center"/>
            </w:pPr>
            <w:r>
              <w:rPr>
                <w:color w:val="000000"/>
                <w:sz w:val="24"/>
                <w:szCs w:val="24"/>
              </w:rPr>
              <w:t>隆基转债</w:t>
            </w:r>
          </w:p>
        </w:tc>
        <w:tc>
          <w:tcPr>
            <w:tcW w:w="1768" w:type="dxa"/>
            <w:vAlign w:val="center"/>
          </w:tcPr>
          <w:p w:rsidR="0026232B" w:rsidRDefault="00642F33">
            <w:pPr>
              <w:jc w:val="right"/>
            </w:pPr>
            <w:r>
              <w:rPr>
                <w:color w:val="000000"/>
                <w:sz w:val="24"/>
                <w:szCs w:val="24"/>
              </w:rPr>
              <w:t>6,084,806.40</w:t>
            </w:r>
          </w:p>
        </w:tc>
        <w:tc>
          <w:tcPr>
            <w:tcW w:w="1689" w:type="dxa"/>
            <w:vAlign w:val="center"/>
          </w:tcPr>
          <w:p w:rsidR="0026232B" w:rsidRDefault="00642F33">
            <w:pPr>
              <w:jc w:val="right"/>
            </w:pPr>
            <w:r>
              <w:rPr>
                <w:color w:val="000000"/>
                <w:sz w:val="24"/>
                <w:szCs w:val="24"/>
              </w:rPr>
              <w:t>0.25</w:t>
            </w:r>
          </w:p>
        </w:tc>
      </w:tr>
      <w:tr w:rsidR="0026232B">
        <w:trPr>
          <w:jc w:val="center"/>
        </w:trPr>
        <w:tc>
          <w:tcPr>
            <w:tcW w:w="1883" w:type="dxa"/>
            <w:vAlign w:val="center"/>
          </w:tcPr>
          <w:p w:rsidR="0026232B" w:rsidRDefault="00642F33">
            <w:pPr>
              <w:jc w:val="center"/>
            </w:pPr>
            <w:r>
              <w:rPr>
                <w:color w:val="000000"/>
                <w:sz w:val="24"/>
                <w:szCs w:val="24"/>
              </w:rPr>
              <w:t>9</w:t>
            </w:r>
          </w:p>
        </w:tc>
        <w:tc>
          <w:tcPr>
            <w:tcW w:w="1801" w:type="dxa"/>
            <w:vAlign w:val="center"/>
          </w:tcPr>
          <w:p w:rsidR="0026232B" w:rsidRDefault="00642F33">
            <w:pPr>
              <w:jc w:val="center"/>
            </w:pPr>
            <w:r>
              <w:rPr>
                <w:color w:val="000000"/>
                <w:sz w:val="24"/>
                <w:szCs w:val="24"/>
              </w:rPr>
              <w:t>128035</w:t>
            </w:r>
          </w:p>
        </w:tc>
        <w:tc>
          <w:tcPr>
            <w:tcW w:w="1727" w:type="dxa"/>
            <w:vAlign w:val="center"/>
          </w:tcPr>
          <w:p w:rsidR="0026232B" w:rsidRDefault="00642F33">
            <w:pPr>
              <w:jc w:val="center"/>
            </w:pPr>
            <w:r>
              <w:rPr>
                <w:color w:val="000000"/>
                <w:sz w:val="24"/>
                <w:szCs w:val="24"/>
              </w:rPr>
              <w:t>大族转债</w:t>
            </w:r>
          </w:p>
        </w:tc>
        <w:tc>
          <w:tcPr>
            <w:tcW w:w="1768" w:type="dxa"/>
            <w:vAlign w:val="center"/>
          </w:tcPr>
          <w:p w:rsidR="0026232B" w:rsidRDefault="00642F33">
            <w:pPr>
              <w:jc w:val="right"/>
            </w:pPr>
            <w:r>
              <w:rPr>
                <w:color w:val="000000"/>
                <w:sz w:val="24"/>
                <w:szCs w:val="24"/>
              </w:rPr>
              <w:t>3,273,211.50</w:t>
            </w:r>
          </w:p>
        </w:tc>
        <w:tc>
          <w:tcPr>
            <w:tcW w:w="1689" w:type="dxa"/>
            <w:vAlign w:val="center"/>
          </w:tcPr>
          <w:p w:rsidR="0026232B" w:rsidRDefault="00642F33">
            <w:pPr>
              <w:jc w:val="right"/>
            </w:pPr>
            <w:r>
              <w:rPr>
                <w:color w:val="000000"/>
                <w:sz w:val="24"/>
                <w:szCs w:val="24"/>
              </w:rPr>
              <w:t>0.14</w:t>
            </w:r>
          </w:p>
        </w:tc>
      </w:tr>
      <w:tr w:rsidR="0026232B">
        <w:trPr>
          <w:jc w:val="center"/>
        </w:trPr>
        <w:tc>
          <w:tcPr>
            <w:tcW w:w="1883" w:type="dxa"/>
            <w:vAlign w:val="center"/>
          </w:tcPr>
          <w:p w:rsidR="0026232B" w:rsidRDefault="00642F33">
            <w:pPr>
              <w:jc w:val="center"/>
            </w:pPr>
            <w:r>
              <w:rPr>
                <w:color w:val="000000"/>
                <w:sz w:val="24"/>
                <w:szCs w:val="24"/>
              </w:rPr>
              <w:t>10</w:t>
            </w:r>
          </w:p>
        </w:tc>
        <w:tc>
          <w:tcPr>
            <w:tcW w:w="1801" w:type="dxa"/>
            <w:vAlign w:val="center"/>
          </w:tcPr>
          <w:p w:rsidR="0026232B" w:rsidRDefault="00642F33">
            <w:pPr>
              <w:jc w:val="center"/>
            </w:pPr>
            <w:r>
              <w:rPr>
                <w:color w:val="000000"/>
                <w:sz w:val="24"/>
                <w:szCs w:val="24"/>
              </w:rPr>
              <w:t>128024</w:t>
            </w:r>
          </w:p>
        </w:tc>
        <w:tc>
          <w:tcPr>
            <w:tcW w:w="1727" w:type="dxa"/>
            <w:vAlign w:val="center"/>
          </w:tcPr>
          <w:p w:rsidR="0026232B" w:rsidRDefault="00642F33">
            <w:pPr>
              <w:jc w:val="center"/>
            </w:pPr>
            <w:r>
              <w:rPr>
                <w:color w:val="000000"/>
                <w:sz w:val="24"/>
                <w:szCs w:val="24"/>
              </w:rPr>
              <w:t>宁行转债</w:t>
            </w:r>
          </w:p>
        </w:tc>
        <w:tc>
          <w:tcPr>
            <w:tcW w:w="1768" w:type="dxa"/>
            <w:vAlign w:val="center"/>
          </w:tcPr>
          <w:p w:rsidR="0026232B" w:rsidRDefault="00642F33">
            <w:pPr>
              <w:jc w:val="right"/>
            </w:pPr>
            <w:r>
              <w:rPr>
                <w:color w:val="000000"/>
                <w:sz w:val="24"/>
                <w:szCs w:val="24"/>
              </w:rPr>
              <w:t>1,419,914.80</w:t>
            </w:r>
          </w:p>
        </w:tc>
        <w:tc>
          <w:tcPr>
            <w:tcW w:w="1689" w:type="dxa"/>
            <w:vAlign w:val="center"/>
          </w:tcPr>
          <w:p w:rsidR="0026232B" w:rsidRDefault="00642F33">
            <w:pPr>
              <w:jc w:val="right"/>
            </w:pPr>
            <w:r>
              <w:rPr>
                <w:color w:val="000000"/>
                <w:sz w:val="24"/>
                <w:szCs w:val="24"/>
              </w:rPr>
              <w:t>0.06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2918E3" w:rsidRDefault="00642F33" w:rsidP="00C15CAC">
      <w:pPr>
        <w:autoSpaceDE w:val="0"/>
        <w:autoSpaceDN w:val="0"/>
        <w:adjustRightInd w:val="0"/>
        <w:spacing w:before="29" w:line="288" w:lineRule="auto"/>
        <w:rPr>
          <w:color w:val="000000"/>
          <w:sz w:val="24"/>
          <w:szCs w:val="24"/>
        </w:rPr>
      </w:pPr>
      <w:r w:rsidRPr="00642F33">
        <w:rPr>
          <w:rFonts w:hint="eastAsia"/>
          <w:color w:val="000000"/>
          <w:sz w:val="24"/>
          <w:szCs w:val="24"/>
        </w:rPr>
        <w:t>本基金本报告期末未持有股票。</w:t>
      </w:r>
    </w:p>
    <w:p w:rsidR="00642F33" w:rsidRPr="00414345" w:rsidRDefault="00642F3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lastRenderedPageBreak/>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710,590,216.71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1,222,733,092.49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135,001,836.14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1,798,321,473.06</w:t>
            </w:r>
          </w:p>
        </w:tc>
      </w:tr>
    </w:tbl>
    <w:p w:rsidR="0026232B" w:rsidRDefault="00642F3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83,251,657.44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83,251,657.44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bl>
    <w:p w:rsidR="0026232B" w:rsidRDefault="00642F3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410630" w:rsidRDefault="00ED2620" w:rsidP="000642AC">
      <w:pPr>
        <w:autoSpaceDE w:val="0"/>
        <w:autoSpaceDN w:val="0"/>
        <w:adjustRightInd w:val="0"/>
        <w:spacing w:before="29" w:line="288" w:lineRule="auto"/>
        <w:ind w:firstLineChars="200" w:firstLine="480"/>
        <w:jc w:val="left"/>
        <w:rPr>
          <w:rFonts w:eastAsiaTheme="minorEastAsia"/>
          <w:color w:val="000000"/>
          <w:sz w:val="24"/>
        </w:rPr>
      </w:pPr>
      <w:r w:rsidRPr="00ED2620">
        <w:rPr>
          <w:rFonts w:eastAsiaTheme="minorEastAsia"/>
          <w:color w:val="000000"/>
          <w:sz w:val="24"/>
        </w:rPr>
        <w:t>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441"/>
        <w:gridCol w:w="1559"/>
        <w:gridCol w:w="1726"/>
        <w:gridCol w:w="1818"/>
        <w:gridCol w:w="1292"/>
      </w:tblGrid>
      <w:tr w:rsidR="00320300" w:rsidRPr="00414345" w:rsidTr="000642AC">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44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559"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26"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818"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29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26232B" w:rsidTr="000642AC">
        <w:trPr>
          <w:jc w:val="center"/>
        </w:trPr>
        <w:tc>
          <w:tcPr>
            <w:tcW w:w="1032" w:type="dxa"/>
            <w:vAlign w:val="center"/>
          </w:tcPr>
          <w:p w:rsidR="0026232B" w:rsidRDefault="00642F33">
            <w:pPr>
              <w:jc w:val="center"/>
            </w:pPr>
            <w:r>
              <w:rPr>
                <w:color w:val="000000"/>
                <w:sz w:val="24"/>
              </w:rPr>
              <w:lastRenderedPageBreak/>
              <w:t>1</w:t>
            </w:r>
          </w:p>
        </w:tc>
        <w:tc>
          <w:tcPr>
            <w:tcW w:w="1441" w:type="dxa"/>
            <w:vAlign w:val="center"/>
          </w:tcPr>
          <w:p w:rsidR="0026232B" w:rsidRDefault="00642F33">
            <w:pPr>
              <w:jc w:val="center"/>
            </w:pPr>
            <w:r>
              <w:rPr>
                <w:color w:val="000000"/>
                <w:sz w:val="24"/>
              </w:rPr>
              <w:t>赎回</w:t>
            </w:r>
          </w:p>
        </w:tc>
        <w:tc>
          <w:tcPr>
            <w:tcW w:w="1559" w:type="dxa"/>
            <w:vAlign w:val="center"/>
          </w:tcPr>
          <w:p w:rsidR="0026232B" w:rsidRDefault="00642F33">
            <w:pPr>
              <w:jc w:val="center"/>
            </w:pPr>
            <w:r>
              <w:rPr>
                <w:color w:val="000000"/>
                <w:sz w:val="24"/>
              </w:rPr>
              <w:t>2019-01-21</w:t>
            </w:r>
          </w:p>
        </w:tc>
        <w:tc>
          <w:tcPr>
            <w:tcW w:w="1726" w:type="dxa"/>
            <w:vAlign w:val="center"/>
          </w:tcPr>
          <w:p w:rsidR="0026232B" w:rsidRDefault="00642F33">
            <w:pPr>
              <w:jc w:val="right"/>
            </w:pPr>
            <w:r>
              <w:rPr>
                <w:color w:val="000000"/>
                <w:sz w:val="24"/>
              </w:rPr>
              <w:t>-83,251,657.44</w:t>
            </w:r>
          </w:p>
        </w:tc>
        <w:tc>
          <w:tcPr>
            <w:tcW w:w="1818" w:type="dxa"/>
            <w:vAlign w:val="center"/>
          </w:tcPr>
          <w:p w:rsidR="0026232B" w:rsidRDefault="00642F33">
            <w:pPr>
              <w:jc w:val="right"/>
            </w:pPr>
            <w:r>
              <w:rPr>
                <w:color w:val="000000"/>
                <w:sz w:val="24"/>
              </w:rPr>
              <w:t>-109,213,418.01</w:t>
            </w:r>
          </w:p>
        </w:tc>
        <w:tc>
          <w:tcPr>
            <w:tcW w:w="1292" w:type="dxa"/>
            <w:vAlign w:val="center"/>
          </w:tcPr>
          <w:p w:rsidR="0026232B" w:rsidRDefault="00D16135">
            <w:pPr>
              <w:jc w:val="center"/>
            </w:pPr>
            <w:r w:rsidRPr="00014ECC">
              <w:rPr>
                <w:color w:val="000000"/>
                <w:sz w:val="24"/>
                <w:szCs w:val="24"/>
              </w:rPr>
              <w:t>0.01%</w:t>
            </w:r>
          </w:p>
        </w:tc>
      </w:tr>
      <w:tr w:rsidR="00320300" w:rsidRPr="00414345" w:rsidTr="000642AC">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44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559"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26"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-83,251,657.44</w:t>
            </w:r>
          </w:p>
        </w:tc>
        <w:tc>
          <w:tcPr>
            <w:tcW w:w="1818"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-109,213,418.01</w:t>
            </w:r>
          </w:p>
        </w:tc>
        <w:tc>
          <w:tcPr>
            <w:tcW w:w="1292"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26232B">
        <w:tc>
          <w:tcPr>
            <w:tcW w:w="993" w:type="dxa"/>
            <w:vMerge w:val="restart"/>
          </w:tcPr>
          <w:p w:rsidR="0026232B" w:rsidRDefault="0026232B"/>
          <w:p w:rsidR="0026232B" w:rsidRDefault="00642F33">
            <w:r>
              <w:rPr>
                <w:rFonts w:ascii="宋体" w:hAnsi="宋体" w:hint="eastAsia"/>
                <w:bCs/>
                <w:color w:val="000000"/>
                <w:kern w:val="0"/>
              </w:rPr>
              <w:t>机构</w:t>
            </w:r>
          </w:p>
        </w:tc>
        <w:tc>
          <w:tcPr>
            <w:tcW w:w="992" w:type="dxa"/>
            <w:vAlign w:val="center"/>
          </w:tcPr>
          <w:p w:rsidR="0026232B" w:rsidRDefault="00642F33">
            <w:pPr>
              <w:jc w:val="center"/>
            </w:pPr>
            <w:r>
              <w:rPr>
                <w:rFonts w:ascii="宋体" w:hAnsi="宋体"/>
                <w:color w:val="000000"/>
                <w:kern w:val="0"/>
              </w:rPr>
              <w:t>1</w:t>
            </w:r>
          </w:p>
        </w:tc>
        <w:tc>
          <w:tcPr>
            <w:tcW w:w="1843" w:type="dxa"/>
            <w:vAlign w:val="center"/>
          </w:tcPr>
          <w:p w:rsidR="0026232B" w:rsidRDefault="00642F33">
            <w:pPr>
              <w:jc w:val="center"/>
            </w:pPr>
            <w:r>
              <w:rPr>
                <w:rFonts w:ascii="宋体" w:hAnsi="宋体"/>
                <w:color w:val="000000"/>
                <w:kern w:val="0"/>
              </w:rPr>
              <w:t>2019/1/1-2019/3/31</w:t>
            </w:r>
          </w:p>
        </w:tc>
        <w:tc>
          <w:tcPr>
            <w:tcW w:w="851" w:type="dxa"/>
            <w:vAlign w:val="center"/>
          </w:tcPr>
          <w:p w:rsidR="0026232B" w:rsidRDefault="00642F33">
            <w:pPr>
              <w:jc w:val="center"/>
            </w:pPr>
            <w:r>
              <w:rPr>
                <w:rFonts w:ascii="宋体" w:hAnsi="宋体"/>
                <w:color w:val="000000"/>
                <w:kern w:val="0"/>
              </w:rPr>
              <w:t>-</w:t>
            </w:r>
          </w:p>
        </w:tc>
        <w:tc>
          <w:tcPr>
            <w:tcW w:w="850" w:type="dxa"/>
            <w:vAlign w:val="center"/>
          </w:tcPr>
          <w:p w:rsidR="0026232B" w:rsidRDefault="00642F33">
            <w:pPr>
              <w:jc w:val="center"/>
            </w:pPr>
            <w:r>
              <w:rPr>
                <w:rFonts w:ascii="宋体" w:hAnsi="宋体"/>
                <w:color w:val="000000"/>
                <w:kern w:val="0"/>
              </w:rPr>
              <w:t>377,073,152.34</w:t>
            </w:r>
          </w:p>
        </w:tc>
        <w:tc>
          <w:tcPr>
            <w:tcW w:w="1134" w:type="dxa"/>
            <w:vAlign w:val="center"/>
          </w:tcPr>
          <w:p w:rsidR="0026232B" w:rsidRDefault="00642F33">
            <w:pPr>
              <w:jc w:val="center"/>
            </w:pPr>
            <w:r>
              <w:rPr>
                <w:rFonts w:ascii="宋体" w:hAnsi="宋体"/>
                <w:color w:val="000000"/>
                <w:kern w:val="0"/>
              </w:rPr>
              <w:t>-</w:t>
            </w:r>
          </w:p>
        </w:tc>
        <w:tc>
          <w:tcPr>
            <w:tcW w:w="1419" w:type="dxa"/>
            <w:vAlign w:val="center"/>
          </w:tcPr>
          <w:p w:rsidR="0026232B" w:rsidRDefault="00642F33">
            <w:pPr>
              <w:jc w:val="center"/>
            </w:pPr>
            <w:r>
              <w:rPr>
                <w:rFonts w:ascii="宋体" w:hAnsi="宋体"/>
                <w:color w:val="000000"/>
                <w:kern w:val="0"/>
              </w:rPr>
              <w:t>377,073,152.34</w:t>
            </w:r>
          </w:p>
        </w:tc>
        <w:tc>
          <w:tcPr>
            <w:tcW w:w="1130" w:type="dxa"/>
            <w:vAlign w:val="center"/>
          </w:tcPr>
          <w:p w:rsidR="0026232B" w:rsidRDefault="00642F33">
            <w:pPr>
              <w:jc w:val="center"/>
            </w:pPr>
            <w:r>
              <w:rPr>
                <w:rFonts w:ascii="宋体" w:hAnsi="宋体"/>
                <w:color w:val="000000"/>
                <w:kern w:val="0"/>
              </w:rPr>
              <w:t>20.97%</w:t>
            </w:r>
          </w:p>
        </w:tc>
      </w:tr>
      <w:tr w:rsidR="0026232B">
        <w:tc>
          <w:tcPr>
            <w:tcW w:w="993" w:type="dxa"/>
            <w:vMerge/>
          </w:tcPr>
          <w:p w:rsidR="0026232B" w:rsidRDefault="0026232B"/>
        </w:tc>
        <w:tc>
          <w:tcPr>
            <w:tcW w:w="992" w:type="dxa"/>
            <w:vAlign w:val="center"/>
          </w:tcPr>
          <w:p w:rsidR="0026232B" w:rsidRDefault="00642F33">
            <w:pPr>
              <w:jc w:val="center"/>
            </w:pPr>
            <w:r>
              <w:rPr>
                <w:rFonts w:ascii="宋体" w:hAnsi="宋体"/>
                <w:color w:val="000000"/>
                <w:kern w:val="0"/>
              </w:rPr>
              <w:t>2</w:t>
            </w:r>
          </w:p>
        </w:tc>
        <w:tc>
          <w:tcPr>
            <w:tcW w:w="1843" w:type="dxa"/>
            <w:vAlign w:val="center"/>
          </w:tcPr>
          <w:p w:rsidR="0026232B" w:rsidRDefault="00642F33">
            <w:pPr>
              <w:jc w:val="center"/>
            </w:pPr>
            <w:r>
              <w:rPr>
                <w:rFonts w:ascii="宋体" w:hAnsi="宋体"/>
                <w:color w:val="000000"/>
                <w:kern w:val="0"/>
              </w:rPr>
              <w:t>2019/1/1-2019/3/31</w:t>
            </w:r>
          </w:p>
        </w:tc>
        <w:tc>
          <w:tcPr>
            <w:tcW w:w="851" w:type="dxa"/>
            <w:vAlign w:val="center"/>
          </w:tcPr>
          <w:p w:rsidR="0026232B" w:rsidRDefault="00642F33">
            <w:pPr>
              <w:jc w:val="center"/>
            </w:pPr>
            <w:r>
              <w:rPr>
                <w:rFonts w:ascii="宋体" w:hAnsi="宋体"/>
                <w:color w:val="000000"/>
                <w:kern w:val="0"/>
              </w:rPr>
              <w:t>209,035,517.80</w:t>
            </w:r>
          </w:p>
        </w:tc>
        <w:tc>
          <w:tcPr>
            <w:tcW w:w="850" w:type="dxa"/>
            <w:vAlign w:val="center"/>
          </w:tcPr>
          <w:p w:rsidR="0026232B" w:rsidRDefault="00642F33">
            <w:pPr>
              <w:jc w:val="center"/>
            </w:pPr>
            <w:r>
              <w:rPr>
                <w:rFonts w:ascii="宋体" w:hAnsi="宋体"/>
                <w:color w:val="000000"/>
                <w:kern w:val="0"/>
              </w:rPr>
              <w:t>-</w:t>
            </w:r>
          </w:p>
        </w:tc>
        <w:tc>
          <w:tcPr>
            <w:tcW w:w="1134" w:type="dxa"/>
            <w:vAlign w:val="center"/>
          </w:tcPr>
          <w:p w:rsidR="0026232B" w:rsidRDefault="00642F33">
            <w:pPr>
              <w:jc w:val="center"/>
            </w:pPr>
            <w:r>
              <w:rPr>
                <w:rFonts w:ascii="宋体" w:hAnsi="宋体"/>
                <w:color w:val="000000"/>
                <w:kern w:val="0"/>
              </w:rPr>
              <w:t>-</w:t>
            </w:r>
          </w:p>
        </w:tc>
        <w:tc>
          <w:tcPr>
            <w:tcW w:w="1419" w:type="dxa"/>
            <w:vAlign w:val="center"/>
          </w:tcPr>
          <w:p w:rsidR="0026232B" w:rsidRDefault="00642F33">
            <w:pPr>
              <w:jc w:val="center"/>
            </w:pPr>
            <w:r>
              <w:rPr>
                <w:rFonts w:ascii="宋体" w:hAnsi="宋体"/>
                <w:color w:val="000000"/>
                <w:kern w:val="0"/>
              </w:rPr>
              <w:t>209,035,517.80</w:t>
            </w:r>
          </w:p>
        </w:tc>
        <w:tc>
          <w:tcPr>
            <w:tcW w:w="1130" w:type="dxa"/>
            <w:vAlign w:val="center"/>
          </w:tcPr>
          <w:p w:rsidR="0026232B" w:rsidRDefault="00642F33">
            <w:pPr>
              <w:jc w:val="center"/>
            </w:pPr>
            <w:r>
              <w:rPr>
                <w:rFonts w:ascii="宋体" w:hAnsi="宋体"/>
                <w:color w:val="000000"/>
                <w:kern w:val="0"/>
              </w:rPr>
              <w:t>11.62%</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w:t>
            </w:r>
            <w:bookmarkStart w:id="0" w:name="_GoBack"/>
            <w:bookmarkEnd w:id="0"/>
            <w:r w:rsidRPr="004F4D27">
              <w:rPr>
                <w:rFonts w:ascii="宋体" w:hAnsi="宋体" w:hint="eastAsia"/>
                <w:kern w:val="0"/>
              </w:rPr>
              <w:t>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6232B" w:rsidRDefault="00642F3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26232B" w:rsidRDefault="00642F3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26232B" w:rsidRDefault="00642F3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26232B" w:rsidRDefault="00642F3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26232B" w:rsidRDefault="00642F33">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26232B" w:rsidRDefault="00642F33">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26232B" w:rsidRDefault="00642F33">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6232B" w:rsidRDefault="00642F3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58B" w:rsidRDefault="0081258B" w:rsidP="00876D65">
      <w:r>
        <w:separator/>
      </w:r>
    </w:p>
  </w:endnote>
  <w:endnote w:type="continuationSeparator" w:id="0">
    <w:p w:rsidR="0081258B" w:rsidRDefault="0081258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14ECC">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14ECC">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58B" w:rsidRDefault="0081258B" w:rsidP="00876D65">
      <w:r>
        <w:separator/>
      </w:r>
    </w:p>
  </w:footnote>
  <w:footnote w:type="continuationSeparator" w:id="0">
    <w:p w:rsidR="0081258B" w:rsidRDefault="0081258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交银施罗德信用添利债券证券投资基金（</w:t>
    </w:r>
    <w:r w:rsidRPr="003E676C">
      <w:rPr>
        <w:sz w:val="24"/>
        <w:szCs w:val="24"/>
      </w:rPr>
      <w:t>LOF</w:t>
    </w:r>
    <w:r w:rsidRPr="003E676C">
      <w:rPr>
        <w:sz w:val="24"/>
        <w:szCs w:val="24"/>
      </w:rPr>
      <w:t>）</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4ECC"/>
    <w:rsid w:val="000160C5"/>
    <w:rsid w:val="000210E7"/>
    <w:rsid w:val="000243BD"/>
    <w:rsid w:val="00024F7F"/>
    <w:rsid w:val="00031EBB"/>
    <w:rsid w:val="00033B8D"/>
    <w:rsid w:val="0004308C"/>
    <w:rsid w:val="00043852"/>
    <w:rsid w:val="000450DD"/>
    <w:rsid w:val="000463DE"/>
    <w:rsid w:val="0006147E"/>
    <w:rsid w:val="000625ED"/>
    <w:rsid w:val="000642AC"/>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232B"/>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292"/>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33"/>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58B"/>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135"/>
    <w:rsid w:val="00D1638E"/>
    <w:rsid w:val="00D2061C"/>
    <w:rsid w:val="00D21FFF"/>
    <w:rsid w:val="00D2206B"/>
    <w:rsid w:val="00D272A5"/>
    <w:rsid w:val="00D346D9"/>
    <w:rsid w:val="00D43AFB"/>
    <w:rsid w:val="00D44EE8"/>
    <w:rsid w:val="00D57B7C"/>
    <w:rsid w:val="00D65B44"/>
    <w:rsid w:val="00D75E69"/>
    <w:rsid w:val="00D777AD"/>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7B64C-FD70-446A-999A-665A0F4A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EF305-EA95-4086-AB8B-E56D44B3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1</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583</cp:revision>
  <dcterms:created xsi:type="dcterms:W3CDTF">2012-10-16T06:07:00Z</dcterms:created>
  <dcterms:modified xsi:type="dcterms:W3CDTF">2019-04-17T08:59:00Z</dcterms:modified>
</cp:coreProperties>
</file>