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交银施罗德经济新动力混合型证券投资基金</w:t>
      </w:r>
    </w:p>
    <w:p w:rsidP="00C15CAC" w:rsidR="002279D3" w:rsidRDefault="002279D3" w:rsidRPr="0081286B">
      <w:pPr>
        <w:spacing w:before="29" w:line="288" w:lineRule="auto"/>
        <w:jc w:val="center"/>
        <w:rPr>
          <w:b/>
          <w:sz w:val="36"/>
          <w:szCs w:val="36"/>
        </w:rPr>
      </w:pPr>
      <w:r w:rsidRPr="0081286B">
        <w:rPr>
          <w:b/>
          <w:sz w:val="36"/>
          <w:szCs w:val="36"/>
        </w:rPr>
        <w:t>2019年第1季度报告</w:t>
      </w:r>
    </w:p>
    <w:p w:rsidP="00C15CAC" w:rsidR="004061AC" w:rsidRDefault="00655CD8" w:rsidRPr="0081286B">
      <w:pPr>
        <w:spacing w:before="29" w:line="288" w:lineRule="auto"/>
        <w:jc w:val="center"/>
        <w:rPr>
          <w:b/>
          <w:sz w:val="36"/>
          <w:szCs w:val="36"/>
        </w:rPr>
      </w:pPr>
      <w:r w:rsidRPr="0081286B">
        <w:rPr>
          <w:b/>
          <w:sz w:val="36"/>
          <w:szCs w:val="36"/>
        </w:rPr>
        <w:t>2019年3月31日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中国建设银行股份有限公司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二〇一九年四月二十日</w:t>
      </w:r>
    </w:p>
    <w:p w:rsidP="0011537B" w:rsidR="004061AC" w:rsidRDefault="004061AC" w:rsidRPr="00414345">
      <w:pPr>
        <w:pStyle w:val="1"/>
        <w:spacing w:afterLines="100"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基金托管人中国建设银行股份有限公司根据本基金合同规定，于2019年4月19日复核了本报告中的财务指标、净值表现和投资组合报告等内容，保证复核内容不存在虚假记载、误导性陈述或者重大遗漏。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本报告期自2019年1月1日起至3月31日止。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Lines="100"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交银经济新动力混合</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519778</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5845"/>
            <w:gridSpan w:val="2"/>
            <w:tcBorders>
              <w:top w:color="auto" w:space="0" w:sz="4" w:val="single"/>
              <w:left w:color="auto" w:space="0" w:sz="4" w:val="single"/>
              <w:bottom w:color="auto" w:space="0" w:sz="4" w:val="single"/>
              <w:right w:color="auto" w:space="0" w:sz="4" w:val="single"/>
            </w:tcBorders>
            <w:vAlign w:val="center"/>
          </w:tcPr>
          <w:p w:rsidP="00C15CAC" w:rsidR="001B2F35" w:rsidRDefault="00C5218C" w:rsidRPr="00414345">
            <w:pPr>
              <w:adjustRightInd w:val="0"/>
              <w:spacing w:before="29" w:line="288" w:lineRule="auto"/>
              <w:ind w:left="17"/>
              <w:jc w:val="left"/>
              <w:rPr>
                <w:color w:val="000000"/>
                <w:kern w:val="0"/>
                <w:sz w:val="24"/>
                <w:szCs w:val="24"/>
              </w:rPr>
            </w:pPr>
            <w:r w:rsidRPr="00414345">
              <w:rPr>
                <w:kern w:val="0"/>
                <w:sz w:val="24"/>
              </w:rPr>
              <w:t>519778</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2016年10月20日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519,708,628.38</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本基金通过深度优选在经济新常态下受益于发展新动力的优质企业，分享因中国经济改革、创新和升级发展所带来的投资新机会，力争为基金份额持有人获得超越业绩比较基准的收益。</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自上而下调整基金大类资产配置和股票行业配置策略，确定债券组合久期和债券类别配置；在严谨深入的股票和债券研究分析基础上，自下而上精选个券。其中，本基金所指的经济新动力是指改革动力、创新动力、升级动力，以及相关传统产业中的反转动力。本基金股票投资重点关注与经济新动力息息相关的优质企业，分享当前因中国经济改革、创新和升级发展所带来的投资新机会。</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沪深300指数收益率×60%+中证综合债券指数收益率×40%</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Lines="100"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(2019年1月1日-2019年3月31日)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6,053,557.35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82,468,771.99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0.3940</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745,562,672.02</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1.4346</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注：1、上述基金业绩指标不包括持有人认购或交易基金的各项费用，计入费用后的实际收益水平要低于所列数字； </w:t>
      </w:r>
    </w:p>
    <w:p>
      <w:pPr>
        <w:autoSpaceDE w:val="0"/>
        <w:autoSpaceDN w:val="0"/>
        <w:adjustRightInd w:val="0"/>
        <w:spacing w:before="29" w:line="288" w:lineRule="auto"/>
        <w:jc w:val="left"/>
        <w:rPr>
          <w:color w:val="000000"/>
          <w:sz w:val="24"/>
          <w:szCs w:val="24"/>
        </w:rPr>
      </w:pPr>
      <w:r>
        <w:rPr>
          <w:color w:val="000000"/>
          <w:sz w:val="24"/>
          <w:szCs w:val="24"/>
        </w:rPr>
        <w:t xml:space="preserve">    2、本期已实现收益指基金本期利息收入、投资收益、其他收入（不含公允价值变动收益）扣除相关费用后的余额，本期利润为本期已实现收益加上本期公允价值变动收益。</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45.20%</w:t>
            </w:r>
          </w:p>
        </w:tc>
        <w:tc>
          <w:tcPr>
            <w:vAlign w:val="center"/>
          </w:tcPr>
          <w:p>
            <w:pPr>
              <w:jc w:val="center"/>
            </w:pPr>
            <w:r>
              <w:rPr>
                <w:color w:val="000000"/>
                <w:sz w:val="24"/>
                <w:szCs w:val="24"/>
              </w:rPr>
              <w:t>1.68%</w:t>
            </w:r>
          </w:p>
        </w:tc>
        <w:tc>
          <w:tcPr>
            <w:vAlign w:val="center"/>
          </w:tcPr>
          <w:p>
            <w:pPr>
              <w:jc w:val="center"/>
            </w:pPr>
            <w:r>
              <w:rPr>
                <w:color w:val="000000"/>
                <w:sz w:val="24"/>
                <w:szCs w:val="24"/>
              </w:rPr>
              <w:t>17.14%</w:t>
            </w:r>
          </w:p>
        </w:tc>
        <w:tc>
          <w:tcPr>
            <w:vAlign w:val="center"/>
          </w:tcPr>
          <w:p>
            <w:pPr>
              <w:jc w:val="center"/>
            </w:pPr>
            <w:r>
              <w:rPr>
                <w:color w:val="000000"/>
                <w:sz w:val="24"/>
                <w:szCs w:val="24"/>
              </w:rPr>
              <w:t>0.93%</w:t>
            </w:r>
          </w:p>
        </w:tc>
        <w:tc>
          <w:tcPr>
            <w:vAlign w:val="center"/>
          </w:tcPr>
          <w:p>
            <w:pPr>
              <w:jc w:val="center"/>
            </w:pPr>
            <w:r>
              <w:rPr>
                <w:color w:val="000000"/>
                <w:sz w:val="24"/>
                <w:szCs w:val="24"/>
              </w:rPr>
              <w:t>28.06%</w:t>
            </w:r>
          </w:p>
        </w:tc>
        <w:tc>
          <w:tcPr>
            <w:vAlign w:val="center"/>
          </w:tcPr>
          <w:p>
            <w:pPr>
              <w:jc w:val="center"/>
            </w:pPr>
            <w:r>
              <w:rPr>
                <w:color w:val="000000"/>
                <w:sz w:val="24"/>
                <w:szCs w:val="24"/>
              </w:rPr>
              <w:t>0.75%</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交银施罗德经济新动力混合型证券投资基金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2016年10月20日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2019年3月31日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注：本基金建仓期为自基金合同生效日起的6个月。截至建仓期结束，本基金各项资产配置比例符合基金合同及招募说明书有关投资比例的约定。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Lines="100"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郭斐</w:t>
            </w:r>
          </w:p>
        </w:tc>
        <w:tc>
          <w:tcPr>
            <w:vAlign w:val="center"/>
          </w:tcPr>
          <w:p>
            <w:pPr>
              <w:jc w:val="center"/>
            </w:pPr>
            <w:r>
              <w:rPr>
                <w:color w:val="000000"/>
                <w:sz w:val="24"/>
                <w:szCs w:val="24"/>
              </w:rPr>
              <w:t>交银成长30混合、交银经济新动力混合的基金经理</w:t>
            </w:r>
          </w:p>
        </w:tc>
        <w:tc>
          <w:tcPr>
            <w:vAlign w:val="center"/>
          </w:tcPr>
          <w:p>
            <w:pPr>
              <w:jc w:val="center"/>
            </w:pPr>
            <w:r>
              <w:rPr>
                <w:color w:val="000000"/>
                <w:sz w:val="24"/>
                <w:szCs w:val="24"/>
              </w:rPr>
              <w:t>2018-06-02</w:t>
            </w:r>
          </w:p>
        </w:tc>
        <w:tc>
          <w:tcPr>
            <w:vAlign w:val="center"/>
          </w:tcPr>
          <w:p>
            <w:pPr>
              <w:jc w:val="center"/>
            </w:pPr>
            <w:r>
              <w:rPr>
                <w:color w:val="000000"/>
                <w:sz w:val="24"/>
                <w:szCs w:val="24"/>
              </w:rPr>
              <w:t>-</w:t>
            </w:r>
          </w:p>
        </w:tc>
        <w:tc>
          <w:tcPr>
            <w:vAlign w:val="center"/>
          </w:tcPr>
          <w:p>
            <w:pPr>
              <w:jc w:val="center"/>
            </w:pPr>
            <w:r>
              <w:rPr>
                <w:color w:val="000000"/>
                <w:sz w:val="24"/>
                <w:szCs w:val="24"/>
              </w:rPr>
              <w:t>10年</w:t>
            </w:r>
          </w:p>
        </w:tc>
        <w:tc>
          <w:tcPr>
            <w:vAlign w:val="center"/>
          </w:tcPr>
          <w:p>
            <w:pPr>
              <w:jc w:val="both"/>
            </w:pPr>
            <w:r>
              <w:rPr>
                <w:color w:val="000000"/>
                <w:sz w:val="24"/>
                <w:szCs w:val="24"/>
              </w:rPr>
              <w:t>郭斐先生，复旦大学经济学本科。2009年8月至2014年3月于高盛（亚洲）有限责任公司、高华证券公司任职。2014年加入交银施罗德基金管理有限公司，历任行业分析师、基金经理助理。</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2019年一季度，A股市场在全球风险偏好修复的大环境下迎来了久违的小阳春，较为宽松的货币环境以及优于预期的数据改善共同催生了“价值搭台、成长唱戏”的局面。</w:t>
      </w:r>
    </w:p>
    <w:p>
      <w:pPr>
        <w:spacing w:before="29" w:line="288" w:lineRule="auto"/>
        <w:ind w:firstLine="480" w:firstLineChars="200"/>
        <w:rPr>
          <w:color w:val="000000"/>
          <w:sz w:val="24"/>
          <w:szCs w:val="24"/>
        </w:rPr>
      </w:pPr>
      <w:r>
        <w:rPr>
          <w:color w:val="000000"/>
          <w:sz w:val="24"/>
          <w:szCs w:val="24"/>
        </w:rPr>
        <w:t>报告期内，本基金较早提升了仓位，重点配置了新能源汽车、智能装备、创新硬件、5G以及产业信息化等领域的成长股及以地产为代表的逆周期蓝筹品种。</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展望2019年二季度，我们认为市场机遇与风险并存，重点关注经济止跌企稳的预期何时会被证实或证伪。在日渐升温的市场热情下，我们仍看到一批估值具备吸引力的优质成长股的存在，它们或顺应产业爆发的趋势，或有望成长为细分行业的隐形冠军。同时，以地产为代表的逆周期蓝筹品种仍然具备配置的价值。本基金将持续挖掘行业成长空间广阔、具备核心竞争力的公司，把握合适的配置窗口，力争为投资人获得持续稳定的超额回报。</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 主要财务指标” 及“3.2.1本报告期基金份额净值增长率及其与同期业绩比较基准收益率的比较”部分披露。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Lines="100"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rsidRPr="007B5F21">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tbl>
      <w:tblPr>
        <w:tblStyle w:val="af7"/>
        <w:tblW w:type="dxa" w:w="8897"/>
        <w:tblInd w:type="dxa" w:w="108"/>
        <w:tblLayout w:type="fixed"/>
        <w:tblLook w:val="04A0"/>
      </w:tblPr>
      <w:tblGrid>
        <w:gridCol w:w="720"/>
        <w:gridCol w:w="2824"/>
        <w:gridCol w:w="2552"/>
        <w:gridCol w:w="2801"/>
      </w:tblGrid>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824"/>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r w:rsidRPr="007B5F21">
              <w:rPr>
                <w:rFonts w:eastAsiaTheme="minorEastAsia"/>
                <w:color w:themeColor="text1" w:val="000000"/>
                <w:sz w:val="24"/>
                <w:szCs w:val="24"/>
              </w:rPr>
              <w:t>(</w:t>
            </w:r>
            <w:r w:rsidRPr="007B5F21">
              <w:rPr>
                <w:rFonts w:eastAsiaTheme="minorEastAsia"/>
                <w:color w:themeColor="text1" w:val="000000"/>
                <w:sz w:val="24"/>
                <w:szCs w:val="24"/>
              </w:rPr>
              <w:t>元</w:t>
            </w: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1</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669,235,859.01</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88.58</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669,235,859.01</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88.58</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824"/>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824"/>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824"/>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82,537,851.20</w:t>
            </w:r>
          </w:p>
        </w:tc>
        <w:tc>
          <w:tcPr>
            <w:tcW w:type="dxa" w:w="2801"/>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10.92</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824"/>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3,774,020.86</w:t>
            </w:r>
          </w:p>
        </w:tc>
        <w:tc>
          <w:tcPr>
            <w:tcW w:type="dxa" w:w="2801"/>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0.50</w:t>
            </w:r>
          </w:p>
        </w:tc>
      </w:tr>
      <w:tr w:rsidR="00BF0019" w:rsidRPr="007B5F21" w:rsidTr="002D2971">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824"/>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755,547,731.07</w:t>
            </w:r>
          </w:p>
        </w:tc>
        <w:tc>
          <w:tcPr>
            <w:tcW w:type="dxa" w:w="2801"/>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rsidRPr="00F51C4E">
      <w:pPr>
        <w:rPr>
          <w:b/>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公允价值（元）</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lastRenderedPageBreak/>
              <w:t/>
            </w:r>
            <w:r w:rsidRPr="00414345">
              <w:rPr>
                <w:sz w:val="24"/>
                <w:szCs w:val="24"/>
              </w:rPr>
              <w:lastRenderedPageBreak/>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20,403,984.48</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2.74</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478,354,516.79</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64.16</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26,350,585.00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3.53</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20,833,445.60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2.79</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68,268,963.14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9.16</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134,343.00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50,660,341.00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6.79</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r w:rsidRPr="00414345">
              <w:rPr>
                <w:sz w:val="24"/>
                <w:szCs w:val="24"/>
              </w:rPr>
              <w:lastRenderedPageBreak/>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4,229,680.00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0.57</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669,235,859.01</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89.76</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300014</w:t>
            </w:r>
          </w:p>
        </w:tc>
        <w:tc>
          <w:tcPr>
            <w:vAlign w:val="center"/>
          </w:tcPr>
          <w:p>
            <w:pPr>
              <w:jc w:val="center"/>
            </w:pPr>
            <w:r>
              <w:rPr>
                <w:color w:val="000000"/>
                <w:sz w:val="24"/>
                <w:szCs w:val="24"/>
              </w:rPr>
              <w:t>亿纬锂能</w:t>
            </w:r>
          </w:p>
        </w:tc>
        <w:tc>
          <w:tcPr>
            <w:vAlign w:val="center"/>
          </w:tcPr>
          <w:p>
            <w:pPr>
              <w:jc w:val="right"/>
            </w:pPr>
            <w:r>
              <w:rPr>
                <w:color w:val="000000"/>
                <w:sz w:val="24"/>
                <w:szCs w:val="24"/>
              </w:rPr>
              <w:t>2,923,093</w:t>
            </w:r>
          </w:p>
        </w:tc>
        <w:tc>
          <w:tcPr>
            <w:vAlign w:val="center"/>
          </w:tcPr>
          <w:p>
            <w:pPr>
              <w:jc w:val="right"/>
            </w:pPr>
            <w:r>
              <w:rPr>
                <w:color w:val="000000"/>
                <w:sz w:val="24"/>
                <w:szCs w:val="24"/>
              </w:rPr>
              <w:t>71,265,007.34</w:t>
            </w:r>
          </w:p>
        </w:tc>
        <w:tc>
          <w:tcPr>
            <w:vAlign w:val="center"/>
          </w:tcPr>
          <w:p>
            <w:pPr>
              <w:jc w:val="right"/>
            </w:pPr>
            <w:r>
              <w:rPr>
                <w:color w:val="000000"/>
                <w:sz w:val="24"/>
                <w:szCs w:val="24"/>
              </w:rPr>
              <w:t>9.56</w:t>
            </w:r>
          </w:p>
        </w:tc>
      </w:tr>
      <w:tr>
        <w:tc>
          <w:tcPr>
            <w:vAlign w:val="center"/>
          </w:tcPr>
          <w:p>
            <w:pPr>
              <w:jc w:val="center"/>
            </w:pPr>
            <w:r>
              <w:rPr>
                <w:color w:val="000000"/>
                <w:sz w:val="24"/>
                <w:szCs w:val="24"/>
              </w:rPr>
              <w:t>2</w:t>
            </w:r>
          </w:p>
        </w:tc>
        <w:tc>
          <w:tcPr>
            <w:vAlign w:val="center"/>
          </w:tcPr>
          <w:p>
            <w:pPr>
              <w:jc w:val="center"/>
            </w:pPr>
            <w:r>
              <w:rPr>
                <w:color w:val="000000"/>
                <w:sz w:val="24"/>
                <w:szCs w:val="24"/>
              </w:rPr>
              <w:t>603666</w:t>
            </w:r>
          </w:p>
        </w:tc>
        <w:tc>
          <w:tcPr>
            <w:vAlign w:val="center"/>
          </w:tcPr>
          <w:p>
            <w:pPr>
              <w:jc w:val="center"/>
            </w:pPr>
            <w:r>
              <w:rPr>
                <w:color w:val="000000"/>
                <w:sz w:val="24"/>
                <w:szCs w:val="24"/>
              </w:rPr>
              <w:t>亿嘉和</w:t>
            </w:r>
          </w:p>
        </w:tc>
        <w:tc>
          <w:tcPr>
            <w:vAlign w:val="center"/>
          </w:tcPr>
          <w:p>
            <w:pPr>
              <w:jc w:val="right"/>
            </w:pPr>
            <w:r>
              <w:rPr>
                <w:color w:val="000000"/>
                <w:sz w:val="24"/>
                <w:szCs w:val="24"/>
              </w:rPr>
              <w:t>1,026,360</w:t>
            </w:r>
          </w:p>
        </w:tc>
        <w:tc>
          <w:tcPr>
            <w:vAlign w:val="center"/>
          </w:tcPr>
          <w:p>
            <w:pPr>
              <w:jc w:val="right"/>
            </w:pPr>
            <w:r>
              <w:rPr>
                <w:color w:val="000000"/>
                <w:sz w:val="24"/>
                <w:szCs w:val="24"/>
              </w:rPr>
              <w:t>69,402,463.20</w:t>
            </w:r>
          </w:p>
        </w:tc>
        <w:tc>
          <w:tcPr>
            <w:vAlign w:val="center"/>
          </w:tcPr>
          <w:p>
            <w:pPr>
              <w:jc w:val="right"/>
            </w:pPr>
            <w:r>
              <w:rPr>
                <w:color w:val="000000"/>
                <w:sz w:val="24"/>
                <w:szCs w:val="24"/>
              </w:rPr>
              <w:t>9.31</w:t>
            </w:r>
          </w:p>
        </w:tc>
      </w:tr>
      <w:tr>
        <w:tc>
          <w:tcPr>
            <w:vAlign w:val="center"/>
          </w:tcPr>
          <w:p>
            <w:pPr>
              <w:jc w:val="center"/>
            </w:pPr>
            <w:r>
              <w:rPr>
                <w:color w:val="000000"/>
                <w:sz w:val="24"/>
                <w:szCs w:val="24"/>
              </w:rPr>
              <w:t>3</w:t>
            </w:r>
          </w:p>
        </w:tc>
        <w:tc>
          <w:tcPr>
            <w:vAlign w:val="center"/>
          </w:tcPr>
          <w:p>
            <w:pPr>
              <w:jc w:val="center"/>
            </w:pPr>
            <w:r>
              <w:rPr>
                <w:color w:val="000000"/>
                <w:sz w:val="24"/>
                <w:szCs w:val="24"/>
              </w:rPr>
              <w:t>603160</w:t>
            </w:r>
          </w:p>
        </w:tc>
        <w:tc>
          <w:tcPr>
            <w:vAlign w:val="center"/>
          </w:tcPr>
          <w:p>
            <w:pPr>
              <w:jc w:val="center"/>
            </w:pPr>
            <w:r>
              <w:rPr>
                <w:color w:val="000000"/>
                <w:sz w:val="24"/>
                <w:szCs w:val="24"/>
              </w:rPr>
              <w:t>汇顶科技</w:t>
            </w:r>
          </w:p>
        </w:tc>
        <w:tc>
          <w:tcPr>
            <w:vAlign w:val="center"/>
          </w:tcPr>
          <w:p>
            <w:pPr>
              <w:jc w:val="right"/>
            </w:pPr>
            <w:r>
              <w:rPr>
                <w:color w:val="000000"/>
                <w:sz w:val="24"/>
                <w:szCs w:val="24"/>
              </w:rPr>
              <w:t>476,113</w:t>
            </w:r>
          </w:p>
        </w:tc>
        <w:tc>
          <w:tcPr>
            <w:vAlign w:val="center"/>
          </w:tcPr>
          <w:p>
            <w:pPr>
              <w:jc w:val="right"/>
            </w:pPr>
            <w:r>
              <w:rPr>
                <w:color w:val="000000"/>
                <w:sz w:val="24"/>
                <w:szCs w:val="24"/>
              </w:rPr>
              <w:t>49,420,529.40</w:t>
            </w:r>
          </w:p>
        </w:tc>
        <w:tc>
          <w:tcPr>
            <w:vAlign w:val="center"/>
          </w:tcPr>
          <w:p>
            <w:pPr>
              <w:jc w:val="right"/>
            </w:pPr>
            <w:r>
              <w:rPr>
                <w:color w:val="000000"/>
                <w:sz w:val="24"/>
                <w:szCs w:val="24"/>
              </w:rPr>
              <w:t>6.63</w:t>
            </w:r>
          </w:p>
        </w:tc>
      </w:tr>
      <w:tr>
        <w:tc>
          <w:tcPr>
            <w:vAlign w:val="center"/>
          </w:tcPr>
          <w:p>
            <w:pPr>
              <w:jc w:val="center"/>
            </w:pPr>
            <w:r>
              <w:rPr>
                <w:color w:val="000000"/>
                <w:sz w:val="24"/>
                <w:szCs w:val="24"/>
              </w:rPr>
              <w:t>4</w:t>
            </w:r>
          </w:p>
        </w:tc>
        <w:tc>
          <w:tcPr>
            <w:vAlign w:val="center"/>
          </w:tcPr>
          <w:p>
            <w:pPr>
              <w:jc w:val="center"/>
            </w:pPr>
            <w:r>
              <w:rPr>
                <w:color w:val="000000"/>
                <w:sz w:val="24"/>
                <w:szCs w:val="24"/>
              </w:rPr>
              <w:t>300207</w:t>
            </w:r>
          </w:p>
        </w:tc>
        <w:tc>
          <w:tcPr>
            <w:vAlign w:val="center"/>
          </w:tcPr>
          <w:p>
            <w:pPr>
              <w:jc w:val="center"/>
            </w:pPr>
            <w:r>
              <w:rPr>
                <w:color w:val="000000"/>
                <w:sz w:val="24"/>
                <w:szCs w:val="24"/>
              </w:rPr>
              <w:t>欣旺达</w:t>
            </w:r>
          </w:p>
        </w:tc>
        <w:tc>
          <w:tcPr>
            <w:vAlign w:val="center"/>
          </w:tcPr>
          <w:p>
            <w:pPr>
              <w:jc w:val="right"/>
            </w:pPr>
            <w:r>
              <w:rPr>
                <w:color w:val="000000"/>
                <w:sz w:val="24"/>
                <w:szCs w:val="24"/>
              </w:rPr>
              <w:t>3,464,991</w:t>
            </w:r>
          </w:p>
        </w:tc>
        <w:tc>
          <w:tcPr>
            <w:vAlign w:val="center"/>
          </w:tcPr>
          <w:p>
            <w:pPr>
              <w:jc w:val="right"/>
            </w:pPr>
            <w:r>
              <w:rPr>
                <w:color w:val="000000"/>
                <w:sz w:val="24"/>
                <w:szCs w:val="24"/>
              </w:rPr>
              <w:t>41,268,042.81</w:t>
            </w:r>
          </w:p>
        </w:tc>
        <w:tc>
          <w:tcPr>
            <w:vAlign w:val="center"/>
          </w:tcPr>
          <w:p>
            <w:pPr>
              <w:jc w:val="right"/>
            </w:pPr>
            <w:r>
              <w:rPr>
                <w:color w:val="000000"/>
                <w:sz w:val="24"/>
                <w:szCs w:val="24"/>
              </w:rPr>
              <w:t>5.54</w:t>
            </w:r>
          </w:p>
        </w:tc>
      </w:tr>
      <w:tr>
        <w:tc>
          <w:tcPr>
            <w:vAlign w:val="center"/>
          </w:tcPr>
          <w:p>
            <w:pPr>
              <w:jc w:val="center"/>
            </w:pPr>
            <w:r>
              <w:rPr>
                <w:color w:val="000000"/>
                <w:sz w:val="24"/>
                <w:szCs w:val="24"/>
              </w:rPr>
              <w:t>5</w:t>
            </w:r>
          </w:p>
        </w:tc>
        <w:tc>
          <w:tcPr>
            <w:vAlign w:val="center"/>
          </w:tcPr>
          <w:p>
            <w:pPr>
              <w:jc w:val="center"/>
            </w:pPr>
            <w:r>
              <w:rPr>
                <w:color w:val="000000"/>
                <w:sz w:val="24"/>
                <w:szCs w:val="24"/>
              </w:rPr>
              <w:t>600480</w:t>
            </w:r>
          </w:p>
        </w:tc>
        <w:tc>
          <w:tcPr>
            <w:vAlign w:val="center"/>
          </w:tcPr>
          <w:p>
            <w:pPr>
              <w:jc w:val="center"/>
            </w:pPr>
            <w:r>
              <w:rPr>
                <w:color w:val="000000"/>
                <w:sz w:val="24"/>
                <w:szCs w:val="24"/>
              </w:rPr>
              <w:t>凌云股份</w:t>
            </w:r>
          </w:p>
        </w:tc>
        <w:tc>
          <w:tcPr>
            <w:vAlign w:val="center"/>
          </w:tcPr>
          <w:p>
            <w:pPr>
              <w:jc w:val="right"/>
            </w:pPr>
            <w:r>
              <w:rPr>
                <w:color w:val="000000"/>
                <w:sz w:val="24"/>
                <w:szCs w:val="24"/>
              </w:rPr>
              <w:t>3,269,964</w:t>
            </w:r>
          </w:p>
        </w:tc>
        <w:tc>
          <w:tcPr>
            <w:vAlign w:val="center"/>
          </w:tcPr>
          <w:p>
            <w:pPr>
              <w:jc w:val="right"/>
            </w:pPr>
            <w:r>
              <w:rPr>
                <w:color w:val="000000"/>
                <w:sz w:val="24"/>
                <w:szCs w:val="24"/>
              </w:rPr>
              <w:t>40,547,553.60</w:t>
            </w:r>
          </w:p>
        </w:tc>
        <w:tc>
          <w:tcPr>
            <w:vAlign w:val="center"/>
          </w:tcPr>
          <w:p>
            <w:pPr>
              <w:jc w:val="right"/>
            </w:pPr>
            <w:r>
              <w:rPr>
                <w:color w:val="000000"/>
                <w:sz w:val="24"/>
                <w:szCs w:val="24"/>
              </w:rPr>
              <w:t>5.44</w:t>
            </w:r>
          </w:p>
        </w:tc>
      </w:tr>
      <w:tr>
        <w:tc>
          <w:tcPr>
            <w:vAlign w:val="center"/>
          </w:tcPr>
          <w:p>
            <w:pPr>
              <w:jc w:val="center"/>
            </w:pPr>
            <w:r>
              <w:rPr>
                <w:color w:val="000000"/>
                <w:sz w:val="24"/>
                <w:szCs w:val="24"/>
              </w:rPr>
              <w:t>6</w:t>
            </w:r>
          </w:p>
        </w:tc>
        <w:tc>
          <w:tcPr>
            <w:vAlign w:val="center"/>
          </w:tcPr>
          <w:p>
            <w:pPr>
              <w:jc w:val="center"/>
            </w:pPr>
            <w:r>
              <w:rPr>
                <w:color w:val="000000"/>
                <w:sz w:val="24"/>
                <w:szCs w:val="24"/>
              </w:rPr>
              <w:t>000961</w:t>
            </w:r>
          </w:p>
        </w:tc>
        <w:tc>
          <w:tcPr>
            <w:vAlign w:val="center"/>
          </w:tcPr>
          <w:p>
            <w:pPr>
              <w:jc w:val="center"/>
            </w:pPr>
            <w:r>
              <w:rPr>
                <w:color w:val="000000"/>
                <w:sz w:val="24"/>
                <w:szCs w:val="24"/>
              </w:rPr>
              <w:t>中南建设</w:t>
            </w:r>
          </w:p>
        </w:tc>
        <w:tc>
          <w:tcPr>
            <w:vAlign w:val="center"/>
          </w:tcPr>
          <w:p>
            <w:pPr>
              <w:jc w:val="right"/>
            </w:pPr>
            <w:r>
              <w:rPr>
                <w:color w:val="000000"/>
                <w:sz w:val="24"/>
                <w:szCs w:val="24"/>
              </w:rPr>
              <w:t>3,404,300</w:t>
            </w:r>
          </w:p>
        </w:tc>
        <w:tc>
          <w:tcPr>
            <w:vAlign w:val="center"/>
          </w:tcPr>
          <w:p>
            <w:pPr>
              <w:jc w:val="right"/>
            </w:pPr>
            <w:r>
              <w:rPr>
                <w:color w:val="000000"/>
                <w:sz w:val="24"/>
                <w:szCs w:val="24"/>
              </w:rPr>
              <w:t>32,340,850.00</w:t>
            </w:r>
          </w:p>
        </w:tc>
        <w:tc>
          <w:tcPr>
            <w:vAlign w:val="center"/>
          </w:tcPr>
          <w:p>
            <w:pPr>
              <w:jc w:val="right"/>
            </w:pPr>
            <w:r>
              <w:rPr>
                <w:color w:val="000000"/>
                <w:sz w:val="24"/>
                <w:szCs w:val="24"/>
              </w:rPr>
              <w:t>4.34</w:t>
            </w:r>
          </w:p>
        </w:tc>
      </w:tr>
      <w:tr>
        <w:tc>
          <w:tcPr>
            <w:vAlign w:val="center"/>
          </w:tcPr>
          <w:p>
            <w:pPr>
              <w:jc w:val="center"/>
            </w:pPr>
            <w:r>
              <w:rPr>
                <w:color w:val="000000"/>
                <w:sz w:val="24"/>
                <w:szCs w:val="24"/>
              </w:rPr>
              <w:t>7</w:t>
            </w:r>
          </w:p>
        </w:tc>
        <w:tc>
          <w:tcPr>
            <w:vAlign w:val="center"/>
          </w:tcPr>
          <w:p>
            <w:pPr>
              <w:jc w:val="center"/>
            </w:pPr>
            <w:r>
              <w:rPr>
                <w:color w:val="000000"/>
                <w:sz w:val="24"/>
                <w:szCs w:val="24"/>
              </w:rPr>
              <w:t>300638</w:t>
            </w:r>
          </w:p>
        </w:tc>
        <w:tc>
          <w:tcPr>
            <w:vAlign w:val="center"/>
          </w:tcPr>
          <w:p>
            <w:pPr>
              <w:jc w:val="center"/>
            </w:pPr>
            <w:r>
              <w:rPr>
                <w:color w:val="000000"/>
                <w:sz w:val="24"/>
                <w:szCs w:val="24"/>
              </w:rPr>
              <w:t>广和通</w:t>
            </w:r>
          </w:p>
        </w:tc>
        <w:tc>
          <w:tcPr>
            <w:vAlign w:val="center"/>
          </w:tcPr>
          <w:p>
            <w:pPr>
              <w:jc w:val="right"/>
            </w:pPr>
            <w:r>
              <w:rPr>
                <w:color w:val="000000"/>
                <w:sz w:val="24"/>
                <w:szCs w:val="24"/>
              </w:rPr>
              <w:t>479,935</w:t>
            </w:r>
          </w:p>
        </w:tc>
        <w:tc>
          <w:tcPr>
            <w:vAlign w:val="center"/>
          </w:tcPr>
          <w:p>
            <w:pPr>
              <w:jc w:val="right"/>
            </w:pPr>
            <w:r>
              <w:rPr>
                <w:color w:val="000000"/>
                <w:sz w:val="24"/>
                <w:szCs w:val="24"/>
              </w:rPr>
              <w:t>28,796,100.00</w:t>
            </w:r>
          </w:p>
        </w:tc>
        <w:tc>
          <w:tcPr>
            <w:vAlign w:val="center"/>
          </w:tcPr>
          <w:p>
            <w:pPr>
              <w:jc w:val="right"/>
            </w:pPr>
            <w:r>
              <w:rPr>
                <w:color w:val="000000"/>
                <w:sz w:val="24"/>
                <w:szCs w:val="24"/>
              </w:rPr>
              <w:t>3.86</w:t>
            </w:r>
          </w:p>
        </w:tc>
      </w:tr>
      <w:tr>
        <w:tc>
          <w:tcPr>
            <w:vAlign w:val="center"/>
          </w:tcPr>
          <w:p>
            <w:pPr>
              <w:jc w:val="center"/>
            </w:pPr>
            <w:r>
              <w:rPr>
                <w:color w:val="000000"/>
                <w:sz w:val="24"/>
                <w:szCs w:val="24"/>
              </w:rPr>
              <w:t>8</w:t>
            </w:r>
          </w:p>
        </w:tc>
        <w:tc>
          <w:tcPr>
            <w:vAlign w:val="center"/>
          </w:tcPr>
          <w:p>
            <w:pPr>
              <w:jc w:val="center"/>
            </w:pPr>
            <w:r>
              <w:rPr>
                <w:color w:val="000000"/>
                <w:sz w:val="24"/>
                <w:szCs w:val="24"/>
              </w:rPr>
              <w:t>600131</w:t>
            </w:r>
          </w:p>
        </w:tc>
        <w:tc>
          <w:tcPr>
            <w:vAlign w:val="center"/>
          </w:tcPr>
          <w:p>
            <w:pPr>
              <w:jc w:val="center"/>
            </w:pPr>
            <w:r>
              <w:rPr>
                <w:color w:val="000000"/>
                <w:sz w:val="24"/>
                <w:szCs w:val="24"/>
              </w:rPr>
              <w:t>岷江水电</w:t>
            </w:r>
          </w:p>
        </w:tc>
        <w:tc>
          <w:tcPr>
            <w:vAlign w:val="center"/>
          </w:tcPr>
          <w:p>
            <w:pPr>
              <w:jc w:val="right"/>
            </w:pPr>
            <w:r>
              <w:rPr>
                <w:color w:val="000000"/>
                <w:sz w:val="24"/>
                <w:szCs w:val="24"/>
              </w:rPr>
              <w:t>1,412,900</w:t>
            </w:r>
          </w:p>
        </w:tc>
        <w:tc>
          <w:tcPr>
            <w:vAlign w:val="center"/>
          </w:tcPr>
          <w:p>
            <w:pPr>
              <w:jc w:val="right"/>
            </w:pPr>
            <w:r>
              <w:rPr>
                <w:color w:val="000000"/>
                <w:sz w:val="24"/>
                <w:szCs w:val="24"/>
              </w:rPr>
              <w:t>26,350,585.00</w:t>
            </w:r>
          </w:p>
        </w:tc>
        <w:tc>
          <w:tcPr>
            <w:vAlign w:val="center"/>
          </w:tcPr>
          <w:p>
            <w:pPr>
              <w:jc w:val="right"/>
            </w:pPr>
            <w:r>
              <w:rPr>
                <w:color w:val="000000"/>
                <w:sz w:val="24"/>
                <w:szCs w:val="24"/>
              </w:rPr>
              <w:t>3.53</w:t>
            </w:r>
          </w:p>
        </w:tc>
      </w:tr>
      <w:tr>
        <w:tc>
          <w:tcPr>
            <w:vAlign w:val="center"/>
          </w:tcPr>
          <w:p>
            <w:pPr>
              <w:jc w:val="center"/>
            </w:pPr>
            <w:r>
              <w:rPr>
                <w:color w:val="000000"/>
                <w:sz w:val="24"/>
                <w:szCs w:val="24"/>
              </w:rPr>
              <w:t>9</w:t>
            </w:r>
          </w:p>
        </w:tc>
        <w:tc>
          <w:tcPr>
            <w:vAlign w:val="center"/>
          </w:tcPr>
          <w:p>
            <w:pPr>
              <w:jc w:val="center"/>
            </w:pPr>
            <w:r>
              <w:rPr>
                <w:color w:val="000000"/>
                <w:sz w:val="24"/>
                <w:szCs w:val="24"/>
              </w:rPr>
              <w:t>601231</w:t>
            </w:r>
          </w:p>
        </w:tc>
        <w:tc>
          <w:tcPr>
            <w:vAlign w:val="center"/>
          </w:tcPr>
          <w:p>
            <w:pPr>
              <w:jc w:val="center"/>
            </w:pPr>
            <w:r>
              <w:rPr>
                <w:color w:val="000000"/>
                <w:sz w:val="24"/>
                <w:szCs w:val="24"/>
              </w:rPr>
              <w:t>环旭电子</w:t>
            </w:r>
          </w:p>
        </w:tc>
        <w:tc>
          <w:tcPr>
            <w:vAlign w:val="center"/>
          </w:tcPr>
          <w:p>
            <w:pPr>
              <w:jc w:val="right"/>
            </w:pPr>
            <w:r>
              <w:rPr>
                <w:color w:val="000000"/>
                <w:sz w:val="24"/>
                <w:szCs w:val="24"/>
              </w:rPr>
              <w:t>1,560,467</w:t>
            </w:r>
          </w:p>
        </w:tc>
        <w:tc>
          <w:tcPr>
            <w:vAlign w:val="center"/>
          </w:tcPr>
          <w:p>
            <w:pPr>
              <w:jc w:val="right"/>
            </w:pPr>
            <w:r>
              <w:rPr>
                <w:color w:val="000000"/>
                <w:sz w:val="24"/>
                <w:szCs w:val="24"/>
              </w:rPr>
              <w:t>24,031,191.80</w:t>
            </w:r>
          </w:p>
        </w:tc>
        <w:tc>
          <w:tcPr>
            <w:vAlign w:val="center"/>
          </w:tcPr>
          <w:p>
            <w:pPr>
              <w:jc w:val="right"/>
            </w:pPr>
            <w:r>
              <w:rPr>
                <w:color w:val="000000"/>
                <w:sz w:val="24"/>
                <w:szCs w:val="24"/>
              </w:rPr>
              <w:t>3.22</w:t>
            </w:r>
          </w:p>
        </w:tc>
      </w:tr>
      <w:tr>
        <w:tc>
          <w:tcPr>
            <w:vAlign w:val="center"/>
          </w:tcPr>
          <w:p>
            <w:pPr>
              <w:jc w:val="center"/>
            </w:pPr>
            <w:r>
              <w:rPr>
                <w:color w:val="000000"/>
                <w:sz w:val="24"/>
                <w:szCs w:val="24"/>
              </w:rPr>
              <w:t>10</w:t>
            </w:r>
          </w:p>
        </w:tc>
        <w:tc>
          <w:tcPr>
            <w:vAlign w:val="center"/>
          </w:tcPr>
          <w:p>
            <w:pPr>
              <w:jc w:val="center"/>
            </w:pPr>
            <w:r>
              <w:rPr>
                <w:color w:val="000000"/>
                <w:sz w:val="24"/>
                <w:szCs w:val="24"/>
              </w:rPr>
              <w:t>300682</w:t>
            </w:r>
          </w:p>
        </w:tc>
        <w:tc>
          <w:tcPr>
            <w:vAlign w:val="center"/>
          </w:tcPr>
          <w:p>
            <w:pPr>
              <w:jc w:val="center"/>
            </w:pPr>
            <w:r>
              <w:rPr>
                <w:color w:val="000000"/>
                <w:sz w:val="24"/>
                <w:szCs w:val="24"/>
              </w:rPr>
              <w:t>朗新科技</w:t>
            </w:r>
          </w:p>
        </w:tc>
        <w:tc>
          <w:tcPr>
            <w:vAlign w:val="center"/>
          </w:tcPr>
          <w:p>
            <w:pPr>
              <w:jc w:val="right"/>
            </w:pPr>
            <w:r>
              <w:rPr>
                <w:color w:val="000000"/>
                <w:sz w:val="24"/>
                <w:szCs w:val="24"/>
              </w:rPr>
              <w:t>917,400</w:t>
            </w:r>
          </w:p>
        </w:tc>
        <w:tc>
          <w:tcPr>
            <w:vAlign w:val="center"/>
          </w:tcPr>
          <w:p>
            <w:pPr>
              <w:jc w:val="right"/>
            </w:pPr>
            <w:r>
              <w:rPr>
                <w:color w:val="000000"/>
                <w:sz w:val="24"/>
                <w:szCs w:val="24"/>
              </w:rPr>
              <w:t>20,861,676.00</w:t>
            </w:r>
          </w:p>
        </w:tc>
        <w:tc>
          <w:tcPr>
            <w:vAlign w:val="center"/>
          </w:tcPr>
          <w:p>
            <w:pPr>
              <w:jc w:val="right"/>
            </w:pPr>
            <w:r>
              <w:rPr>
                <w:color w:val="000000"/>
                <w:sz w:val="24"/>
                <w:szCs w:val="24"/>
              </w:rPr>
              <w:t>2.80</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本基金本报告期末未持有债券。</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lastRenderedPageBreak/>
        <w:t/>
      </w:r>
      <w:r w:rsidR="004061AC" w:rsidRPr="00414345">
        <w:rPr>
          <w:color w:val="000000"/>
          <w:sz w:val="24"/>
          <w:szCs w:val="24"/>
        </w:rPr>
        <w:t>本基金本报告期末未持有债券。</w:t>
      </w:r>
    </w:p>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sz w:val="24"/>
          <w:szCs w:val="24"/>
        </w:rPr>
      </w:pP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lastRenderedPageBreak/>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5.11.1报告期内本基金投资的前十名证券的发行主体未被监管部门立案调查，在本报告编制日前一年内本基金投资的前十名证券的发行主体未受到公开谴责和处罚。</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5.11.2本基金投资的前十名股票中，没有超出基金合同规定的备选股票库之外的股票。</w:t>
      </w: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horzAnchor="margin" w:leftFromText="180" w:rightFromText="180" w:tblpXSpec="center" w:tblpY="265" w:vertAnchor="text"/>
        <w:tblW w:type="dxa" w:w="8868"/>
        <w:jc w:val="center"/>
        <w:tblLayout w:type="fixed"/>
        <w:tblCellMar>
          <w:top w:type="dxa" w:w="-1"/>
          <w:bottom w:type="dxa" w:w="-1"/>
        </w:tblCellMar>
        <w:tblLook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87,897.67</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26,132.09</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3,659,991.10</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3,774,020.86</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本基金本报告期末未持有处于转股期的可转换债券。</w:t>
      </w:r>
    </w:p>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8E326D" w:rsidRPr="00414345">
        <w:rPr>
          <w:color w:val="000000"/>
          <w:sz w:val="24"/>
          <w:szCs w:val="24"/>
        </w:rPr>
        <w:t/>
      </w:r>
      <w:r w:rsidR="004061AC" w:rsidRPr="00414345">
        <w:rPr>
          <w:color w:val="000000"/>
          <w:sz w:val="24"/>
          <w:szCs w:val="24"/>
        </w:rPr>
        <w:t>本基金本报告期末前十名股票中不存在流通受限情况。</w:t>
      </w:r>
    </w:p>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D02347"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r w:rsidR="003259C8"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11537B" w:rsidR="001F3E2A" w:rsidRDefault="001F3E2A" w:rsidRPr="00575270">
      <w:pPr>
        <w:pStyle w:val="1"/>
        <w:spacing w:afterLines="100" w:beforeLines="100" w:line="360" w:lineRule="auto"/>
        <w:jc w:val="center"/>
        <w:rPr>
          <w:rFonts w:eastAsiaTheme="minorEastAsia"/>
          <w:color w:themeColor="text1" w:val="000000"/>
          <w:kern w:val="0"/>
          <w:sz w:val="24"/>
          <w:szCs w:val="24"/>
        </w:rPr>
      </w:pPr>
      <w:r w:rsidRPr="00575270">
        <w:rPr>
          <w:rFonts w:eastAsiaTheme="minorEastAsia"/>
          <w:color w:themeColor="text1" w:val="000000"/>
          <w:kern w:val="0"/>
          <w:sz w:val="24"/>
          <w:szCs w:val="24"/>
        </w:rPr>
        <w:lastRenderedPageBreak/>
        <w:t>§6</w:t>
      </w:r>
      <w:r w:rsidRPr="00575270">
        <w:rPr>
          <w:rFonts w:eastAsiaTheme="minorEastAsia" w:hint="eastAsia"/>
          <w:color w:themeColor="text1" w:val="000000"/>
          <w:kern w:val="0"/>
          <w:sz w:val="24"/>
          <w:szCs w:val="24"/>
        </w:rPr>
        <w:t xml:space="preserve">  </w:t>
      </w:r>
      <w:r w:rsidRPr="00575270">
        <w:rPr>
          <w:rFonts w:eastAsiaTheme="minorEastAsia" w:hint="eastAsia"/>
          <w:color w:themeColor="text1" w:val="000000"/>
          <w:kern w:val="0"/>
          <w:sz w:val="24"/>
          <w:szCs w:val="24"/>
        </w:rPr>
        <w:t>基金中基金</w:t>
      </w:r>
    </w:p>
    <w:p w:rsidP="001F3E2A" w:rsidR="001F3E2A" w:rsidRDefault="001F3E2A" w:rsidRPr="00575270">
      <w:pPr>
        <w:adjustRightInd w:val="0"/>
        <w:snapToGrid w:val="0"/>
        <w:spacing w:line="360" w:lineRule="auto"/>
        <w:rPr>
          <w:rFonts w:eastAsiaTheme="minorEastAsia"/>
          <w:b/>
          <w:color w:themeColor="text1" w:val="000000"/>
          <w:kern w:val="0"/>
          <w:sz w:val="24"/>
          <w:szCs w:val="24"/>
        </w:rPr>
      </w:pPr>
      <w:r w:rsidRPr="00575270">
        <w:rPr>
          <w:rFonts w:eastAsiaTheme="minorEastAsia"/>
          <w:b/>
          <w:color w:themeColor="text1" w:val="000000"/>
          <w:kern w:val="0"/>
          <w:sz w:val="24"/>
          <w:szCs w:val="24"/>
        </w:rPr>
        <w:t>6.</w:t>
      </w:r>
      <w:r w:rsidRPr="00575270">
        <w:rPr>
          <w:rFonts w:eastAsiaTheme="minorEastAsia" w:hint="eastAsia"/>
          <w:b/>
          <w:color w:themeColor="text1" w:val="000000"/>
          <w:kern w:val="0"/>
          <w:sz w:val="24"/>
          <w:szCs w:val="24"/>
        </w:rPr>
        <w:t/>
      </w:r>
      <w:r w:rsidRPr="00575270">
        <w:rPr>
          <w:rFonts w:eastAsiaTheme="minorEastAsia"/>
          <w:b/>
          <w:color w:themeColor="text1" w:val="000000"/>
          <w:kern w:val="0"/>
          <w:sz w:val="24"/>
          <w:szCs w:val="24"/>
        </w:rPr>
        <w:t>1</w:t>
      </w:r>
      <w:r w:rsidRPr="00575270">
        <w:rPr>
          <w:rFonts w:eastAsiaTheme="minorEastAsia" w:hint="eastAsia"/>
          <w:b/>
          <w:color w:themeColor="text1" w:val="000000"/>
          <w:kern w:val="0"/>
          <w:sz w:val="24"/>
          <w:szCs w:val="24"/>
        </w:rPr>
        <w:t xml:space="preserve"> </w:t>
      </w:r>
      <w:r w:rsidRPr="00575270">
        <w:rPr>
          <w:rFonts w:eastAsiaTheme="minorEastAsia" w:hint="eastAsia"/>
          <w:b/>
          <w:color w:themeColor="text1" w:val="000000"/>
          <w:kern w:val="0"/>
          <w:sz w:val="24"/>
          <w:szCs w:val="24"/>
        </w:rPr>
        <w:t>报告期末按公允价值占基金资产净值比例大小排序的前十名基金投资明细</w:t>
      </w:r>
    </w:p>
    <w:p w:rsidP="001F3E2A" w:rsidR="001F3E2A" w:rsidRDefault="001F3E2A" w:rsidRPr="00575270">
      <w:pPr>
        <w:autoSpaceDE w:val="0"/>
        <w:autoSpaceDN w:val="0"/>
        <w:adjustRightInd w:val="0"/>
        <w:spacing w:line="360" w:lineRule="auto"/>
        <w:ind w:firstLine="480" w:firstLineChars="200"/>
        <w:jc w:val="left"/>
        <w:rPr>
          <w:rFonts w:eastAsiaTheme="minorEastAsia"/>
          <w:color w:themeColor="text1" w:val="000000"/>
          <w:sz w:val="24"/>
          <w:szCs w:val="24"/>
        </w:rPr>
      </w:pPr>
      <w:r w:rsidRPr="00575270">
        <w:rPr>
          <w:rFonts w:eastAsiaTheme="minorEastAsia"/>
          <w:color w:themeColor="text1" w:val="000000"/>
          <w:sz w:val="24"/>
          <w:szCs w:val="24"/>
        </w:rPr>
        <w:t>本基金本报告期末未持有基金。</w:t>
      </w:r>
    </w:p>
    <w:p w:rsidP="0011537B" w:rsidR="001F3E2A" w:rsidRDefault="001F3E2A" w:rsidRPr="00575270">
      <w:pPr>
        <w:adjustRightInd w:val="0"/>
        <w:snapToGrid w:val="0"/>
        <w:spacing w:beforeLines="50" w:line="360" w:lineRule="auto"/>
        <w:rPr>
          <w:rFonts w:eastAsiaTheme="minorEastAsia"/>
          <w:b/>
          <w:color w:themeColor="text1" w:val="000000"/>
          <w:kern w:val="0"/>
          <w:sz w:val="24"/>
          <w:szCs w:val="24"/>
        </w:rPr>
      </w:pPr>
      <w:r w:rsidRPr="00575270">
        <w:rPr>
          <w:rFonts w:eastAsiaTheme="minorEastAsia"/>
          <w:b/>
          <w:color w:themeColor="text1" w:val="000000"/>
          <w:kern w:val="0"/>
          <w:sz w:val="24"/>
          <w:szCs w:val="24"/>
        </w:rPr>
        <w:t>6.</w:t>
      </w:r>
      <w:r w:rsidRPr="00575270">
        <w:rPr>
          <w:rFonts w:eastAsiaTheme="minorEastAsia" w:hint="eastAsia"/>
          <w:b/>
          <w:color w:themeColor="text1" w:val="000000"/>
          <w:kern w:val="0"/>
          <w:sz w:val="24"/>
          <w:szCs w:val="24"/>
        </w:rPr>
        <w:t/>
      </w:r>
      <w:r w:rsidRPr="00575270">
        <w:rPr>
          <w:rFonts w:eastAsiaTheme="minorEastAsia"/>
          <w:b/>
          <w:color w:themeColor="text1" w:val="000000"/>
          <w:kern w:val="0"/>
          <w:sz w:val="24"/>
          <w:szCs w:val="24"/>
        </w:rPr>
        <w:t>2</w:t>
      </w:r>
      <w:r w:rsidRPr="00575270">
        <w:rPr>
          <w:rFonts w:eastAsiaTheme="minorEastAsia" w:hint="eastAsia"/>
          <w:b/>
          <w:color w:themeColor="text1" w:val="000000"/>
          <w:kern w:val="0"/>
          <w:sz w:val="24"/>
          <w:szCs w:val="24"/>
        </w:rPr>
        <w:t xml:space="preserve"> </w:t>
      </w:r>
      <w:r w:rsidRPr="00575270">
        <w:rPr>
          <w:rFonts w:eastAsiaTheme="minorEastAsia" w:hint="eastAsia"/>
          <w:b/>
          <w:color w:themeColor="text1" w:val="000000"/>
          <w:kern w:val="0"/>
          <w:sz w:val="24"/>
          <w:szCs w:val="24"/>
        </w:rPr>
        <w:t>当期交易及持有基金产生的费用</w:t>
      </w:r>
    </w:p>
    <w:p w:rsidP="001F3E2A" w:rsidR="001F3E2A" w:rsidRDefault="001F3E2A" w:rsidRPr="00575270">
      <w:pPr>
        <w:autoSpaceDE w:val="0"/>
        <w:autoSpaceDN w:val="0"/>
        <w:adjustRightInd w:val="0"/>
        <w:spacing w:line="360" w:lineRule="auto"/>
        <w:ind w:firstLine="480" w:firstLineChars="200"/>
        <w:jc w:val="left"/>
        <w:rPr>
          <w:rFonts w:eastAsiaTheme="minorEastAsia"/>
          <w:color w:themeColor="text1" w:val="000000"/>
          <w:sz w:val="24"/>
          <w:szCs w:val="24"/>
        </w:rPr>
      </w:pPr>
      <w:r w:rsidRPr="00575270">
        <w:rPr>
          <w:rFonts w:eastAsiaTheme="minorEastAsia"/>
          <w:color w:themeColor="text1" w:val="000000"/>
          <w:sz w:val="24"/>
          <w:szCs w:val="24"/>
        </w:rPr>
        <w:t>本基金本报告期内未交易或持有基金。</w:t>
      </w:r>
    </w:p>
    <w:p w:rsidP="0011537B" w:rsidR="001F3E2A" w:rsidRDefault="001F3E2A" w:rsidRPr="00575270">
      <w:pPr>
        <w:adjustRightInd w:val="0"/>
        <w:snapToGrid w:val="0"/>
        <w:spacing w:beforeLines="50" w:line="360" w:lineRule="auto"/>
        <w:rPr>
          <w:rFonts w:eastAsiaTheme="minorEastAsia"/>
          <w:b/>
          <w:color w:themeColor="text1" w:val="000000"/>
          <w:kern w:val="0"/>
          <w:sz w:val="24"/>
          <w:szCs w:val="24"/>
        </w:rPr>
      </w:pPr>
      <w:r w:rsidRPr="00575270">
        <w:rPr>
          <w:rFonts w:eastAsiaTheme="minorEastAsia"/>
          <w:b/>
          <w:color w:themeColor="text1" w:val="000000"/>
          <w:kern w:val="0"/>
          <w:sz w:val="24"/>
          <w:szCs w:val="24"/>
        </w:rPr>
        <w:t>6.</w:t>
      </w:r>
      <w:r w:rsidRPr="00575270">
        <w:rPr>
          <w:rFonts w:eastAsiaTheme="minorEastAsia" w:hint="eastAsia"/>
          <w:b/>
          <w:color w:themeColor="text1" w:val="000000"/>
          <w:kern w:val="0"/>
          <w:sz w:val="24"/>
          <w:szCs w:val="24"/>
        </w:rPr>
        <w:t/>
      </w:r>
      <w:r w:rsidRPr="00575270">
        <w:rPr>
          <w:rFonts w:eastAsiaTheme="minorEastAsia"/>
          <w:b/>
          <w:color w:themeColor="text1" w:val="000000"/>
          <w:kern w:val="0"/>
          <w:sz w:val="24"/>
          <w:szCs w:val="24"/>
        </w:rPr>
        <w:t>3</w:t>
      </w:r>
      <w:r w:rsidRPr="00575270">
        <w:rPr>
          <w:rFonts w:eastAsiaTheme="minorEastAsia" w:hint="eastAsia"/>
          <w:b/>
          <w:color w:themeColor="text1" w:val="000000"/>
          <w:kern w:val="0"/>
          <w:sz w:val="24"/>
          <w:szCs w:val="24"/>
        </w:rPr>
        <w:t xml:space="preserve"> </w:t>
      </w:r>
      <w:r w:rsidRPr="00575270">
        <w:rPr>
          <w:rFonts w:eastAsiaTheme="minorEastAsia" w:hint="eastAsia"/>
          <w:b/>
          <w:color w:themeColor="text1" w:val="000000"/>
          <w:kern w:val="0"/>
          <w:sz w:val="24"/>
          <w:szCs w:val="24"/>
        </w:rPr>
        <w:t>本报告期持有的基金发生的重大影响事件</w:t>
      </w:r>
    </w:p>
    <w:tbl>
      <w:tblPr>
        <w:tblStyle w:val="af7"/>
        <w:tblW w:type="auto" w:w="0"/>
        <w:tblBorders>
          <w:top w:color="auto" w:space="0" w:sz="0" w:val="none"/>
          <w:left w:color="auto" w:space="0" w:sz="0" w:val="none"/>
          <w:bottom w:color="auto" w:space="0" w:sz="0" w:val="none"/>
          <w:right w:color="auto" w:space="0" w:sz="0" w:val="none"/>
          <w:insideH w:color="auto" w:space="0" w:sz="0" w:val="none"/>
          <w:insideV w:color="auto" w:space="0" w:sz="0" w:val="none"/>
        </w:tblBorders>
        <w:tblLook w:val="04A0"/>
      </w:tblPr>
      <w:tblGrid>
        <w:gridCol w:w="9242"/>
      </w:tblGrid>
      <w:tr w:rsidR="001F3E2A" w:rsidRPr="00575270" w:rsidTr="00D9393A">
        <w:tc>
          <w:tcPr>
            <w:tcW w:type="dxa" w:w="9036"/>
          </w:tcPr>
          <w:p w:rsidP="00CD14C0" w:rsidR="001F3E2A" w:rsidRDefault="001F3E2A" w:rsidRPr="00575270">
            <w:pPr>
              <w:autoSpaceDE w:val="0"/>
              <w:autoSpaceDN w:val="0"/>
              <w:adjustRightInd w:val="0"/>
              <w:spacing w:line="360" w:lineRule="auto"/>
              <w:ind w:firstLine="480" w:firstLineChars="200"/>
              <w:jc w:val="left"/>
              <w:rPr>
                <w:rFonts w:eastAsiaTheme="minorEastAsia"/>
                <w:color w:themeColor="text1" w:val="000000"/>
                <w:sz w:val="24"/>
                <w:szCs w:val="24"/>
              </w:rPr>
            </w:pPr>
            <w:r w:rsidRPr="00575270">
              <w:rPr>
                <w:rFonts w:eastAsiaTheme="minorEastAsia"/>
                <w:color w:themeColor="text1" w:val="000000"/>
                <w:sz w:val="24"/>
                <w:szCs w:val="24"/>
              </w:rPr>
              <w:t/>
            </w:r>
            <w:r w:rsidRPr="00575270">
              <w:rPr>
                <w:rFonts w:eastAsiaTheme="minorEastAsia" w:hint="eastAsia"/>
                <w:color w:themeColor="text1" w:val="000000"/>
                <w:sz w:val="24"/>
                <w:szCs w:val="24"/>
              </w:rPr>
              <w:t/>
            </w:r>
            <w:r w:rsidRPr="00575270">
              <w:rPr>
                <w:rFonts w:eastAsiaTheme="minorEastAsia"/>
                <w:color w:themeColor="text1" w:val="000000"/>
                <w:sz w:val="24"/>
                <w:szCs w:val="24"/>
              </w:rPr>
              <w:t/>
            </w:r>
            <w:r w:rsidRPr="00575270">
              <w:rPr>
                <w:rFonts w:eastAsiaTheme="minorEastAsia" w:hint="eastAsia"/>
                <w:color w:themeColor="text1" w:val="000000"/>
                <w:sz w:val="24"/>
                <w:szCs w:val="24"/>
              </w:rPr>
              <w:t>无。</w:t>
            </w:r>
          </w:p>
        </w:tc>
      </w:tr>
    </w:tbl>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Lines="100" w:beforeLines="100" w:line="360" w:lineRule="auto"/>
        <w:jc w:val="center"/>
        <w:rPr>
          <w:rFonts w:eastAsiaTheme="minorEastAsia"/>
          <w:color w:themeColor="text1" w:val="000000"/>
          <w:kern w:val="0"/>
          <w:sz w:val="24"/>
          <w:szCs w:val="24"/>
        </w:rPr>
      </w:pPr>
      <w:bookmarkStart w:id="2" w:name="_GoBack"/>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7</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bookmarkEnd w:id="2"/>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119,801,450.91</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450,190,382.00</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50,283,204.53</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519,708,628.38</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注：1、如果本报告期间发生转换入、份额类别调整、红利再投业务，则总申购份额中包含该业务；     </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2、如果本报告期间发生转换出、份额类别调整业务，则总赎回份额中包含该业务。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Lines="100"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8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8.1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B22DEE" w:rsidRDefault="004061AC" w:rsidRPr="00E02660">
      <w:pPr>
        <w:pStyle w:val="1"/>
        <w:spacing w:afterLines="100"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1、中国证监会准予交银施罗德经济新动力混合型证券投资基金募集注册的文件； </w:t>
      </w:r>
    </w:p>
    <w:p>
      <w:pPr>
        <w:spacing w:before="29" w:line="288" w:lineRule="auto"/>
        <w:ind w:firstLine="480" w:firstLineChars="200"/>
        <w:rPr>
          <w:color w:val="000000"/>
          <w:sz w:val="24"/>
          <w:szCs w:val="24"/>
        </w:rPr>
      </w:pPr>
      <w:r>
        <w:rPr>
          <w:color w:val="000000"/>
          <w:sz w:val="24"/>
          <w:szCs w:val="24"/>
        </w:rPr>
        <w:t xml:space="preserve">2、《交银施罗德经济新动力混合型证券投资基金基金合同》； </w:t>
      </w:r>
    </w:p>
    <w:p>
      <w:pPr>
        <w:spacing w:before="29" w:line="288" w:lineRule="auto"/>
        <w:ind w:firstLine="480" w:firstLineChars="200"/>
        <w:rPr>
          <w:color w:val="000000"/>
          <w:sz w:val="24"/>
          <w:szCs w:val="24"/>
        </w:rPr>
      </w:pPr>
      <w:r>
        <w:rPr>
          <w:color w:val="000000"/>
          <w:sz w:val="24"/>
          <w:szCs w:val="24"/>
        </w:rPr>
        <w:t xml:space="preserve">3、《交银施罗德经济新动力混合型证券投资基金招募说明书》； </w:t>
      </w:r>
    </w:p>
    <w:p>
      <w:pPr>
        <w:spacing w:before="29" w:line="288" w:lineRule="auto"/>
        <w:ind w:firstLine="480" w:firstLineChars="200"/>
        <w:rPr>
          <w:color w:val="000000"/>
          <w:sz w:val="24"/>
          <w:szCs w:val="24"/>
        </w:rPr>
      </w:pPr>
      <w:r>
        <w:rPr>
          <w:color w:val="000000"/>
          <w:sz w:val="24"/>
          <w:szCs w:val="24"/>
        </w:rPr>
        <w:t xml:space="preserve">4、《交银施罗德经济新动力混合型证券投资基金托管协议》； </w:t>
      </w:r>
    </w:p>
    <w:p>
      <w:pPr>
        <w:spacing w:before="29" w:line="288" w:lineRule="auto"/>
        <w:ind w:firstLine="480" w:firstLineChars="200"/>
        <w:rPr>
          <w:color w:val="000000"/>
          <w:sz w:val="24"/>
          <w:szCs w:val="24"/>
        </w:rPr>
      </w:pPr>
      <w:r>
        <w:rPr>
          <w:color w:val="000000"/>
          <w:sz w:val="24"/>
          <w:szCs w:val="24"/>
        </w:rPr>
        <w:t xml:space="preserve">5、关于申请募集注册交银施罗德经济新动力混合型证券投资基金的法律意见书； </w:t>
      </w:r>
    </w:p>
    <w:p>
      <w:pPr>
        <w:spacing w:before="29" w:line="288" w:lineRule="auto"/>
        <w:ind w:firstLine="480" w:firstLineChars="200"/>
        <w:rPr>
          <w:color w:val="000000"/>
          <w:sz w:val="24"/>
          <w:szCs w:val="24"/>
        </w:rPr>
      </w:pPr>
      <w:r>
        <w:rPr>
          <w:color w:val="000000"/>
          <w:sz w:val="24"/>
          <w:szCs w:val="24"/>
        </w:rPr>
        <w:t xml:space="preserve">6、基金管理人业务资格批件、营业执照； </w:t>
      </w:r>
    </w:p>
    <w:p>
      <w:pPr>
        <w:spacing w:before="29" w:line="288" w:lineRule="auto"/>
        <w:ind w:firstLine="480" w:firstLineChars="200"/>
        <w:rPr>
          <w:color w:val="000000"/>
          <w:sz w:val="24"/>
          <w:szCs w:val="24"/>
        </w:rPr>
      </w:pPr>
      <w:r>
        <w:rPr>
          <w:color w:val="000000"/>
          <w:sz w:val="24"/>
          <w:szCs w:val="24"/>
        </w:rPr>
        <w:t xml:space="preserve">7、基金托管人业务资格批件、营业执照； </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8、报告期内交银施罗德经济新动力混合型证券投资基金在指定报刊上各项公告的原稿。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AF4" w:rsidRDefault="004B2AF4" w:rsidP="00876D65">
      <w:r>
        <w:separator/>
      </w:r>
    </w:p>
  </w:endnote>
  <w:endnote w:type="continuationSeparator" w:id="0">
    <w:p w:rsidR="004B2AF4" w:rsidRDefault="004B2AF4"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D9393A" w:rsidRDefault="00D9393A">
    <w:pPr>
      <w:pStyle w:val="a6"/>
    </w:pP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11537B">
      <w:rPr>
        <w:noProof/>
        <w:kern w:val="0"/>
        <w:szCs w:val="21"/>
      </w:rPr>
      <w:t>19</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11537B">
      <w:rPr>
        <w:noProof/>
        <w:kern w:val="0"/>
        <w:szCs w:val="21"/>
      </w:rPr>
      <w:t>25</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D9393A" w:rsidRDefault="00D9393A">
    <w:pPr>
      <w:pStyle w:val="a6"/>
    </w:pPr>
  </w:p>
</w:ftr>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1" w:type="separator">
    <w:p w:rsidP="00876D65" w:rsidR="004B2AF4" w:rsidRDefault="004B2AF4">
      <w:r>
        <w:separator/>
      </w:r>
    </w:p>
  </w:footnote>
  <w:footnote w:id="0" w:type="continuationSeparator">
    <w:p w:rsidP="00876D65" w:rsidR="004B2AF4" w:rsidRDefault="004B2AF4">
      <w:r>
        <w:continuationSeparator/>
      </w:r>
    </w:p>
  </w:footnote>
</w:footnotes>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D9393A" w:rsidRDefault="00D9393A">
    <w:pPr>
      <w:pStyle w:val="a9"/>
    </w:pPr>
  </w:p>
</w:hdr>
</file>

<file path=word/header2.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090A26" w:rsidR="00171EF0" w:rsidRDefault="00DC456F" w:rsidRPr="00DC456F">
    <w:pPr>
      <w:pStyle w:val="a9"/>
      <w:pBdr>
        <w:bottom w:color="auto" w:space="0" w:sz="6" w:val="single"/>
      </w:pBdr>
      <w:jc w:val="right"/>
      <w:rPr>
        <w:sz w:val="24"/>
        <w:szCs w:val="24"/>
      </w:rPr>
    </w:pPr>
    <w:r w:rsidRPr="003E676C">
      <w:rPr>
        <w:sz w:val="24"/>
        <w:szCs w:val="24"/>
      </w:rPr>
      <w:t>交银施罗德经济新动力混合型证券投资基金2019年第1季度报告</w:t>
    </w:r>
  </w:p>
</w:hdr>
</file>

<file path=word/header3.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D9393A" w:rsidRDefault="00D9393A">
    <w:pPr>
      <w:pStyle w:val="a9"/>
    </w:pPr>
  </w:p>
</w:hdr>
</file>

<file path=word/numbering.xml><?xml version="1.0" encoding="utf-8"?>
<w:numbering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8194"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81EE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B2AF4"/>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nhideWhenUsed="0"/>
    <w:lsdException w:name="heading 2" w:qFormat="1"/>
    <w:lsdException w:name="heading 3" w:qFormat="1"/>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uiPriority="35"/>
    <w:lsdException w:name="footnote reference" w:uiPriority="0"/>
    <w:lsdException w:name="Title" w:qFormat="1" w:semiHidden="0" w:unhideWhenUsed="0"/>
    <w:lsdException w:name="Default Paragraph Font" w:uiPriority="1"/>
    <w:lsdException w:name="Subtitle" w:qFormat="1" w:semiHidden="0" w:uiPriority="11" w:unhideWhenUsed="0"/>
    <w:lsdException w:name="Date" w:uiPriority="0"/>
    <w:lsdException w:name="Strong" w:qFormat="1" w:semiHidden="0" w:uiPriority="22" w:unhideWhenUsed="0"/>
    <w:lsdException w:name="Emphasis" w:qFormat="1" w:semiHidden="0" w:uiPriority="20" w:unhideWhenUsed="0"/>
    <w:lsdException w:name="Table Grid" w:qFormat="1"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qFormat/>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65BAF-6A5D-4E6F-B945-BE15026D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25</Pages>
  <Words>4136</Words>
  <Characters>23578</Characters>
  <Application>Microsoft Office Word</Application>
  <DocSecurity>0</DocSecurity>
  <Lines>196</Lines>
  <Paragraphs>55</Paragraphs>
  <ScaleCrop>false</ScaleCrop>
  <Company/>
  <LinksUpToDate>false</LinksUpToDate>
  <CharactersWithSpaces>27659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Administrator</cp:lastModifiedBy>
  <dcterms:modified xsi:type="dcterms:W3CDTF">2018-09-13T02:58:00Z</dcterms:modified>
  <cp:revision>578</cp:revision>
</cp:coreProperties>
</file>