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w:t>
      </w:r>
      <w:proofErr w:type="gramStart"/>
      <w:r w:rsidRPr="005858C2">
        <w:rPr>
          <w:rFonts w:eastAsiaTheme="minorEastAsia"/>
          <w:b/>
          <w:sz w:val="36"/>
          <w:szCs w:val="36"/>
        </w:rPr>
        <w:t>施罗德境尚收益债券</w:t>
      </w:r>
      <w:proofErr w:type="gramEnd"/>
      <w:r w:rsidRPr="005858C2">
        <w:rPr>
          <w:rFonts w:eastAsiaTheme="minorEastAsia"/>
          <w:b/>
          <w:sz w:val="36"/>
          <w:szCs w:val="36"/>
        </w:rPr>
        <w:t>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银境尚</w:t>
            </w:r>
            <w:proofErr w:type="gramEnd"/>
            <w:r w:rsidRPr="007F52FA">
              <w:rPr>
                <w:color w:val="000000"/>
                <w:kern w:val="0"/>
                <w:sz w:val="24"/>
              </w:rPr>
              <w:t>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100,482,653.91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D31503" w:rsidRPr="00D31503" w:rsidRDefault="00D31503" w:rsidP="00D31503">
            <w:pPr>
              <w:adjustRightInd w:val="0"/>
              <w:spacing w:before="29" w:line="288" w:lineRule="auto"/>
              <w:ind w:left="17"/>
              <w:jc w:val="left"/>
              <w:rPr>
                <w:rFonts w:hint="eastAsia"/>
                <w:color w:val="000000"/>
                <w:kern w:val="0"/>
                <w:sz w:val="24"/>
              </w:rPr>
            </w:pPr>
            <w:r w:rsidRPr="00D31503">
              <w:rPr>
                <w:rFonts w:hint="eastAsia"/>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D31503">
              <w:rPr>
                <w:rFonts w:hint="eastAsia"/>
                <w:color w:val="000000"/>
                <w:kern w:val="0"/>
                <w:sz w:val="24"/>
              </w:rPr>
              <w:t>考量</w:t>
            </w:r>
            <w:proofErr w:type="gramEnd"/>
            <w:r w:rsidRPr="00D31503">
              <w:rPr>
                <w:rFonts w:hint="eastAsia"/>
                <w:color w:val="000000"/>
                <w:kern w:val="0"/>
                <w:sz w:val="24"/>
              </w:rPr>
              <w:t>信用债券的信用评级，以及各类债券的流动性、供求关系和收益率水平等，自下而上精选投资标的。</w:t>
            </w:r>
          </w:p>
          <w:p w:rsidR="008532F3" w:rsidRPr="007F52FA" w:rsidRDefault="00D31503" w:rsidP="00D31503">
            <w:pPr>
              <w:adjustRightInd w:val="0"/>
              <w:spacing w:before="29" w:line="288" w:lineRule="auto"/>
              <w:ind w:left="17"/>
              <w:jc w:val="left"/>
              <w:rPr>
                <w:color w:val="000000"/>
                <w:sz w:val="24"/>
              </w:rPr>
            </w:pPr>
            <w:r w:rsidRPr="00D31503">
              <w:rPr>
                <w:rFonts w:hint="eastAsia"/>
                <w:color w:val="000000"/>
                <w:kern w:val="0"/>
                <w:sz w:val="24"/>
              </w:rPr>
              <w:t>开放期内投资策略：本基金充分发挥基金管理人的研究优势，融合规范化的基本面研究和严谨的信用分析，在</w:t>
            </w:r>
            <w:r w:rsidRPr="00D31503">
              <w:rPr>
                <w:rFonts w:hint="eastAsia"/>
                <w:color w:val="000000"/>
                <w:kern w:val="0"/>
                <w:sz w:val="24"/>
              </w:rPr>
              <w:lastRenderedPageBreak/>
              <w:t>分析和判断宏观经济运行状况和金融市场运行趋势的基础上，动态调整大类金融资产比例，自上而下决定类属资产配置和债券组合久期、期限结构；在严谨深入的信用分析基础上，综合</w:t>
            </w:r>
            <w:proofErr w:type="gramStart"/>
            <w:r w:rsidRPr="00D31503">
              <w:rPr>
                <w:rFonts w:hint="eastAsia"/>
                <w:color w:val="000000"/>
                <w:kern w:val="0"/>
                <w:sz w:val="24"/>
              </w:rPr>
              <w:t>考量</w:t>
            </w:r>
            <w:proofErr w:type="gramEnd"/>
            <w:r w:rsidRPr="00D31503">
              <w:rPr>
                <w:rFonts w:hint="eastAsia"/>
                <w:color w:val="000000"/>
                <w:kern w:val="0"/>
                <w:sz w:val="24"/>
              </w:rPr>
              <w:t>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D31503" w:rsidRPr="00D31503" w:rsidRDefault="00D31503" w:rsidP="00D31503">
            <w:pPr>
              <w:adjustRightInd w:val="0"/>
              <w:spacing w:before="29" w:line="288" w:lineRule="auto"/>
              <w:ind w:left="17"/>
              <w:jc w:val="left"/>
              <w:rPr>
                <w:rFonts w:hint="eastAsia"/>
                <w:color w:val="000000"/>
                <w:kern w:val="0"/>
                <w:sz w:val="24"/>
              </w:rPr>
            </w:pPr>
            <w:r w:rsidRPr="00D31503">
              <w:rPr>
                <w:rFonts w:hint="eastAsia"/>
                <w:color w:val="000000"/>
                <w:kern w:val="0"/>
                <w:sz w:val="24"/>
              </w:rPr>
              <w:t>封闭期内业绩比较基准：两年期银行定期存款税后收益率</w:t>
            </w:r>
            <w:r w:rsidRPr="00D31503">
              <w:rPr>
                <w:rFonts w:hint="eastAsia"/>
                <w:color w:val="000000"/>
                <w:kern w:val="0"/>
                <w:sz w:val="24"/>
              </w:rPr>
              <w:t>+1.25%</w:t>
            </w:r>
            <w:r w:rsidRPr="00D31503">
              <w:rPr>
                <w:rFonts w:hint="eastAsia"/>
                <w:color w:val="000000"/>
                <w:kern w:val="0"/>
                <w:sz w:val="24"/>
              </w:rPr>
              <w:t>。</w:t>
            </w:r>
          </w:p>
          <w:p w:rsidR="008532F3" w:rsidRPr="007F52FA" w:rsidRDefault="00D31503" w:rsidP="00D31503">
            <w:pPr>
              <w:adjustRightInd w:val="0"/>
              <w:spacing w:before="29" w:line="288" w:lineRule="auto"/>
              <w:ind w:left="17"/>
              <w:jc w:val="left"/>
              <w:rPr>
                <w:color w:val="000000"/>
                <w:sz w:val="24"/>
              </w:rPr>
            </w:pPr>
            <w:r w:rsidRPr="00D31503">
              <w:rPr>
                <w:rFonts w:hint="eastAsia"/>
                <w:color w:val="000000"/>
                <w:kern w:val="0"/>
                <w:sz w:val="24"/>
              </w:rPr>
              <w:t>开放期内业绩比较基准：中</w:t>
            </w:r>
            <w:proofErr w:type="gramStart"/>
            <w:r w:rsidRPr="00D31503">
              <w:rPr>
                <w:rFonts w:hint="eastAsia"/>
                <w:color w:val="000000"/>
                <w:kern w:val="0"/>
                <w:sz w:val="24"/>
              </w:rPr>
              <w:t>债综合全价指数</w:t>
            </w:r>
            <w:proofErr w:type="gramEnd"/>
            <w:r w:rsidRPr="00D31503">
              <w:rPr>
                <w:rFonts w:hint="eastAsia"/>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93,781,722.03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6,700,931.88</w:t>
            </w:r>
            <w:r w:rsidRPr="007F52FA">
              <w:rPr>
                <w:color w:val="000000"/>
                <w:kern w:val="0"/>
                <w:sz w:val="24"/>
              </w:rPr>
              <w:t>份</w:t>
            </w:r>
          </w:p>
        </w:tc>
      </w:tr>
    </w:tbl>
    <w:p w:rsidR="00740635" w:rsidRPr="007F52FA" w:rsidRDefault="00D31503" w:rsidP="007C14DF">
      <w:pPr>
        <w:autoSpaceDE w:val="0"/>
        <w:autoSpaceDN w:val="0"/>
        <w:adjustRightInd w:val="0"/>
        <w:spacing w:before="29" w:line="288" w:lineRule="auto"/>
        <w:jc w:val="left"/>
        <w:rPr>
          <w:rFonts w:eastAsiaTheme="minorEastAsia"/>
          <w:color w:val="000000"/>
          <w:sz w:val="24"/>
        </w:rPr>
      </w:pPr>
      <w:r w:rsidRPr="00D31503">
        <w:rPr>
          <w:rFonts w:eastAsiaTheme="minorEastAsia" w:hint="eastAsia"/>
          <w:color w:val="000000"/>
          <w:sz w:val="24"/>
        </w:rPr>
        <w:t>注：本基金自</w:t>
      </w:r>
      <w:r w:rsidRPr="00D31503">
        <w:rPr>
          <w:rFonts w:eastAsiaTheme="minorEastAsia" w:hint="eastAsia"/>
          <w:color w:val="000000"/>
          <w:sz w:val="24"/>
        </w:rPr>
        <w:t>2019</w:t>
      </w:r>
      <w:r w:rsidRPr="00D31503">
        <w:rPr>
          <w:rFonts w:eastAsiaTheme="minorEastAsia" w:hint="eastAsia"/>
          <w:color w:val="000000"/>
          <w:sz w:val="24"/>
        </w:rPr>
        <w:t>年</w:t>
      </w:r>
      <w:r w:rsidRPr="00D31503">
        <w:rPr>
          <w:rFonts w:eastAsiaTheme="minorEastAsia" w:hint="eastAsia"/>
          <w:color w:val="000000"/>
          <w:sz w:val="24"/>
        </w:rPr>
        <w:t>3</w:t>
      </w:r>
      <w:r w:rsidRPr="00D31503">
        <w:rPr>
          <w:rFonts w:eastAsiaTheme="minorEastAsia" w:hint="eastAsia"/>
          <w:color w:val="000000"/>
          <w:sz w:val="24"/>
        </w:rPr>
        <w:t>月</w:t>
      </w:r>
      <w:r w:rsidRPr="00D31503">
        <w:rPr>
          <w:rFonts w:eastAsiaTheme="minorEastAsia" w:hint="eastAsia"/>
          <w:color w:val="000000"/>
          <w:sz w:val="24"/>
        </w:rPr>
        <w:t>5</w:t>
      </w:r>
      <w:r w:rsidRPr="00D31503">
        <w:rPr>
          <w:rFonts w:eastAsiaTheme="minorEastAsia" w:hint="eastAsia"/>
          <w:color w:val="000000"/>
          <w:sz w:val="24"/>
        </w:rPr>
        <w:t>日起转为开放式运作。</w:t>
      </w: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25,442,548.17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585,069.34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12,201,418.40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256,848.94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97,215,809.44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6,925,308.37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1.0335</w:t>
            </w:r>
          </w:p>
        </w:tc>
      </w:tr>
    </w:tbl>
    <w:p w:rsidR="00F847E1" w:rsidRDefault="004F27D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4F27D3">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847E1">
        <w:trPr>
          <w:jc w:val="center"/>
        </w:trPr>
        <w:tc>
          <w:tcPr>
            <w:tcW w:w="1266" w:type="dxa"/>
            <w:vAlign w:val="center"/>
          </w:tcPr>
          <w:p w:rsidR="00F847E1" w:rsidRDefault="004F27D3">
            <w:pPr>
              <w:jc w:val="left"/>
            </w:pPr>
            <w:r>
              <w:rPr>
                <w:color w:val="000000"/>
                <w:sz w:val="24"/>
              </w:rPr>
              <w:t>过去三个月</w:t>
            </w:r>
          </w:p>
        </w:tc>
        <w:tc>
          <w:tcPr>
            <w:tcW w:w="1267" w:type="dxa"/>
            <w:vAlign w:val="center"/>
          </w:tcPr>
          <w:p w:rsidR="00F847E1" w:rsidRDefault="004F27D3">
            <w:pPr>
              <w:jc w:val="center"/>
            </w:pPr>
            <w:r>
              <w:rPr>
                <w:color w:val="000000"/>
                <w:sz w:val="24"/>
              </w:rPr>
              <w:t>1.47%</w:t>
            </w:r>
          </w:p>
        </w:tc>
        <w:tc>
          <w:tcPr>
            <w:tcW w:w="1267" w:type="dxa"/>
            <w:vAlign w:val="center"/>
          </w:tcPr>
          <w:p w:rsidR="00F847E1" w:rsidRDefault="004F27D3">
            <w:pPr>
              <w:jc w:val="center"/>
            </w:pPr>
            <w:r>
              <w:rPr>
                <w:color w:val="000000"/>
                <w:sz w:val="24"/>
              </w:rPr>
              <w:t>0.04%</w:t>
            </w:r>
          </w:p>
        </w:tc>
        <w:tc>
          <w:tcPr>
            <w:tcW w:w="1267" w:type="dxa"/>
            <w:vAlign w:val="center"/>
          </w:tcPr>
          <w:p w:rsidR="00F847E1" w:rsidRDefault="004F27D3">
            <w:pPr>
              <w:jc w:val="center"/>
            </w:pPr>
            <w:r>
              <w:rPr>
                <w:color w:val="000000"/>
                <w:sz w:val="24"/>
              </w:rPr>
              <w:t>0.69%</w:t>
            </w:r>
          </w:p>
        </w:tc>
        <w:tc>
          <w:tcPr>
            <w:tcW w:w="1267" w:type="dxa"/>
            <w:vAlign w:val="center"/>
          </w:tcPr>
          <w:p w:rsidR="00F847E1" w:rsidRDefault="004F27D3">
            <w:pPr>
              <w:jc w:val="center"/>
            </w:pPr>
            <w:r>
              <w:rPr>
                <w:color w:val="000000"/>
                <w:sz w:val="24"/>
              </w:rPr>
              <w:t>0.02%</w:t>
            </w:r>
          </w:p>
        </w:tc>
        <w:tc>
          <w:tcPr>
            <w:tcW w:w="1267" w:type="dxa"/>
            <w:vAlign w:val="center"/>
          </w:tcPr>
          <w:p w:rsidR="00F847E1" w:rsidRDefault="004F27D3">
            <w:pPr>
              <w:jc w:val="center"/>
            </w:pPr>
            <w:r>
              <w:rPr>
                <w:color w:val="000000"/>
                <w:sz w:val="24"/>
              </w:rPr>
              <w:t>0.78%</w:t>
            </w:r>
          </w:p>
        </w:tc>
        <w:tc>
          <w:tcPr>
            <w:tcW w:w="1267" w:type="dxa"/>
            <w:vAlign w:val="center"/>
          </w:tcPr>
          <w:p w:rsidR="00F847E1" w:rsidRDefault="004F27D3">
            <w:pPr>
              <w:jc w:val="center"/>
            </w:pPr>
            <w:r>
              <w:rPr>
                <w:color w:val="000000"/>
                <w:sz w:val="24"/>
              </w:rPr>
              <w:t>0.02%</w:t>
            </w:r>
          </w:p>
        </w:tc>
      </w:tr>
    </w:tbl>
    <w:p w:rsidR="004425E8" w:rsidRPr="003F760C" w:rsidRDefault="004F27D3" w:rsidP="007C14DF">
      <w:pPr>
        <w:pStyle w:val="20"/>
        <w:spacing w:before="29" w:line="288" w:lineRule="auto"/>
        <w:ind w:firstLineChars="0" w:firstLine="0"/>
        <w:rPr>
          <w:rFonts w:ascii="Times New Roman" w:hAnsi="Times New Roman"/>
          <w:color w:val="000000"/>
        </w:rPr>
      </w:pPr>
      <w:r w:rsidRPr="003F760C">
        <w:rPr>
          <w:rFonts w:ascii="Times New Roman" w:hAnsi="Times New Roman"/>
          <w:color w:val="000000"/>
        </w:rPr>
        <w:t>注：</w:t>
      </w:r>
      <w:r w:rsidR="002D58ED" w:rsidRPr="002D58ED">
        <w:rPr>
          <w:rFonts w:ascii="Times New Roman" w:hAnsi="Times New Roman" w:hint="eastAsia"/>
          <w:color w:val="000000"/>
        </w:rPr>
        <w:t>本基金自</w:t>
      </w:r>
      <w:r w:rsidR="002D58ED" w:rsidRPr="002D58ED">
        <w:rPr>
          <w:rFonts w:ascii="Times New Roman" w:hAnsi="Times New Roman" w:hint="eastAsia"/>
          <w:color w:val="000000"/>
        </w:rPr>
        <w:t>2019</w:t>
      </w:r>
      <w:r w:rsidR="002D58ED" w:rsidRPr="002D58ED">
        <w:rPr>
          <w:rFonts w:ascii="Times New Roman" w:hAnsi="Times New Roman" w:hint="eastAsia"/>
          <w:color w:val="000000"/>
        </w:rPr>
        <w:t>年</w:t>
      </w:r>
      <w:r w:rsidR="002D58ED" w:rsidRPr="002D58ED">
        <w:rPr>
          <w:rFonts w:ascii="Times New Roman" w:hAnsi="Times New Roman" w:hint="eastAsia"/>
          <w:color w:val="000000"/>
        </w:rPr>
        <w:t>3</w:t>
      </w:r>
      <w:r w:rsidR="002D58ED" w:rsidRPr="002D58ED">
        <w:rPr>
          <w:rFonts w:ascii="Times New Roman" w:hAnsi="Times New Roman" w:hint="eastAsia"/>
          <w:color w:val="000000"/>
        </w:rPr>
        <w:t>月</w:t>
      </w:r>
      <w:r w:rsidR="002D58ED" w:rsidRPr="002D58ED">
        <w:rPr>
          <w:rFonts w:ascii="Times New Roman" w:hAnsi="Times New Roman" w:hint="eastAsia"/>
          <w:color w:val="000000"/>
        </w:rPr>
        <w:t>5</w:t>
      </w:r>
      <w:r w:rsidR="002D58ED" w:rsidRPr="002D58ED">
        <w:rPr>
          <w:rFonts w:ascii="Times New Roman" w:hAnsi="Times New Roman" w:hint="eastAsia"/>
          <w:color w:val="000000"/>
        </w:rPr>
        <w:t>日起转为开放式运作，本基金的业绩比较基准由“两年期银行定期存款税后收益率</w:t>
      </w:r>
      <w:r w:rsidR="002D58ED" w:rsidRPr="002D58ED">
        <w:rPr>
          <w:rFonts w:ascii="Times New Roman" w:hAnsi="Times New Roman" w:hint="eastAsia"/>
          <w:color w:val="000000"/>
        </w:rPr>
        <w:t>+1.25%</w:t>
      </w:r>
      <w:r w:rsidR="002D58ED" w:rsidRPr="002D58ED">
        <w:rPr>
          <w:rFonts w:ascii="Times New Roman" w:hAnsi="Times New Roman" w:hint="eastAsia"/>
          <w:color w:val="000000"/>
        </w:rPr>
        <w:t>”变更为“中债综合全价指数收益率”，</w:t>
      </w:r>
      <w:r w:rsidR="002D58ED" w:rsidRPr="002D58ED">
        <w:rPr>
          <w:rFonts w:ascii="Times New Roman" w:hAnsi="Times New Roman" w:hint="eastAsia"/>
          <w:color w:val="000000"/>
        </w:rPr>
        <w:t>3.2.2</w:t>
      </w:r>
      <w:r w:rsidR="002D58ED" w:rsidRPr="002D58ED">
        <w:rPr>
          <w:rFonts w:ascii="Times New Roman" w:hAnsi="Times New Roman" w:hint="eastAsia"/>
          <w:color w:val="000000"/>
        </w:rPr>
        <w:t>同。</w:t>
      </w:r>
    </w:p>
    <w:p w:rsidR="004F27D3" w:rsidRPr="003F760C" w:rsidRDefault="004F27D3" w:rsidP="007C14DF">
      <w:pPr>
        <w:pStyle w:val="20"/>
        <w:spacing w:before="29" w:line="288" w:lineRule="auto"/>
        <w:ind w:firstLineChars="0" w:firstLine="0"/>
        <w:rPr>
          <w:rFonts w:ascii="Times New Roman" w:eastAsiaTheme="minorEastAsia" w:hAnsi="Times New Roman"/>
          <w:color w:val="000000"/>
        </w:rPr>
      </w:pPr>
    </w:p>
    <w:p w:rsidR="009238DB" w:rsidRPr="003F760C" w:rsidRDefault="009238DB" w:rsidP="007C14DF">
      <w:pPr>
        <w:adjustRightInd w:val="0"/>
        <w:spacing w:before="29" w:line="288" w:lineRule="auto"/>
        <w:rPr>
          <w:rFonts w:eastAsiaTheme="minorEastAsia"/>
          <w:b/>
          <w:color w:val="000000"/>
          <w:kern w:val="0"/>
          <w:sz w:val="24"/>
        </w:rPr>
      </w:pPr>
      <w:r w:rsidRPr="003F760C">
        <w:rPr>
          <w:rFonts w:eastAsiaTheme="minorEastAsia"/>
          <w:b/>
          <w:sz w:val="24"/>
        </w:rPr>
        <w:t>2</w:t>
      </w:r>
      <w:r w:rsidRPr="003F760C">
        <w:rPr>
          <w:rFonts w:eastAsiaTheme="minorEastAsia"/>
          <w:b/>
          <w:sz w:val="24"/>
        </w:rPr>
        <w:t>、</w:t>
      </w:r>
      <w:r w:rsidR="00FE7FBD" w:rsidRPr="003F760C">
        <w:rPr>
          <w:b/>
          <w:color w:val="000000"/>
          <w:kern w:val="0"/>
          <w:sz w:val="24"/>
        </w:rPr>
        <w:t>交银境尚收益债券</w:t>
      </w:r>
      <w:r w:rsidR="00FE7FBD" w:rsidRPr="003F760C">
        <w:rPr>
          <w:b/>
          <w:color w:val="000000"/>
          <w:kern w:val="0"/>
          <w:sz w:val="24"/>
        </w:rPr>
        <w:t>C</w:t>
      </w:r>
      <w:r w:rsidRPr="003F760C">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3F760C" w:rsidTr="004F27D3">
        <w:trPr>
          <w:jc w:val="center"/>
        </w:trPr>
        <w:tc>
          <w:tcPr>
            <w:tcW w:w="1266" w:type="dxa"/>
            <w:vAlign w:val="center"/>
          </w:tcPr>
          <w:p w:rsidR="00685FFC" w:rsidRPr="003F760C" w:rsidRDefault="00685FFC" w:rsidP="007C14DF">
            <w:pPr>
              <w:snapToGrid w:val="0"/>
              <w:spacing w:before="29" w:line="288" w:lineRule="auto"/>
              <w:jc w:val="center"/>
              <w:rPr>
                <w:color w:val="000000"/>
                <w:sz w:val="24"/>
              </w:rPr>
            </w:pPr>
            <w:r w:rsidRPr="003F760C">
              <w:rPr>
                <w:color w:val="000000"/>
                <w:sz w:val="24"/>
              </w:rPr>
              <w:t>阶段</w:t>
            </w:r>
          </w:p>
        </w:tc>
        <w:tc>
          <w:tcPr>
            <w:tcW w:w="1267" w:type="dxa"/>
            <w:vAlign w:val="center"/>
          </w:tcPr>
          <w:p w:rsidR="00685FFC" w:rsidRPr="003F760C" w:rsidRDefault="00685FFC" w:rsidP="007C14DF">
            <w:pPr>
              <w:snapToGrid w:val="0"/>
              <w:spacing w:before="29" w:line="288" w:lineRule="auto"/>
              <w:jc w:val="center"/>
              <w:rPr>
                <w:color w:val="000000"/>
                <w:sz w:val="24"/>
                <w:highlight w:val="green"/>
              </w:rPr>
            </w:pPr>
            <w:r w:rsidRPr="003F760C">
              <w:rPr>
                <w:color w:val="000000"/>
                <w:sz w:val="24"/>
              </w:rPr>
              <w:t>净值增长率</w:t>
            </w:r>
            <w:r w:rsidRPr="003F760C">
              <w:rPr>
                <w:rFonts w:ascii="宋体" w:hAnsi="宋体" w:cs="宋体" w:hint="eastAsia"/>
                <w:color w:val="000000"/>
                <w:sz w:val="24"/>
              </w:rPr>
              <w:t>①</w:t>
            </w:r>
          </w:p>
        </w:tc>
        <w:tc>
          <w:tcPr>
            <w:tcW w:w="1267" w:type="dxa"/>
            <w:vAlign w:val="center"/>
          </w:tcPr>
          <w:p w:rsidR="00685FFC" w:rsidRPr="003F760C" w:rsidRDefault="00685FFC" w:rsidP="007C14DF">
            <w:pPr>
              <w:snapToGrid w:val="0"/>
              <w:spacing w:before="29" w:line="288" w:lineRule="auto"/>
              <w:jc w:val="center"/>
              <w:rPr>
                <w:color w:val="000000"/>
                <w:sz w:val="24"/>
                <w:highlight w:val="green"/>
              </w:rPr>
            </w:pPr>
            <w:r w:rsidRPr="003F760C">
              <w:rPr>
                <w:color w:val="000000"/>
                <w:sz w:val="24"/>
              </w:rPr>
              <w:t>净值增长率标准差</w:t>
            </w:r>
            <w:r w:rsidRPr="003F760C">
              <w:rPr>
                <w:rFonts w:ascii="宋体" w:hAnsi="宋体" w:cs="宋体" w:hint="eastAsia"/>
                <w:color w:val="000000"/>
                <w:sz w:val="24"/>
              </w:rPr>
              <w:t>②</w:t>
            </w:r>
          </w:p>
        </w:tc>
        <w:tc>
          <w:tcPr>
            <w:tcW w:w="1267" w:type="dxa"/>
            <w:vAlign w:val="center"/>
          </w:tcPr>
          <w:p w:rsidR="00685FFC" w:rsidRPr="003F760C" w:rsidRDefault="00685FFC" w:rsidP="007C14DF">
            <w:pPr>
              <w:snapToGrid w:val="0"/>
              <w:spacing w:before="29" w:line="288" w:lineRule="auto"/>
              <w:jc w:val="center"/>
              <w:rPr>
                <w:color w:val="000000"/>
                <w:sz w:val="24"/>
              </w:rPr>
            </w:pPr>
            <w:r w:rsidRPr="003F760C">
              <w:rPr>
                <w:color w:val="000000"/>
                <w:sz w:val="24"/>
              </w:rPr>
              <w:t>业绩比较基准收益率</w:t>
            </w:r>
            <w:r w:rsidRPr="003F760C">
              <w:rPr>
                <w:rFonts w:ascii="宋体" w:hAnsi="宋体" w:cs="宋体" w:hint="eastAsia"/>
                <w:color w:val="000000"/>
                <w:sz w:val="24"/>
              </w:rPr>
              <w:t>③</w:t>
            </w:r>
          </w:p>
        </w:tc>
        <w:tc>
          <w:tcPr>
            <w:tcW w:w="1267" w:type="dxa"/>
            <w:vAlign w:val="center"/>
          </w:tcPr>
          <w:p w:rsidR="00685FFC" w:rsidRPr="003F760C" w:rsidRDefault="00685FFC" w:rsidP="007C14DF">
            <w:pPr>
              <w:snapToGrid w:val="0"/>
              <w:spacing w:before="29" w:line="288" w:lineRule="auto"/>
              <w:jc w:val="center"/>
              <w:rPr>
                <w:color w:val="000000"/>
                <w:sz w:val="24"/>
              </w:rPr>
            </w:pPr>
            <w:r w:rsidRPr="003F760C">
              <w:rPr>
                <w:color w:val="000000"/>
                <w:sz w:val="24"/>
              </w:rPr>
              <w:t>业绩比较基准收益率标准差</w:t>
            </w:r>
            <w:r w:rsidRPr="003F760C">
              <w:rPr>
                <w:rFonts w:ascii="宋体" w:hAnsi="宋体" w:cs="宋体" w:hint="eastAsia"/>
                <w:color w:val="000000"/>
                <w:sz w:val="24"/>
              </w:rPr>
              <w:t>④</w:t>
            </w:r>
          </w:p>
        </w:tc>
        <w:tc>
          <w:tcPr>
            <w:tcW w:w="1267" w:type="dxa"/>
            <w:vAlign w:val="center"/>
          </w:tcPr>
          <w:p w:rsidR="00685FFC" w:rsidRPr="003F760C" w:rsidRDefault="00685FFC" w:rsidP="007C14DF">
            <w:pPr>
              <w:snapToGrid w:val="0"/>
              <w:spacing w:before="29" w:line="288" w:lineRule="auto"/>
              <w:jc w:val="center"/>
              <w:rPr>
                <w:color w:val="000000"/>
                <w:sz w:val="24"/>
              </w:rPr>
            </w:pPr>
            <w:r w:rsidRPr="003F760C">
              <w:rPr>
                <w:rFonts w:ascii="宋体" w:hAnsi="宋体" w:cs="宋体" w:hint="eastAsia"/>
                <w:color w:val="000000"/>
                <w:sz w:val="24"/>
              </w:rPr>
              <w:t>①</w:t>
            </w:r>
            <w:r w:rsidRPr="003F760C">
              <w:rPr>
                <w:color w:val="000000"/>
                <w:sz w:val="24"/>
              </w:rPr>
              <w:t>－</w:t>
            </w:r>
            <w:r w:rsidRPr="003F760C">
              <w:rPr>
                <w:rFonts w:ascii="宋体" w:hAnsi="宋体" w:cs="宋体" w:hint="eastAsia"/>
                <w:color w:val="000000"/>
                <w:sz w:val="24"/>
              </w:rPr>
              <w:t>③</w:t>
            </w:r>
          </w:p>
        </w:tc>
        <w:tc>
          <w:tcPr>
            <w:tcW w:w="1267" w:type="dxa"/>
            <w:vAlign w:val="center"/>
          </w:tcPr>
          <w:p w:rsidR="00685FFC" w:rsidRPr="003F760C" w:rsidRDefault="00685FFC" w:rsidP="007C14DF">
            <w:pPr>
              <w:snapToGrid w:val="0"/>
              <w:spacing w:before="29" w:line="288" w:lineRule="auto"/>
              <w:jc w:val="center"/>
              <w:rPr>
                <w:color w:val="000000"/>
                <w:sz w:val="24"/>
              </w:rPr>
            </w:pPr>
            <w:r w:rsidRPr="003F760C">
              <w:rPr>
                <w:rFonts w:ascii="宋体" w:hAnsi="宋体" w:cs="宋体" w:hint="eastAsia"/>
                <w:color w:val="000000"/>
                <w:sz w:val="24"/>
              </w:rPr>
              <w:t>②</w:t>
            </w:r>
            <w:r w:rsidRPr="003F760C">
              <w:rPr>
                <w:color w:val="000000"/>
                <w:sz w:val="24"/>
              </w:rPr>
              <w:t>－</w:t>
            </w:r>
            <w:r w:rsidRPr="003F760C">
              <w:rPr>
                <w:rFonts w:ascii="宋体" w:hAnsi="宋体" w:cs="宋体" w:hint="eastAsia"/>
                <w:color w:val="000000"/>
                <w:sz w:val="24"/>
              </w:rPr>
              <w:t>④</w:t>
            </w:r>
          </w:p>
        </w:tc>
      </w:tr>
      <w:tr w:rsidR="00F847E1" w:rsidRPr="003F760C">
        <w:trPr>
          <w:jc w:val="center"/>
        </w:trPr>
        <w:tc>
          <w:tcPr>
            <w:tcW w:w="1266" w:type="dxa"/>
            <w:vAlign w:val="center"/>
          </w:tcPr>
          <w:p w:rsidR="00F847E1" w:rsidRPr="003F760C" w:rsidRDefault="004F27D3">
            <w:pPr>
              <w:jc w:val="left"/>
            </w:pPr>
            <w:r w:rsidRPr="003F760C">
              <w:rPr>
                <w:color w:val="000000"/>
                <w:sz w:val="24"/>
              </w:rPr>
              <w:t>过去三个月</w:t>
            </w:r>
          </w:p>
        </w:tc>
        <w:tc>
          <w:tcPr>
            <w:tcW w:w="1267" w:type="dxa"/>
            <w:vAlign w:val="center"/>
          </w:tcPr>
          <w:p w:rsidR="00F847E1" w:rsidRPr="003F760C" w:rsidRDefault="004F27D3">
            <w:pPr>
              <w:jc w:val="center"/>
            </w:pPr>
            <w:r w:rsidRPr="003F760C">
              <w:rPr>
                <w:color w:val="000000"/>
                <w:sz w:val="24"/>
              </w:rPr>
              <w:t>1.32%</w:t>
            </w:r>
          </w:p>
        </w:tc>
        <w:tc>
          <w:tcPr>
            <w:tcW w:w="1267" w:type="dxa"/>
            <w:vAlign w:val="center"/>
          </w:tcPr>
          <w:p w:rsidR="00F847E1" w:rsidRPr="003F760C" w:rsidRDefault="004F27D3">
            <w:pPr>
              <w:jc w:val="center"/>
            </w:pPr>
            <w:r w:rsidRPr="003F760C">
              <w:rPr>
                <w:color w:val="000000"/>
                <w:sz w:val="24"/>
              </w:rPr>
              <w:t>0.04%</w:t>
            </w:r>
          </w:p>
        </w:tc>
        <w:tc>
          <w:tcPr>
            <w:tcW w:w="1267" w:type="dxa"/>
            <w:vAlign w:val="center"/>
          </w:tcPr>
          <w:p w:rsidR="00F847E1" w:rsidRPr="003F760C" w:rsidRDefault="004F27D3">
            <w:pPr>
              <w:jc w:val="center"/>
            </w:pPr>
            <w:r w:rsidRPr="003F760C">
              <w:rPr>
                <w:color w:val="000000"/>
                <w:sz w:val="24"/>
              </w:rPr>
              <w:t>0.69%</w:t>
            </w:r>
          </w:p>
        </w:tc>
        <w:tc>
          <w:tcPr>
            <w:tcW w:w="1267" w:type="dxa"/>
            <w:vAlign w:val="center"/>
          </w:tcPr>
          <w:p w:rsidR="00F847E1" w:rsidRPr="003F760C" w:rsidRDefault="004F27D3">
            <w:pPr>
              <w:jc w:val="center"/>
            </w:pPr>
            <w:r w:rsidRPr="003F760C">
              <w:rPr>
                <w:color w:val="000000"/>
                <w:sz w:val="24"/>
              </w:rPr>
              <w:t>0.02%</w:t>
            </w:r>
          </w:p>
        </w:tc>
        <w:tc>
          <w:tcPr>
            <w:tcW w:w="1267" w:type="dxa"/>
            <w:vAlign w:val="center"/>
          </w:tcPr>
          <w:p w:rsidR="00F847E1" w:rsidRPr="003F760C" w:rsidRDefault="004F27D3">
            <w:pPr>
              <w:jc w:val="center"/>
            </w:pPr>
            <w:r w:rsidRPr="003F760C">
              <w:rPr>
                <w:color w:val="000000"/>
                <w:sz w:val="24"/>
              </w:rPr>
              <w:t>0.63%</w:t>
            </w:r>
          </w:p>
        </w:tc>
        <w:tc>
          <w:tcPr>
            <w:tcW w:w="1267" w:type="dxa"/>
            <w:vAlign w:val="center"/>
          </w:tcPr>
          <w:p w:rsidR="00F847E1" w:rsidRPr="003F760C" w:rsidRDefault="004F27D3">
            <w:pPr>
              <w:jc w:val="center"/>
            </w:pPr>
            <w:r w:rsidRPr="003F760C">
              <w:rPr>
                <w:color w:val="000000"/>
                <w:sz w:val="24"/>
              </w:rPr>
              <w:t>0.02%</w:t>
            </w:r>
          </w:p>
        </w:tc>
      </w:tr>
    </w:tbl>
    <w:p w:rsidR="004F27D3" w:rsidRPr="003F760C" w:rsidRDefault="002D58ED" w:rsidP="004F27D3">
      <w:pPr>
        <w:pStyle w:val="20"/>
        <w:spacing w:before="29" w:line="288" w:lineRule="auto"/>
        <w:ind w:firstLineChars="0" w:firstLine="0"/>
        <w:rPr>
          <w:rFonts w:ascii="Times New Roman" w:eastAsiaTheme="minorEastAsia" w:hAnsi="Times New Roman"/>
          <w:color w:val="000000"/>
        </w:rPr>
      </w:pPr>
      <w:r w:rsidRPr="002D58ED">
        <w:rPr>
          <w:rFonts w:ascii="Times New Roman" w:hAnsi="Times New Roman" w:hint="eastAsia"/>
          <w:color w:val="000000"/>
        </w:rPr>
        <w:t>注：本基金自</w:t>
      </w:r>
      <w:r w:rsidRPr="002D58ED">
        <w:rPr>
          <w:rFonts w:ascii="Times New Roman" w:hAnsi="Times New Roman" w:hint="eastAsia"/>
          <w:color w:val="000000"/>
        </w:rPr>
        <w:t>2019</w:t>
      </w:r>
      <w:r w:rsidRPr="002D58ED">
        <w:rPr>
          <w:rFonts w:ascii="Times New Roman" w:hAnsi="Times New Roman" w:hint="eastAsia"/>
          <w:color w:val="000000"/>
        </w:rPr>
        <w:t>年</w:t>
      </w:r>
      <w:r w:rsidRPr="002D58ED">
        <w:rPr>
          <w:rFonts w:ascii="Times New Roman" w:hAnsi="Times New Roman" w:hint="eastAsia"/>
          <w:color w:val="000000"/>
        </w:rPr>
        <w:t>3</w:t>
      </w:r>
      <w:r w:rsidRPr="002D58ED">
        <w:rPr>
          <w:rFonts w:ascii="Times New Roman" w:hAnsi="Times New Roman" w:hint="eastAsia"/>
          <w:color w:val="000000"/>
        </w:rPr>
        <w:t>月</w:t>
      </w:r>
      <w:r w:rsidRPr="002D58ED">
        <w:rPr>
          <w:rFonts w:ascii="Times New Roman" w:hAnsi="Times New Roman" w:hint="eastAsia"/>
          <w:color w:val="000000"/>
        </w:rPr>
        <w:t>5</w:t>
      </w:r>
      <w:r w:rsidRPr="002D58ED">
        <w:rPr>
          <w:rFonts w:ascii="Times New Roman" w:hAnsi="Times New Roman" w:hint="eastAsia"/>
          <w:color w:val="000000"/>
        </w:rPr>
        <w:t>日起转为开放式运作，本基金的业绩比较基准由“两年期银行定期存款税后收益率</w:t>
      </w:r>
      <w:r w:rsidRPr="002D58ED">
        <w:rPr>
          <w:rFonts w:ascii="Times New Roman" w:hAnsi="Times New Roman" w:hint="eastAsia"/>
          <w:color w:val="000000"/>
        </w:rPr>
        <w:t>+1.25%</w:t>
      </w:r>
      <w:r w:rsidRPr="002D58ED">
        <w:rPr>
          <w:rFonts w:ascii="Times New Roman" w:hAnsi="Times New Roman" w:hint="eastAsia"/>
          <w:color w:val="000000"/>
        </w:rPr>
        <w:t>”变更为“中债综合全价指数收益率”，</w:t>
      </w:r>
      <w:r w:rsidRPr="002D58ED">
        <w:rPr>
          <w:rFonts w:ascii="Times New Roman" w:hAnsi="Times New Roman" w:hint="eastAsia"/>
          <w:color w:val="000000"/>
        </w:rPr>
        <w:t>3.2.2</w:t>
      </w:r>
      <w:r w:rsidRPr="002D58ED">
        <w:rPr>
          <w:rFonts w:ascii="Times New Roman" w:hAnsi="Times New Roman" w:hint="eastAsia"/>
          <w:color w:val="000000"/>
        </w:rPr>
        <w:t>同。</w:t>
      </w:r>
      <w:bookmarkStart w:id="0" w:name="_GoBack"/>
      <w:bookmarkEnd w:id="0"/>
    </w:p>
    <w:p w:rsidR="009238DB" w:rsidRPr="004F27D3"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847E1">
        <w:trPr>
          <w:jc w:val="center"/>
        </w:trPr>
        <w:tc>
          <w:tcPr>
            <w:tcW w:w="946" w:type="dxa"/>
            <w:vAlign w:val="center"/>
          </w:tcPr>
          <w:p w:rsidR="00F847E1" w:rsidRDefault="004F27D3">
            <w:pPr>
              <w:jc w:val="center"/>
            </w:pPr>
            <w:r>
              <w:rPr>
                <w:color w:val="000000"/>
                <w:sz w:val="24"/>
              </w:rPr>
              <w:t>黄莹洁</w:t>
            </w:r>
          </w:p>
        </w:tc>
        <w:tc>
          <w:tcPr>
            <w:tcW w:w="924" w:type="dxa"/>
            <w:vAlign w:val="center"/>
          </w:tcPr>
          <w:p w:rsidR="00F847E1" w:rsidRDefault="004F27D3">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w:t>
            </w:r>
            <w:r>
              <w:rPr>
                <w:color w:val="000000"/>
                <w:sz w:val="24"/>
              </w:rPr>
              <w:lastRenderedPageBreak/>
              <w:t>宝货币、交银境尚收益债券、交银稳鑫短债债券的基金经理</w:t>
            </w:r>
          </w:p>
        </w:tc>
        <w:tc>
          <w:tcPr>
            <w:tcW w:w="1202" w:type="dxa"/>
            <w:vAlign w:val="center"/>
          </w:tcPr>
          <w:p w:rsidR="00F847E1" w:rsidRDefault="004F27D3">
            <w:pPr>
              <w:jc w:val="center"/>
            </w:pPr>
            <w:r>
              <w:rPr>
                <w:color w:val="000000"/>
                <w:sz w:val="24"/>
              </w:rPr>
              <w:lastRenderedPageBreak/>
              <w:t>2017-03-03</w:t>
            </w:r>
          </w:p>
        </w:tc>
        <w:tc>
          <w:tcPr>
            <w:tcW w:w="1300" w:type="dxa"/>
            <w:vAlign w:val="center"/>
          </w:tcPr>
          <w:p w:rsidR="00F847E1" w:rsidRDefault="004F27D3">
            <w:pPr>
              <w:jc w:val="center"/>
            </w:pPr>
            <w:r>
              <w:rPr>
                <w:color w:val="000000"/>
                <w:sz w:val="24"/>
              </w:rPr>
              <w:t>-</w:t>
            </w:r>
          </w:p>
        </w:tc>
        <w:tc>
          <w:tcPr>
            <w:tcW w:w="1245" w:type="dxa"/>
            <w:vAlign w:val="center"/>
          </w:tcPr>
          <w:p w:rsidR="00F847E1" w:rsidRDefault="004F27D3">
            <w:pPr>
              <w:jc w:val="center"/>
            </w:pPr>
            <w:r>
              <w:rPr>
                <w:color w:val="000000"/>
                <w:sz w:val="24"/>
              </w:rPr>
              <w:t>11</w:t>
            </w:r>
            <w:r>
              <w:rPr>
                <w:color w:val="000000"/>
                <w:sz w:val="24"/>
              </w:rPr>
              <w:t>年</w:t>
            </w:r>
          </w:p>
        </w:tc>
        <w:tc>
          <w:tcPr>
            <w:tcW w:w="3251" w:type="dxa"/>
            <w:vAlign w:val="center"/>
          </w:tcPr>
          <w:p w:rsidR="00F847E1" w:rsidRDefault="004F27D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F847E1">
        <w:trPr>
          <w:jc w:val="center"/>
        </w:trPr>
        <w:tc>
          <w:tcPr>
            <w:tcW w:w="946" w:type="dxa"/>
            <w:vAlign w:val="center"/>
          </w:tcPr>
          <w:p w:rsidR="00F847E1" w:rsidRDefault="004F27D3">
            <w:pPr>
              <w:jc w:val="center"/>
            </w:pPr>
            <w:r>
              <w:rPr>
                <w:color w:val="000000"/>
                <w:sz w:val="24"/>
              </w:rPr>
              <w:t>连端清</w:t>
            </w:r>
          </w:p>
        </w:tc>
        <w:tc>
          <w:tcPr>
            <w:tcW w:w="924" w:type="dxa"/>
            <w:vAlign w:val="center"/>
          </w:tcPr>
          <w:p w:rsidR="00F847E1" w:rsidRDefault="004F27D3">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w:t>
            </w:r>
            <w:r>
              <w:rPr>
                <w:color w:val="000000"/>
                <w:sz w:val="24"/>
              </w:rPr>
              <w:lastRenderedPageBreak/>
              <w:t>债债券、交银裕隆纯债债券、交银天鑫宝货币、交银天益宝货币、交银境尚收益债券、交银天运宝货币的基金经理</w:t>
            </w:r>
          </w:p>
        </w:tc>
        <w:tc>
          <w:tcPr>
            <w:tcW w:w="1202" w:type="dxa"/>
            <w:vAlign w:val="center"/>
          </w:tcPr>
          <w:p w:rsidR="00F847E1" w:rsidRDefault="004F27D3">
            <w:pPr>
              <w:jc w:val="center"/>
            </w:pPr>
            <w:r>
              <w:rPr>
                <w:color w:val="000000"/>
                <w:sz w:val="24"/>
              </w:rPr>
              <w:lastRenderedPageBreak/>
              <w:t>2017-03-03</w:t>
            </w:r>
          </w:p>
        </w:tc>
        <w:tc>
          <w:tcPr>
            <w:tcW w:w="1300" w:type="dxa"/>
            <w:vAlign w:val="center"/>
          </w:tcPr>
          <w:p w:rsidR="00F847E1" w:rsidRDefault="004F27D3">
            <w:pPr>
              <w:jc w:val="center"/>
            </w:pPr>
            <w:r>
              <w:rPr>
                <w:color w:val="000000"/>
                <w:sz w:val="24"/>
              </w:rPr>
              <w:t>-</w:t>
            </w:r>
          </w:p>
        </w:tc>
        <w:tc>
          <w:tcPr>
            <w:tcW w:w="1245" w:type="dxa"/>
            <w:vAlign w:val="center"/>
          </w:tcPr>
          <w:p w:rsidR="00F847E1" w:rsidRDefault="004F27D3">
            <w:pPr>
              <w:jc w:val="center"/>
            </w:pPr>
            <w:r>
              <w:rPr>
                <w:color w:val="000000"/>
                <w:sz w:val="24"/>
              </w:rPr>
              <w:t>6</w:t>
            </w:r>
            <w:r>
              <w:rPr>
                <w:color w:val="000000"/>
                <w:sz w:val="24"/>
              </w:rPr>
              <w:t>年</w:t>
            </w:r>
          </w:p>
        </w:tc>
        <w:tc>
          <w:tcPr>
            <w:tcW w:w="3251" w:type="dxa"/>
            <w:vAlign w:val="center"/>
          </w:tcPr>
          <w:p w:rsidR="00F847E1" w:rsidRDefault="004F27D3">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F847E1" w:rsidRDefault="004F27D3">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F847E1" w:rsidRDefault="004F27D3">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847E1" w:rsidRDefault="004F27D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847E1" w:rsidRDefault="004F27D3">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847E1" w:rsidRDefault="004F27D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847E1" w:rsidRDefault="004F27D3">
      <w:pPr>
        <w:spacing w:before="29" w:line="288" w:lineRule="auto"/>
        <w:ind w:firstLineChars="200" w:firstLine="480"/>
        <w:rPr>
          <w:color w:val="000000"/>
          <w:sz w:val="24"/>
        </w:rPr>
      </w:pPr>
      <w:r>
        <w:rPr>
          <w:color w:val="000000"/>
          <w:sz w:val="24"/>
        </w:rPr>
        <w:t>本报告期内，国内经济的表现逐步向好，部分金融信贷数据企稳，通胀走高的担忧加剧。权益类资产的表现优于债券类资产，货币基金的收益率在短端利率的下行中进一步走低。具体看来，一、二月人民币新增贷款</w:t>
      </w:r>
      <w:r>
        <w:rPr>
          <w:color w:val="000000"/>
          <w:sz w:val="24"/>
        </w:rPr>
        <w:t>41158</w:t>
      </w:r>
      <w:r>
        <w:rPr>
          <w:color w:val="000000"/>
          <w:sz w:val="24"/>
        </w:rPr>
        <w:t>亿元，社会融资增速在此基础上有望企稳。非洲猪瘟的爆发使得本轮猪周期提前到来，猪肉价格在一季度大幅增长，市场预期</w:t>
      </w:r>
      <w:r>
        <w:rPr>
          <w:color w:val="000000"/>
          <w:sz w:val="24"/>
        </w:rPr>
        <w:t>CPI</w:t>
      </w:r>
      <w:r>
        <w:rPr>
          <w:color w:val="000000"/>
          <w:sz w:val="24"/>
        </w:rPr>
        <w:t>在未来回到</w:t>
      </w:r>
      <w:r>
        <w:rPr>
          <w:color w:val="000000"/>
          <w:sz w:val="24"/>
        </w:rPr>
        <w:t>2.0%</w:t>
      </w:r>
      <w:r>
        <w:rPr>
          <w:color w:val="000000"/>
          <w:sz w:val="24"/>
        </w:rPr>
        <w:t>上方，债券也由此在一季度步入盘整态势。全球贸易方面，中美的贸易谈判还在继续中，不确定性尚未消除，而二月的进出口增长进一步下行至</w:t>
      </w:r>
      <w:r>
        <w:rPr>
          <w:color w:val="000000"/>
          <w:sz w:val="24"/>
        </w:rPr>
        <w:t>-5.2%</w:t>
      </w:r>
      <w:r>
        <w:rPr>
          <w:color w:val="000000"/>
          <w:sz w:val="24"/>
        </w:rPr>
        <w:t>和</w:t>
      </w:r>
      <w:r>
        <w:rPr>
          <w:color w:val="000000"/>
          <w:sz w:val="24"/>
        </w:rPr>
        <w:t>-20.8%</w:t>
      </w:r>
      <w:r>
        <w:rPr>
          <w:color w:val="000000"/>
          <w:sz w:val="24"/>
        </w:rPr>
        <w:t>，地域性的贸易条件继续收紧。货币政策方面，美联储在三月的会议纪要偏鸽派，且在点阵图指引中将</w:t>
      </w:r>
      <w:r>
        <w:rPr>
          <w:color w:val="000000"/>
          <w:sz w:val="24"/>
        </w:rPr>
        <w:t>2019</w:t>
      </w:r>
      <w:r>
        <w:rPr>
          <w:color w:val="000000"/>
          <w:sz w:val="24"/>
        </w:rPr>
        <w:t>年的加息次数调整为</w:t>
      </w:r>
      <w:r>
        <w:rPr>
          <w:color w:val="000000"/>
          <w:sz w:val="24"/>
        </w:rPr>
        <w:t>0</w:t>
      </w:r>
      <w:r>
        <w:rPr>
          <w:color w:val="000000"/>
          <w:sz w:val="24"/>
        </w:rPr>
        <w:t>，市场进一步预期美联储将开始降息操作。同时央行在一月调降存款准备金率</w:t>
      </w:r>
      <w:r>
        <w:rPr>
          <w:color w:val="000000"/>
          <w:sz w:val="24"/>
        </w:rPr>
        <w:t>100bps</w:t>
      </w:r>
      <w:r>
        <w:rPr>
          <w:color w:val="000000"/>
          <w:sz w:val="24"/>
        </w:rPr>
        <w:t>，以对冲一季度的</w:t>
      </w:r>
      <w:r>
        <w:rPr>
          <w:color w:val="000000"/>
          <w:sz w:val="24"/>
        </w:rPr>
        <w:t>MLF</w:t>
      </w:r>
      <w:r>
        <w:rPr>
          <w:color w:val="000000"/>
          <w:sz w:val="24"/>
        </w:rPr>
        <w:t>到期，继续保持稳健偏宽松的态度。在一季度国内债券显现出盘整态势，一、二月在风险资产优异的表现下，长端收益率持续上行，同时信用利差走扩。随后在三月下旬跟随全球债券走势，收益率转而走低。整体看来市场风险偏好变化、通胀担忧加剧和金融信贷数据企稳等因素成为债券市场收益率变动的主要原因。报告期内，十年期国债收益率下行</w:t>
      </w:r>
      <w:r>
        <w:rPr>
          <w:color w:val="000000"/>
          <w:sz w:val="24"/>
        </w:rPr>
        <w:t>16BPS</w:t>
      </w:r>
      <w:r>
        <w:rPr>
          <w:color w:val="000000"/>
          <w:sz w:val="24"/>
        </w:rPr>
        <w:t>至</w:t>
      </w:r>
      <w:r>
        <w:rPr>
          <w:color w:val="000000"/>
          <w:sz w:val="24"/>
        </w:rPr>
        <w:t>3.06%</w:t>
      </w:r>
      <w:r>
        <w:rPr>
          <w:color w:val="000000"/>
          <w:sz w:val="24"/>
        </w:rPr>
        <w:t>，十年期国开债收益率上行</w:t>
      </w:r>
      <w:r>
        <w:rPr>
          <w:color w:val="000000"/>
          <w:sz w:val="24"/>
        </w:rPr>
        <w:t>6BP</w:t>
      </w:r>
      <w:r>
        <w:rPr>
          <w:color w:val="000000"/>
          <w:sz w:val="24"/>
        </w:rPr>
        <w:t>至</w:t>
      </w:r>
      <w:r>
        <w:rPr>
          <w:color w:val="000000"/>
          <w:sz w:val="24"/>
        </w:rPr>
        <w:t>3.70%</w:t>
      </w:r>
      <w:r>
        <w:rPr>
          <w:color w:val="000000"/>
          <w:sz w:val="24"/>
        </w:rPr>
        <w:t>，三个月上海银行间拆借利率下行</w:t>
      </w:r>
      <w:r>
        <w:rPr>
          <w:color w:val="000000"/>
          <w:sz w:val="24"/>
        </w:rPr>
        <w:t>55BP</w:t>
      </w:r>
      <w:r>
        <w:rPr>
          <w:color w:val="000000"/>
          <w:sz w:val="24"/>
        </w:rPr>
        <w:t>到</w:t>
      </w:r>
      <w:r>
        <w:rPr>
          <w:color w:val="000000"/>
          <w:sz w:val="24"/>
        </w:rPr>
        <w:t>2.80%</w:t>
      </w:r>
      <w:r>
        <w:rPr>
          <w:color w:val="000000"/>
          <w:sz w:val="24"/>
        </w:rPr>
        <w:t>。</w:t>
      </w:r>
    </w:p>
    <w:p w:rsidR="00F847E1" w:rsidRDefault="004F27D3">
      <w:pPr>
        <w:spacing w:before="29" w:line="288" w:lineRule="auto"/>
        <w:ind w:firstLineChars="200" w:firstLine="480"/>
        <w:rPr>
          <w:color w:val="000000"/>
          <w:sz w:val="24"/>
        </w:rPr>
      </w:pPr>
      <w:r>
        <w:rPr>
          <w:color w:val="000000"/>
          <w:sz w:val="24"/>
        </w:rPr>
        <w:t>基金操作方面，本报告期组合结束两年封闭期转为开放运作，组合主要减持了剩余期限与封闭期不完全匹配的资产应对基金份额持有人潜在赎回需求。在规模逐步稳定后，</w:t>
      </w:r>
      <w:r>
        <w:rPr>
          <w:color w:val="000000"/>
          <w:sz w:val="24"/>
        </w:rPr>
        <w:lastRenderedPageBreak/>
        <w:t>由于组合规模相对较小，组合以配置利率债为主，维持一个相对中性的组合久期。</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我们将关注风险资产特别是股市在二季度的表现和其溢出效应，警惕中美贸易谈判可能出现的超预期影响，进一步观察国内经济基本面的状况。我们认为，海外货币政策的逐步宽松，将打开国内政策的操作空间，货币政策应该会延续稳健宽松的状态，财政政策将会更加积极。债券方面，在保持组合流动性的前提下关注交易窗口，把握适度久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80,164,000.00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80,164,000.00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w:t>
            </w:r>
            <w:r w:rsidRPr="0028293E">
              <w:rPr>
                <w:rFonts w:eastAsiaTheme="minorEastAsia"/>
                <w:color w:val="000000" w:themeColor="text1"/>
                <w:sz w:val="24"/>
              </w:rPr>
              <w:lastRenderedPageBreak/>
              <w:t>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lastRenderedPageBreak/>
              <w:t>24,673,335.71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967,001.56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0.91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105,804,337.27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80,164,000.00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80,164,000.00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80,164,000.00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847E1">
        <w:trPr>
          <w:jc w:val="center"/>
        </w:trPr>
        <w:tc>
          <w:tcPr>
            <w:tcW w:w="1075" w:type="dxa"/>
            <w:vAlign w:val="center"/>
          </w:tcPr>
          <w:p w:rsidR="00F847E1" w:rsidRDefault="004F27D3">
            <w:pPr>
              <w:jc w:val="center"/>
            </w:pPr>
            <w:r>
              <w:rPr>
                <w:color w:val="000000"/>
                <w:sz w:val="24"/>
              </w:rPr>
              <w:t>1</w:t>
            </w:r>
          </w:p>
        </w:tc>
        <w:tc>
          <w:tcPr>
            <w:tcW w:w="1533" w:type="dxa"/>
            <w:vAlign w:val="center"/>
          </w:tcPr>
          <w:p w:rsidR="00F847E1" w:rsidRDefault="004F27D3">
            <w:pPr>
              <w:jc w:val="center"/>
            </w:pPr>
            <w:r>
              <w:rPr>
                <w:color w:val="000000"/>
                <w:sz w:val="24"/>
              </w:rPr>
              <w:t>180216</w:t>
            </w:r>
          </w:p>
        </w:tc>
        <w:tc>
          <w:tcPr>
            <w:tcW w:w="1533" w:type="dxa"/>
            <w:vAlign w:val="center"/>
          </w:tcPr>
          <w:p w:rsidR="00F847E1" w:rsidRDefault="004F27D3">
            <w:pPr>
              <w:jc w:val="center"/>
            </w:pPr>
            <w:r>
              <w:rPr>
                <w:color w:val="000000"/>
                <w:sz w:val="24"/>
              </w:rPr>
              <w:t>18</w:t>
            </w:r>
            <w:r>
              <w:rPr>
                <w:color w:val="000000"/>
                <w:sz w:val="24"/>
              </w:rPr>
              <w:t>国开</w:t>
            </w:r>
            <w:r>
              <w:rPr>
                <w:color w:val="000000"/>
                <w:sz w:val="24"/>
              </w:rPr>
              <w:t>16</w:t>
            </w:r>
          </w:p>
        </w:tc>
        <w:tc>
          <w:tcPr>
            <w:tcW w:w="1394" w:type="dxa"/>
            <w:vAlign w:val="center"/>
          </w:tcPr>
          <w:p w:rsidR="00F847E1" w:rsidRDefault="004F27D3">
            <w:pPr>
              <w:jc w:val="right"/>
            </w:pPr>
            <w:r>
              <w:rPr>
                <w:color w:val="000000"/>
                <w:sz w:val="24"/>
              </w:rPr>
              <w:t>500,000</w:t>
            </w:r>
          </w:p>
        </w:tc>
        <w:tc>
          <w:tcPr>
            <w:tcW w:w="1944" w:type="dxa"/>
            <w:vAlign w:val="center"/>
          </w:tcPr>
          <w:p w:rsidR="00F847E1" w:rsidRDefault="004F27D3">
            <w:pPr>
              <w:jc w:val="right"/>
            </w:pPr>
            <w:r>
              <w:rPr>
                <w:color w:val="000000"/>
                <w:sz w:val="24"/>
              </w:rPr>
              <w:t>50,020,000.00</w:t>
            </w:r>
          </w:p>
        </w:tc>
        <w:tc>
          <w:tcPr>
            <w:tcW w:w="1389" w:type="dxa"/>
            <w:vAlign w:val="center"/>
          </w:tcPr>
          <w:p w:rsidR="00F847E1" w:rsidRDefault="004F27D3">
            <w:pPr>
              <w:jc w:val="right"/>
            </w:pPr>
            <w:r>
              <w:rPr>
                <w:color w:val="000000"/>
                <w:sz w:val="24"/>
              </w:rPr>
              <w:t>48.03</w:t>
            </w:r>
          </w:p>
        </w:tc>
      </w:tr>
      <w:tr w:rsidR="00F847E1">
        <w:trPr>
          <w:jc w:val="center"/>
        </w:trPr>
        <w:tc>
          <w:tcPr>
            <w:tcW w:w="1075" w:type="dxa"/>
            <w:vAlign w:val="center"/>
          </w:tcPr>
          <w:p w:rsidR="00F847E1" w:rsidRDefault="004F27D3">
            <w:pPr>
              <w:jc w:val="center"/>
            </w:pPr>
            <w:r>
              <w:rPr>
                <w:color w:val="000000"/>
                <w:sz w:val="24"/>
              </w:rPr>
              <w:lastRenderedPageBreak/>
              <w:t>2</w:t>
            </w:r>
          </w:p>
        </w:tc>
        <w:tc>
          <w:tcPr>
            <w:tcW w:w="1533" w:type="dxa"/>
            <w:vAlign w:val="center"/>
          </w:tcPr>
          <w:p w:rsidR="00F847E1" w:rsidRDefault="004F27D3">
            <w:pPr>
              <w:jc w:val="center"/>
            </w:pPr>
            <w:r>
              <w:rPr>
                <w:color w:val="000000"/>
                <w:sz w:val="24"/>
              </w:rPr>
              <w:t>190303</w:t>
            </w:r>
          </w:p>
        </w:tc>
        <w:tc>
          <w:tcPr>
            <w:tcW w:w="1533" w:type="dxa"/>
            <w:vAlign w:val="center"/>
          </w:tcPr>
          <w:p w:rsidR="00F847E1" w:rsidRDefault="004F27D3">
            <w:pPr>
              <w:jc w:val="center"/>
            </w:pPr>
            <w:r>
              <w:rPr>
                <w:color w:val="000000"/>
                <w:sz w:val="24"/>
              </w:rPr>
              <w:t>19</w:t>
            </w:r>
            <w:r>
              <w:rPr>
                <w:color w:val="000000"/>
                <w:sz w:val="24"/>
              </w:rPr>
              <w:t>进出</w:t>
            </w:r>
            <w:r>
              <w:rPr>
                <w:color w:val="000000"/>
                <w:sz w:val="24"/>
              </w:rPr>
              <w:t>03</w:t>
            </w:r>
          </w:p>
        </w:tc>
        <w:tc>
          <w:tcPr>
            <w:tcW w:w="1394" w:type="dxa"/>
            <w:vAlign w:val="center"/>
          </w:tcPr>
          <w:p w:rsidR="00F847E1" w:rsidRDefault="004F27D3">
            <w:pPr>
              <w:jc w:val="right"/>
            </w:pPr>
            <w:r>
              <w:rPr>
                <w:color w:val="000000"/>
                <w:sz w:val="24"/>
              </w:rPr>
              <w:t>200,000</w:t>
            </w:r>
          </w:p>
        </w:tc>
        <w:tc>
          <w:tcPr>
            <w:tcW w:w="1944" w:type="dxa"/>
            <w:vAlign w:val="center"/>
          </w:tcPr>
          <w:p w:rsidR="00F847E1" w:rsidRDefault="004F27D3">
            <w:pPr>
              <w:jc w:val="right"/>
            </w:pPr>
            <w:r>
              <w:rPr>
                <w:color w:val="000000"/>
                <w:sz w:val="24"/>
              </w:rPr>
              <w:t>19,884,000.00</w:t>
            </w:r>
          </w:p>
        </w:tc>
        <w:tc>
          <w:tcPr>
            <w:tcW w:w="1389" w:type="dxa"/>
            <w:vAlign w:val="center"/>
          </w:tcPr>
          <w:p w:rsidR="00F847E1" w:rsidRDefault="004F27D3">
            <w:pPr>
              <w:jc w:val="right"/>
            </w:pPr>
            <w:r>
              <w:rPr>
                <w:color w:val="000000"/>
                <w:sz w:val="24"/>
              </w:rPr>
              <w:t>19.09</w:t>
            </w:r>
          </w:p>
        </w:tc>
      </w:tr>
      <w:tr w:rsidR="00F847E1">
        <w:trPr>
          <w:jc w:val="center"/>
        </w:trPr>
        <w:tc>
          <w:tcPr>
            <w:tcW w:w="1075" w:type="dxa"/>
            <w:vAlign w:val="center"/>
          </w:tcPr>
          <w:p w:rsidR="00F847E1" w:rsidRDefault="004F27D3">
            <w:pPr>
              <w:jc w:val="center"/>
            </w:pPr>
            <w:r>
              <w:rPr>
                <w:color w:val="000000"/>
                <w:sz w:val="24"/>
              </w:rPr>
              <w:t>3</w:t>
            </w:r>
          </w:p>
        </w:tc>
        <w:tc>
          <w:tcPr>
            <w:tcW w:w="1533" w:type="dxa"/>
            <w:vAlign w:val="center"/>
          </w:tcPr>
          <w:p w:rsidR="00F847E1" w:rsidRDefault="004F27D3">
            <w:pPr>
              <w:jc w:val="center"/>
            </w:pPr>
            <w:r>
              <w:rPr>
                <w:color w:val="000000"/>
                <w:sz w:val="24"/>
              </w:rPr>
              <w:t>180210</w:t>
            </w:r>
          </w:p>
        </w:tc>
        <w:tc>
          <w:tcPr>
            <w:tcW w:w="1533" w:type="dxa"/>
            <w:vAlign w:val="center"/>
          </w:tcPr>
          <w:p w:rsidR="00F847E1" w:rsidRDefault="004F27D3">
            <w:pPr>
              <w:jc w:val="center"/>
            </w:pPr>
            <w:r>
              <w:rPr>
                <w:color w:val="000000"/>
                <w:sz w:val="24"/>
              </w:rPr>
              <w:t>18</w:t>
            </w:r>
            <w:r>
              <w:rPr>
                <w:color w:val="000000"/>
                <w:sz w:val="24"/>
              </w:rPr>
              <w:t>国开</w:t>
            </w:r>
            <w:r>
              <w:rPr>
                <w:color w:val="000000"/>
                <w:sz w:val="24"/>
              </w:rPr>
              <w:t>10</w:t>
            </w:r>
          </w:p>
        </w:tc>
        <w:tc>
          <w:tcPr>
            <w:tcW w:w="1394" w:type="dxa"/>
            <w:vAlign w:val="center"/>
          </w:tcPr>
          <w:p w:rsidR="00F847E1" w:rsidRDefault="004F27D3">
            <w:pPr>
              <w:jc w:val="right"/>
            </w:pPr>
            <w:r>
              <w:rPr>
                <w:color w:val="000000"/>
                <w:sz w:val="24"/>
              </w:rPr>
              <w:t>100,000</w:t>
            </w:r>
          </w:p>
        </w:tc>
        <w:tc>
          <w:tcPr>
            <w:tcW w:w="1944" w:type="dxa"/>
            <w:vAlign w:val="center"/>
          </w:tcPr>
          <w:p w:rsidR="00F847E1" w:rsidRDefault="004F27D3">
            <w:pPr>
              <w:jc w:val="right"/>
            </w:pPr>
            <w:r>
              <w:rPr>
                <w:color w:val="000000"/>
                <w:sz w:val="24"/>
              </w:rPr>
              <w:t>10,260,000.00</w:t>
            </w:r>
          </w:p>
        </w:tc>
        <w:tc>
          <w:tcPr>
            <w:tcW w:w="1389" w:type="dxa"/>
            <w:vAlign w:val="center"/>
          </w:tcPr>
          <w:p w:rsidR="00F847E1" w:rsidRDefault="004F27D3">
            <w:pPr>
              <w:jc w:val="right"/>
            </w:pPr>
            <w:r>
              <w:rPr>
                <w:color w:val="000000"/>
                <w:sz w:val="24"/>
              </w:rPr>
              <w:t>9.85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67,610.93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899,190.79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199.84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967,001.56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15,670.36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569,465.30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773,405,216.70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13,460,008.80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93,781,722.03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6,700,931.88</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影响投资者决策的其他重要信息</w:t>
      </w:r>
    </w:p>
    <w:p w:rsidR="00ED0E09" w:rsidRDefault="00ED0E09" w:rsidP="006635D0">
      <w:pPr>
        <w:autoSpaceDE w:val="0"/>
        <w:autoSpaceDN w:val="0"/>
        <w:adjustRightInd w:val="0"/>
        <w:spacing w:before="29" w:line="288" w:lineRule="auto"/>
        <w:ind w:firstLineChars="200" w:firstLine="480"/>
        <w:jc w:val="left"/>
        <w:rPr>
          <w:rFonts w:ascii="宋体" w:hAnsi="宋体"/>
          <w:color w:val="000000"/>
          <w:szCs w:val="21"/>
        </w:rPr>
      </w:pPr>
      <w:r w:rsidRPr="006635D0">
        <w:rPr>
          <w:rFonts w:eastAsiaTheme="minorEastAsia" w:hint="eastAsia"/>
          <w:color w:val="000000"/>
          <w:sz w:val="24"/>
        </w:rPr>
        <w:t>根据本</w:t>
      </w:r>
      <w:proofErr w:type="gramStart"/>
      <w:r w:rsidRPr="006635D0">
        <w:rPr>
          <w:rFonts w:eastAsiaTheme="minorEastAsia" w:hint="eastAsia"/>
          <w:color w:val="000000"/>
          <w:sz w:val="24"/>
        </w:rPr>
        <w:t>基金基金</w:t>
      </w:r>
      <w:proofErr w:type="gramEnd"/>
      <w:r w:rsidRPr="006635D0">
        <w:rPr>
          <w:rFonts w:eastAsiaTheme="minorEastAsia" w:hint="eastAsia"/>
          <w:color w:val="000000"/>
          <w:sz w:val="24"/>
        </w:rPr>
        <w:t>合同的规定，本基金在基金合同生效之日起两年（含两年）的期间内封闭式运作，封闭期结束后转为开放式运作。封闭期在本基金的基金合同中如无特别指明即为自基金合同生效之日起至两个公历年后对应日止，若两年后对应日为非工作日的，相应顺延。本基金的封闭期自</w:t>
      </w:r>
      <w:r w:rsidRPr="006635D0">
        <w:rPr>
          <w:rFonts w:eastAsiaTheme="minorEastAsia" w:hint="eastAsia"/>
          <w:color w:val="000000"/>
          <w:sz w:val="24"/>
        </w:rPr>
        <w:t>2017</w:t>
      </w:r>
      <w:r w:rsidRPr="006635D0">
        <w:rPr>
          <w:rFonts w:eastAsiaTheme="minorEastAsia" w:hint="eastAsia"/>
          <w:color w:val="000000"/>
          <w:sz w:val="24"/>
        </w:rPr>
        <w:t>年</w:t>
      </w:r>
      <w:r w:rsidRPr="006635D0">
        <w:rPr>
          <w:rFonts w:eastAsiaTheme="minorEastAsia" w:hint="eastAsia"/>
          <w:color w:val="000000"/>
          <w:sz w:val="24"/>
        </w:rPr>
        <w:t>3</w:t>
      </w:r>
      <w:r w:rsidRPr="006635D0">
        <w:rPr>
          <w:rFonts w:eastAsiaTheme="minorEastAsia" w:hint="eastAsia"/>
          <w:color w:val="000000"/>
          <w:sz w:val="24"/>
        </w:rPr>
        <w:t>月</w:t>
      </w:r>
      <w:r w:rsidRPr="006635D0">
        <w:rPr>
          <w:rFonts w:eastAsiaTheme="minorEastAsia" w:hint="eastAsia"/>
          <w:color w:val="000000"/>
          <w:sz w:val="24"/>
        </w:rPr>
        <w:t>3</w:t>
      </w:r>
      <w:r w:rsidRPr="006635D0">
        <w:rPr>
          <w:rFonts w:eastAsiaTheme="minorEastAsia" w:hint="eastAsia"/>
          <w:color w:val="000000"/>
          <w:sz w:val="24"/>
        </w:rPr>
        <w:t>日开始至</w:t>
      </w:r>
      <w:r w:rsidRPr="006635D0">
        <w:rPr>
          <w:rFonts w:eastAsiaTheme="minorEastAsia" w:hint="eastAsia"/>
          <w:color w:val="000000"/>
          <w:sz w:val="24"/>
        </w:rPr>
        <w:t>2019</w:t>
      </w:r>
      <w:r w:rsidRPr="006635D0">
        <w:rPr>
          <w:rFonts w:eastAsiaTheme="minorEastAsia" w:hint="eastAsia"/>
          <w:color w:val="000000"/>
          <w:sz w:val="24"/>
        </w:rPr>
        <w:t>年</w:t>
      </w:r>
      <w:r w:rsidRPr="006635D0">
        <w:rPr>
          <w:rFonts w:eastAsiaTheme="minorEastAsia" w:hint="eastAsia"/>
          <w:color w:val="000000"/>
          <w:sz w:val="24"/>
        </w:rPr>
        <w:t>3</w:t>
      </w:r>
      <w:r w:rsidRPr="006635D0">
        <w:rPr>
          <w:rFonts w:eastAsiaTheme="minorEastAsia" w:hint="eastAsia"/>
          <w:color w:val="000000"/>
          <w:sz w:val="24"/>
        </w:rPr>
        <w:t>月</w:t>
      </w:r>
      <w:r w:rsidRPr="006635D0">
        <w:rPr>
          <w:rFonts w:eastAsiaTheme="minorEastAsia" w:hint="eastAsia"/>
          <w:color w:val="000000"/>
          <w:sz w:val="24"/>
        </w:rPr>
        <w:t>4</w:t>
      </w:r>
      <w:r w:rsidRPr="006635D0">
        <w:rPr>
          <w:rFonts w:eastAsiaTheme="minorEastAsia" w:hint="eastAsia"/>
          <w:color w:val="000000"/>
          <w:sz w:val="24"/>
        </w:rPr>
        <w:t>日止，自</w:t>
      </w:r>
      <w:r w:rsidRPr="006635D0">
        <w:rPr>
          <w:rFonts w:eastAsiaTheme="minorEastAsia" w:hint="eastAsia"/>
          <w:color w:val="000000"/>
          <w:sz w:val="24"/>
        </w:rPr>
        <w:t>2019</w:t>
      </w:r>
      <w:r w:rsidRPr="006635D0">
        <w:rPr>
          <w:rFonts w:eastAsiaTheme="minorEastAsia" w:hint="eastAsia"/>
          <w:color w:val="000000"/>
          <w:sz w:val="24"/>
        </w:rPr>
        <w:t>年</w:t>
      </w:r>
      <w:r w:rsidRPr="006635D0">
        <w:rPr>
          <w:rFonts w:eastAsiaTheme="minorEastAsia" w:hint="eastAsia"/>
          <w:color w:val="000000"/>
          <w:sz w:val="24"/>
        </w:rPr>
        <w:t>3</w:t>
      </w:r>
      <w:r w:rsidRPr="006635D0">
        <w:rPr>
          <w:rFonts w:eastAsiaTheme="minorEastAsia" w:hint="eastAsia"/>
          <w:color w:val="000000"/>
          <w:sz w:val="24"/>
        </w:rPr>
        <w:t>月</w:t>
      </w:r>
      <w:r w:rsidRPr="006635D0">
        <w:rPr>
          <w:rFonts w:eastAsiaTheme="minorEastAsia" w:hint="eastAsia"/>
          <w:color w:val="000000"/>
          <w:sz w:val="24"/>
        </w:rPr>
        <w:t>5</w:t>
      </w:r>
      <w:r w:rsidRPr="006635D0">
        <w:rPr>
          <w:rFonts w:eastAsiaTheme="minorEastAsia" w:hint="eastAsia"/>
          <w:color w:val="000000"/>
          <w:sz w:val="24"/>
        </w:rPr>
        <w:t>日起转为开放式运作。本基金在转为开放式运作后，自</w:t>
      </w:r>
      <w:r w:rsidRPr="006635D0">
        <w:rPr>
          <w:rFonts w:eastAsiaTheme="minorEastAsia" w:hint="eastAsia"/>
          <w:color w:val="000000"/>
          <w:sz w:val="24"/>
        </w:rPr>
        <w:t>2019</w:t>
      </w:r>
      <w:r w:rsidRPr="006635D0">
        <w:rPr>
          <w:rFonts w:eastAsiaTheme="minorEastAsia" w:hint="eastAsia"/>
          <w:color w:val="000000"/>
          <w:sz w:val="24"/>
        </w:rPr>
        <w:t>年</w:t>
      </w:r>
      <w:r w:rsidRPr="006635D0">
        <w:rPr>
          <w:rFonts w:eastAsiaTheme="minorEastAsia" w:hint="eastAsia"/>
          <w:color w:val="000000"/>
          <w:sz w:val="24"/>
        </w:rPr>
        <w:t>3</w:t>
      </w:r>
      <w:r w:rsidRPr="006635D0">
        <w:rPr>
          <w:rFonts w:eastAsiaTheme="minorEastAsia" w:hint="eastAsia"/>
          <w:color w:val="000000"/>
          <w:sz w:val="24"/>
        </w:rPr>
        <w:t>月</w:t>
      </w:r>
      <w:r w:rsidRPr="006635D0">
        <w:rPr>
          <w:rFonts w:eastAsiaTheme="minorEastAsia" w:hint="eastAsia"/>
          <w:color w:val="000000"/>
          <w:sz w:val="24"/>
        </w:rPr>
        <w:t>5</w:t>
      </w:r>
      <w:r w:rsidRPr="006635D0">
        <w:rPr>
          <w:rFonts w:eastAsiaTheme="minorEastAsia" w:hint="eastAsia"/>
          <w:color w:val="000000"/>
          <w:sz w:val="24"/>
        </w:rPr>
        <w:t>日开始办理日常申购、赎回、定期定额投资等业务，并适用基金合同中关于转为开放式运作后的有关规定。详情请查阅本基金管理人于</w:t>
      </w:r>
      <w:r w:rsidRPr="006635D0">
        <w:rPr>
          <w:rFonts w:eastAsiaTheme="minorEastAsia" w:hint="eastAsia"/>
          <w:color w:val="000000"/>
          <w:sz w:val="24"/>
        </w:rPr>
        <w:t>2019</w:t>
      </w:r>
      <w:r w:rsidRPr="006635D0">
        <w:rPr>
          <w:rFonts w:eastAsiaTheme="minorEastAsia" w:hint="eastAsia"/>
          <w:color w:val="000000"/>
          <w:sz w:val="24"/>
        </w:rPr>
        <w:t>年</w:t>
      </w:r>
      <w:r w:rsidRPr="006635D0">
        <w:rPr>
          <w:rFonts w:eastAsiaTheme="minorEastAsia" w:hint="eastAsia"/>
          <w:color w:val="000000"/>
          <w:sz w:val="24"/>
        </w:rPr>
        <w:t>2</w:t>
      </w:r>
      <w:r w:rsidRPr="006635D0">
        <w:rPr>
          <w:rFonts w:eastAsiaTheme="minorEastAsia" w:hint="eastAsia"/>
          <w:color w:val="000000"/>
          <w:sz w:val="24"/>
        </w:rPr>
        <w:t>月</w:t>
      </w:r>
      <w:r w:rsidRPr="006635D0">
        <w:rPr>
          <w:rFonts w:eastAsiaTheme="minorEastAsia" w:hint="eastAsia"/>
          <w:color w:val="000000"/>
          <w:sz w:val="24"/>
        </w:rPr>
        <w:t>26</w:t>
      </w:r>
      <w:r w:rsidRPr="006635D0">
        <w:rPr>
          <w:rFonts w:eastAsiaTheme="minorEastAsia" w:hint="eastAsia"/>
          <w:color w:val="000000"/>
          <w:sz w:val="24"/>
        </w:rPr>
        <w:t>日发布的《交银施罗德基金管理有限公司关于交银施罗德境尚收益债券型证券投资基金封闭期结束转为开放式运作的提示性公告》以及</w:t>
      </w:r>
      <w:r w:rsidRPr="006635D0">
        <w:rPr>
          <w:rFonts w:eastAsiaTheme="minorEastAsia" w:hint="eastAsia"/>
          <w:color w:val="000000"/>
          <w:sz w:val="24"/>
        </w:rPr>
        <w:t>2019</w:t>
      </w:r>
      <w:r w:rsidRPr="006635D0">
        <w:rPr>
          <w:rFonts w:eastAsiaTheme="minorEastAsia" w:hint="eastAsia"/>
          <w:color w:val="000000"/>
          <w:sz w:val="24"/>
        </w:rPr>
        <w:t>年</w:t>
      </w:r>
      <w:r w:rsidRPr="006635D0">
        <w:rPr>
          <w:rFonts w:eastAsiaTheme="minorEastAsia" w:hint="eastAsia"/>
          <w:color w:val="000000"/>
          <w:sz w:val="24"/>
        </w:rPr>
        <w:t>2</w:t>
      </w:r>
      <w:r w:rsidRPr="006635D0">
        <w:rPr>
          <w:rFonts w:eastAsiaTheme="minorEastAsia" w:hint="eastAsia"/>
          <w:color w:val="000000"/>
          <w:sz w:val="24"/>
        </w:rPr>
        <w:t>月</w:t>
      </w:r>
      <w:r w:rsidRPr="006635D0">
        <w:rPr>
          <w:rFonts w:eastAsiaTheme="minorEastAsia" w:hint="eastAsia"/>
          <w:color w:val="000000"/>
          <w:sz w:val="24"/>
        </w:rPr>
        <w:t>28</w:t>
      </w:r>
      <w:r w:rsidRPr="006635D0">
        <w:rPr>
          <w:rFonts w:eastAsiaTheme="minorEastAsia" w:hint="eastAsia"/>
          <w:color w:val="000000"/>
          <w:sz w:val="24"/>
        </w:rPr>
        <w:t>日发布的《交银施罗德基金管理有限公司关于交银施罗德境尚收益债券型证券投资基金封闭期结束转为开放式运作暨开放基金日常申购、赎回、定期定额投资业务并参与部分销售机构申购费率优惠活动的公告》。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w:t>
      </w:r>
      <w:r w:rsidRPr="007F52FA">
        <w:rPr>
          <w:rFonts w:eastAsiaTheme="minorEastAsia"/>
          <w:color w:val="000000"/>
          <w:sz w:val="24"/>
        </w:rPr>
        <w:lastRenderedPageBreak/>
        <w:t>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F847E1" w:rsidRDefault="004F27D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47" w:rsidRDefault="00CF1347">
      <w:r>
        <w:separator/>
      </w:r>
    </w:p>
  </w:endnote>
  <w:endnote w:type="continuationSeparator" w:id="0">
    <w:p w:rsidR="00CF1347" w:rsidRDefault="00CF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D58ED">
      <w:rPr>
        <w:noProof/>
        <w:kern w:val="0"/>
        <w:szCs w:val="21"/>
      </w:rPr>
      <w:t>5</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2D58ED">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47" w:rsidRDefault="00CF1347">
      <w:r>
        <w:separator/>
      </w:r>
    </w:p>
  </w:footnote>
  <w:footnote w:type="continuationSeparator" w:id="0">
    <w:p w:rsidR="00CF1347" w:rsidRDefault="00CF1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施罗德境尚收益债券</w:t>
    </w:r>
    <w:proofErr w:type="gramEnd"/>
    <w:r w:rsidRPr="00D3445F">
      <w:rPr>
        <w:rFonts w:eastAsiaTheme="minorEastAsia"/>
        <w:sz w:val="24"/>
      </w:rPr>
      <w:t>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D58ED"/>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60C"/>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7D3"/>
    <w:rsid w:val="004F2EB4"/>
    <w:rsid w:val="004F521C"/>
    <w:rsid w:val="004F5DD3"/>
    <w:rsid w:val="004F7196"/>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35D0"/>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34E0"/>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347"/>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503"/>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3D65"/>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47E1"/>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A553D04-D448-4D4D-AC80-52FC2F82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6635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F50E-71C3-402A-B05E-F3113EE1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234</TotalTime>
  <Pages>15</Pages>
  <Words>1196</Words>
  <Characters>6820</Characters>
  <Application>Microsoft Office Word</Application>
  <DocSecurity>0</DocSecurity>
  <Lines>56</Lines>
  <Paragraphs>15</Paragraphs>
  <ScaleCrop>false</ScaleCrop>
  <Company>TRT. Ltd. Co.</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383</cp:revision>
  <cp:lastPrinted>2007-07-19T00:46:00Z</cp:lastPrinted>
  <dcterms:created xsi:type="dcterms:W3CDTF">2014-01-17T06:19:00Z</dcterms:created>
  <dcterms:modified xsi:type="dcterms:W3CDTF">2019-04-17T08:13:00Z</dcterms:modified>
</cp:coreProperties>
</file>