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交银施罗德沪港深价值精选灵活配置混合型证券投资基金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395,103,975.43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沪深300指数收益率×40%+恒生指数收益率×40%+中证综合债券指数收益率×20%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本基金是一只混合型基金，其风险和预期收益高于债券型基金和货币市场基金，低于股票型基金。属于承担较高风险、预期收益较高的证券投资基金品种。</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8,299,526.71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64,446,240.21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0.1476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449,499,558.18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15.07%</w:t>
            </w:r>
          </w:p>
        </w:tc>
        <w:tc>
          <w:tcPr>
            <w:vAlign w:val="center"/>
          </w:tcPr>
          <w:p>
            <w:pPr>
              <w:jc w:val="center"/>
            </w:pPr>
            <w:r>
              <w:rPr>
                <w:color w:val="000000"/>
                <w:sz w:val="24"/>
                <w:szCs w:val="24"/>
              </w:rPr>
              <w:t>1.02%</w:t>
            </w:r>
          </w:p>
        </w:tc>
        <w:tc>
          <w:tcPr>
            <w:vAlign w:val="center"/>
          </w:tcPr>
          <w:p>
            <w:pPr>
              <w:jc w:val="center"/>
            </w:pPr>
            <w:r>
              <w:rPr>
                <w:color w:val="000000"/>
                <w:sz w:val="24"/>
                <w:szCs w:val="24"/>
              </w:rPr>
              <w:t>16.36%</w:t>
            </w:r>
          </w:p>
        </w:tc>
        <w:tc>
          <w:tcPr>
            <w:vAlign w:val="center"/>
          </w:tcPr>
          <w:p>
            <w:pPr>
              <w:jc w:val="center"/>
            </w:pPr>
            <w:r>
              <w:rPr>
                <w:color w:val="000000"/>
                <w:sz w:val="24"/>
                <w:szCs w:val="24"/>
              </w:rPr>
              <w:t>0.94%</w:t>
            </w:r>
          </w:p>
        </w:tc>
        <w:tc>
          <w:tcPr>
            <w:vAlign w:val="center"/>
          </w:tcPr>
          <w:p>
            <w:pPr>
              <w:jc w:val="center"/>
            </w:pPr>
            <w:r>
              <w:rPr>
                <w:color w:val="000000"/>
                <w:sz w:val="24"/>
                <w:szCs w:val="24"/>
              </w:rPr>
              <w:t>-1.29%</w:t>
            </w:r>
          </w:p>
        </w:tc>
        <w:tc>
          <w:tcPr>
            <w:vAlign w:val="center"/>
          </w:tcPr>
          <w:p>
            <w:pPr>
              <w:jc w:val="center"/>
            </w:pPr>
            <w:r>
              <w:rPr>
                <w:color w:val="000000"/>
                <w:sz w:val="24"/>
                <w:szCs w:val="24"/>
              </w:rPr>
              <w:t>0.08%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陈俊华</w:t>
            </w:r>
          </w:p>
        </w:tc>
        <w:tc>
          <w:tcPr>
            <w:vAlign w:val="center"/>
          </w:tcPr>
          <w:p>
            <w:pPr>
              <w:jc w:val="center"/>
            </w:pPr>
            <w:r>
              <w:rPr>
                <w:color w:val="000000"/>
                <w:sz w:val="24"/>
                <w:szCs w:val="24"/>
              </w:rPr>
              <w:t>交银环球精选混合(QDII)、交银全球资源混合(QDII)、交银沪港深价值精选混合、交银核心资产混合的基金经理，公司跨境投资副总监</w:t>
            </w:r>
          </w:p>
        </w:tc>
        <w:tc>
          <w:tcPr>
            <w:vAlign w:val="center"/>
          </w:tcPr>
          <w:p>
            <w:pPr>
              <w:jc w:val="center"/>
            </w:pPr>
            <w:r>
              <w:rPr>
                <w:color w:val="000000"/>
                <w:sz w:val="24"/>
                <w:szCs w:val="24"/>
              </w:rPr>
              <w:t>2016-11-07</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陈俊华女士，中国国籍，上海交通大学金融学硕士。历任国泰君安证券研究部研究员、中国国际金融有限公司研究部公用事业组负责人。2015年加入交银施罗德基金管理有限公司。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初，美联储宣布放缓加息，全球股票市场呈现上涨态势，尤其新兴市场获得大量资金海外流入。尽管经济数据尚未得到印证，但流动性的边际改善，提升了投资者的风险偏好，带动股价上涨。从结构来看，A股的投资机会较港股更多，一方面，消费龙头受到海外投资者的偏好，显示出北上资金持续增配，部分个股的外资持股比例达到历史新高。另一方面，伴随科创板创立的临近，科技、5G以及人工智能等板块的股票活跃度显著增强。港股方面，作为离岸、配置型投资市场，投资者更关注基本面因素，在盈利预期尚未得到验证之前，交易量平稳，并未出现太多结构性机会。回顾一季度的表现，部分符合我们的预期（A股表现优于港股，机会大于挑战），但A股消费和科技股的股价弹性，超出了我们的预期。</w:t>
      </w:r>
    </w:p>
    <w:p>
      <w:pPr>
        <w:spacing w:before="29" w:line="288" w:lineRule="auto"/>
        <w:ind w:firstLine="480" w:firstLineChars="200"/>
        <w:rPr>
          <w:color w:val="000000"/>
          <w:sz w:val="24"/>
          <w:szCs w:val="24"/>
        </w:rPr>
      </w:pPr>
      <w:r>
        <w:rPr>
          <w:color w:val="000000"/>
          <w:sz w:val="24"/>
          <w:szCs w:val="24"/>
        </w:rPr>
        <w:t>回顾一季度，我们逐步增持了仓位，仓位较多配置在我们看好的地产、消费和科技板块。个股选择方面，我们仍然以基本面为锚，选取盈利增速、财务安全边际较好的行业龙头。</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二季度，我们认为市场对于基本面的关注度会提升。首先，联储明确了加息放缓、缩表暂停的计划，海外流动性改善的动力减缓。短期流动性波动更多来自国内因素。其次，在整体经济运行相对平稳态势下，各行业内的公司分化在加剧，行业基本面难有普遍性的改善预期。行业方面，与年初相比，我们对于地产板块进一步的盈利改善的空间表示谨慎，会加大在消费和科技方面的个股投资。此外，我们对港股较年初更为乐观一些，港股的医药、科技板块经过持续的调整，估值仍在低位，而部分细分子行业的基本面开始出现改善，我们认为未来的投资机会逐步增多。我们将继续勤勉尽责地积极调研，努力为投资人赚取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364,689,899.38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78.57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364,689,899.38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23,877,600.00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5.14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23,877,600.00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5.14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55,413,115.31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11.94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20,173,542.50</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4.35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464,154,157.19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157,638,559.01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28,323,902.94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50,891,495.53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39,649,000.00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3,657,649.25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20,290,000.00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300,450,606.73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66.84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非日常生活消费品</w:t>
            </w:r>
          </w:p>
        </w:tc>
        <w:tc>
          <w:tcPr>
            <w:vAlign w:val="center"/>
          </w:tcPr>
          <w:p>
            <w:pPr>
              <w:jc w:val="center"/>
            </w:pPr>
            <w:r>
              <w:rPr>
                <w:color w:val="000000"/>
                <w:sz w:val="24"/>
              </w:rPr>
              <w:t>19,317,430.80</w:t>
            </w:r>
          </w:p>
        </w:tc>
        <w:tc>
          <w:tcPr>
            <w:vAlign w:val="center"/>
          </w:tcPr>
          <w:p>
            <w:pPr>
              <w:jc w:val="center"/>
            </w:pPr>
            <w:r>
              <w:rPr>
                <w:color w:val="000000"/>
                <w:sz w:val="24"/>
              </w:rPr>
              <w:t>4.30</w:t>
            </w:r>
          </w:p>
        </w:tc>
      </w:tr>
      <w:tr>
        <w:tc>
          <w:tcPr>
            <w:vAlign w:val="center"/>
          </w:tcPr>
          <w:p>
            <w:pPr>
              <w:jc w:val="center"/>
            </w:pPr>
            <w:r>
              <w:rPr>
                <w:color w:val="000000"/>
                <w:sz w:val="24"/>
              </w:rPr>
              <w:t>能源</w:t>
            </w:r>
          </w:p>
        </w:tc>
        <w:tc>
          <w:tcPr>
            <w:vAlign w:val="center"/>
          </w:tcPr>
          <w:p>
            <w:pPr>
              <w:jc w:val="center"/>
            </w:pPr>
            <w:r>
              <w:rPr>
                <w:color w:val="000000"/>
                <w:sz w:val="24"/>
              </w:rPr>
              <w:t>10,619,440.20</w:t>
            </w:r>
          </w:p>
        </w:tc>
        <w:tc>
          <w:tcPr>
            <w:vAlign w:val="center"/>
          </w:tcPr>
          <w:p>
            <w:pPr>
              <w:jc w:val="center"/>
            </w:pPr>
            <w:r>
              <w:rPr>
                <w:color w:val="000000"/>
                <w:sz w:val="24"/>
              </w:rPr>
              <w:t>2.36</w:t>
            </w:r>
          </w:p>
        </w:tc>
      </w:tr>
      <w:tr>
        <w:tc>
          <w:tcPr>
            <w:vAlign w:val="center"/>
          </w:tcPr>
          <w:p>
            <w:pPr>
              <w:jc w:val="center"/>
            </w:pPr>
            <w:r>
              <w:rPr>
                <w:color w:val="000000"/>
                <w:sz w:val="24"/>
              </w:rPr>
              <w:t>金融</w:t>
            </w:r>
          </w:p>
        </w:tc>
        <w:tc>
          <w:tcPr>
            <w:vAlign w:val="center"/>
          </w:tcPr>
          <w:p>
            <w:pPr>
              <w:jc w:val="center"/>
            </w:pPr>
            <w:r>
              <w:rPr>
                <w:color w:val="000000"/>
                <w:sz w:val="24"/>
              </w:rPr>
              <w:t>14,081,480.64</w:t>
            </w:r>
          </w:p>
        </w:tc>
        <w:tc>
          <w:tcPr>
            <w:vAlign w:val="center"/>
          </w:tcPr>
          <w:p>
            <w:pPr>
              <w:jc w:val="center"/>
            </w:pPr>
            <w:r>
              <w:rPr>
                <w:color w:val="000000"/>
                <w:sz w:val="24"/>
              </w:rPr>
              <w:t>3.13</w:t>
            </w:r>
          </w:p>
        </w:tc>
      </w:tr>
      <w:tr>
        <w:tc>
          <w:tcPr>
            <w:vAlign w:val="center"/>
          </w:tcPr>
          <w:p>
            <w:pPr>
              <w:jc w:val="center"/>
            </w:pPr>
            <w:r>
              <w:rPr>
                <w:color w:val="000000"/>
                <w:sz w:val="24"/>
              </w:rPr>
              <w:t>通讯服务</w:t>
            </w:r>
          </w:p>
        </w:tc>
        <w:tc>
          <w:tcPr>
            <w:vAlign w:val="center"/>
          </w:tcPr>
          <w:p>
            <w:pPr>
              <w:jc w:val="center"/>
            </w:pPr>
            <w:r>
              <w:rPr>
                <w:color w:val="000000"/>
                <w:sz w:val="24"/>
              </w:rPr>
              <w:t>20,220,941.01</w:t>
            </w:r>
          </w:p>
        </w:tc>
        <w:tc>
          <w:tcPr>
            <w:vAlign w:val="center"/>
          </w:tcPr>
          <w:p>
            <w:pPr>
              <w:jc w:val="center"/>
            </w:pPr>
            <w:r>
              <w:rPr>
                <w:color w:val="000000"/>
                <w:sz w:val="24"/>
              </w:rPr>
              <w:t>4.50</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lastRenderedPageBreak/>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64,239,292.65</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14.29</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900,000</w:t>
            </w:r>
          </w:p>
        </w:tc>
        <w:tc>
          <w:tcPr>
            <w:vAlign w:val="center"/>
          </w:tcPr>
          <w:p>
            <w:pPr>
              <w:jc w:val="right"/>
            </w:pPr>
            <w:r>
              <w:rPr>
                <w:color w:val="000000"/>
                <w:sz w:val="24"/>
                <w:szCs w:val="24"/>
              </w:rPr>
              <w:t>30,528,000.00</w:t>
            </w:r>
          </w:p>
        </w:tc>
        <w:tc>
          <w:tcPr>
            <w:vAlign w:val="center"/>
          </w:tcPr>
          <w:p>
            <w:pPr>
              <w:jc w:val="right"/>
            </w:pPr>
            <w:r>
              <w:rPr>
                <w:color w:val="000000"/>
                <w:sz w:val="24"/>
                <w:szCs w:val="24"/>
              </w:rPr>
              <w:t>6.79</w:t>
            </w:r>
          </w:p>
        </w:tc>
      </w:tr>
      <w:tr>
        <w:tc>
          <w:tcPr>
            <w:vAlign w:val="center"/>
          </w:tcPr>
          <w:p>
            <w:pPr>
              <w:jc w:val="center"/>
            </w:pPr>
            <w:r>
              <w:rPr>
                <w:color w:val="000000"/>
                <w:sz w:val="24"/>
                <w:szCs w:val="24"/>
              </w:rPr>
              <w:t>2</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1,400,000</w:t>
            </w:r>
          </w:p>
        </w:tc>
        <w:tc>
          <w:tcPr>
            <w:vAlign w:val="center"/>
          </w:tcPr>
          <w:p>
            <w:pPr>
              <w:jc w:val="right"/>
            </w:pPr>
            <w:r>
              <w:rPr>
                <w:color w:val="000000"/>
                <w:sz w:val="24"/>
                <w:szCs w:val="24"/>
              </w:rPr>
              <w:t>20,440,000.00</w:t>
            </w:r>
          </w:p>
        </w:tc>
        <w:tc>
          <w:tcPr>
            <w:vAlign w:val="center"/>
          </w:tcPr>
          <w:p>
            <w:pPr>
              <w:jc w:val="right"/>
            </w:pPr>
            <w:r>
              <w:rPr>
                <w:color w:val="000000"/>
                <w:sz w:val="24"/>
                <w:szCs w:val="24"/>
              </w:rPr>
              <w:t>4.55</w:t>
            </w:r>
          </w:p>
        </w:tc>
      </w:tr>
      <w:tr>
        <w:tc>
          <w:tcPr>
            <w:vAlign w:val="center"/>
          </w:tcPr>
          <w:p>
            <w:pPr>
              <w:jc w:val="center"/>
            </w:pPr>
            <w:r>
              <w:rPr>
                <w:color w:val="000000"/>
                <w:sz w:val="24"/>
                <w:szCs w:val="24"/>
              </w:rPr>
              <w:t>3</w:t>
            </w:r>
          </w:p>
        </w:tc>
        <w:tc>
          <w:tcPr>
            <w:vAlign w:val="center"/>
          </w:tcPr>
          <w:p>
            <w:pPr>
              <w:jc w:val="center"/>
            </w:pPr>
            <w:r>
              <w:rPr>
                <w:color w:val="000000"/>
                <w:sz w:val="24"/>
                <w:szCs w:val="24"/>
              </w:rPr>
              <w:t>H00700</w:t>
            </w:r>
          </w:p>
        </w:tc>
        <w:tc>
          <w:tcPr>
            <w:vAlign w:val="center"/>
          </w:tcPr>
          <w:p>
            <w:pPr>
              <w:jc w:val="center"/>
            </w:pPr>
            <w:r>
              <w:rPr>
                <w:color w:val="000000"/>
                <w:sz w:val="24"/>
                <w:szCs w:val="24"/>
              </w:rPr>
              <w:t>腾讯控股</w:t>
            </w:r>
          </w:p>
        </w:tc>
        <w:tc>
          <w:tcPr>
            <w:vAlign w:val="center"/>
          </w:tcPr>
          <w:p>
            <w:pPr>
              <w:jc w:val="right"/>
            </w:pPr>
            <w:r>
              <w:rPr>
                <w:color w:val="000000"/>
                <w:sz w:val="24"/>
                <w:szCs w:val="24"/>
              </w:rPr>
              <w:t>65,300</w:t>
            </w:r>
          </w:p>
        </w:tc>
        <w:tc>
          <w:tcPr>
            <w:vAlign w:val="center"/>
          </w:tcPr>
          <w:p>
            <w:pPr>
              <w:jc w:val="right"/>
            </w:pPr>
            <w:r>
              <w:rPr>
                <w:color w:val="000000"/>
                <w:sz w:val="24"/>
                <w:szCs w:val="24"/>
              </w:rPr>
              <w:t>20,220,941.01</w:t>
            </w:r>
          </w:p>
        </w:tc>
        <w:tc>
          <w:tcPr>
            <w:vAlign w:val="center"/>
          </w:tcPr>
          <w:p>
            <w:pPr>
              <w:jc w:val="right"/>
            </w:pPr>
            <w:r>
              <w:rPr>
                <w:color w:val="000000"/>
                <w:sz w:val="24"/>
                <w:szCs w:val="24"/>
              </w:rPr>
              <w:t>4.50</w:t>
            </w:r>
          </w:p>
        </w:tc>
      </w:tr>
      <w:tr>
        <w:tc>
          <w:tcPr>
            <w:vAlign w:val="center"/>
          </w:tcPr>
          <w:p>
            <w:pPr>
              <w:jc w:val="center"/>
            </w:pPr>
            <w:r>
              <w:rPr>
                <w:color w:val="000000"/>
                <w:sz w:val="24"/>
                <w:szCs w:val="24"/>
              </w:rPr>
              <w:t>4</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799,939</w:t>
            </w:r>
          </w:p>
        </w:tc>
        <w:tc>
          <w:tcPr>
            <w:vAlign w:val="center"/>
          </w:tcPr>
          <w:p>
            <w:pPr>
              <w:jc w:val="right"/>
            </w:pPr>
            <w:r>
              <w:rPr>
                <w:color w:val="000000"/>
                <w:sz w:val="24"/>
                <w:szCs w:val="24"/>
              </w:rPr>
              <w:t>19,838,487.20</w:t>
            </w:r>
          </w:p>
        </w:tc>
        <w:tc>
          <w:tcPr>
            <w:vAlign w:val="center"/>
          </w:tcPr>
          <w:p>
            <w:pPr>
              <w:jc w:val="right"/>
            </w:pPr>
            <w:r>
              <w:rPr>
                <w:color w:val="000000"/>
                <w:sz w:val="24"/>
                <w:szCs w:val="24"/>
              </w:rPr>
              <w:t>4.41</w:t>
            </w:r>
          </w:p>
        </w:tc>
      </w:tr>
      <w:tr>
        <w:tc>
          <w:tcPr>
            <w:vAlign w:val="center"/>
          </w:tcPr>
          <w:p>
            <w:pPr>
              <w:jc w:val="center"/>
            </w:pPr>
            <w:r>
              <w:rPr>
                <w:color w:val="000000"/>
                <w:sz w:val="24"/>
                <w:szCs w:val="24"/>
              </w:rPr>
              <w:t>5</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250,000</w:t>
            </w:r>
          </w:p>
        </w:tc>
        <w:tc>
          <w:tcPr>
            <w:vAlign w:val="center"/>
          </w:tcPr>
          <w:p>
            <w:pPr>
              <w:jc w:val="right"/>
            </w:pPr>
            <w:r>
              <w:rPr>
                <w:color w:val="000000"/>
                <w:sz w:val="24"/>
                <w:szCs w:val="24"/>
              </w:rPr>
              <w:t>19,275,000.00</w:t>
            </w:r>
          </w:p>
        </w:tc>
        <w:tc>
          <w:tcPr>
            <w:vAlign w:val="center"/>
          </w:tcPr>
          <w:p>
            <w:pPr>
              <w:jc w:val="right"/>
            </w:pPr>
            <w:r>
              <w:rPr>
                <w:color w:val="000000"/>
                <w:sz w:val="24"/>
                <w:szCs w:val="24"/>
              </w:rPr>
              <w:t>4.29</w:t>
            </w:r>
          </w:p>
        </w:tc>
      </w:tr>
      <w:tr>
        <w:tc>
          <w:tcPr>
            <w:vAlign w:val="center"/>
          </w:tcPr>
          <w:p>
            <w:pPr>
              <w:jc w:val="center"/>
            </w:pPr>
            <w:r>
              <w:rPr>
                <w:color w:val="000000"/>
                <w:sz w:val="24"/>
                <w:szCs w:val="24"/>
              </w:rPr>
              <w:t>6</w:t>
            </w:r>
          </w:p>
        </w:tc>
        <w:tc>
          <w:tcPr>
            <w:vAlign w:val="center"/>
          </w:tcPr>
          <w:p>
            <w:pPr>
              <w:jc w:val="center"/>
            </w:pPr>
            <w:r>
              <w:rPr>
                <w:color w:val="000000"/>
                <w:sz w:val="24"/>
                <w:szCs w:val="24"/>
              </w:rPr>
              <w:t>600031</w:t>
            </w:r>
          </w:p>
        </w:tc>
        <w:tc>
          <w:tcPr>
            <w:vAlign w:val="center"/>
          </w:tcPr>
          <w:p>
            <w:pPr>
              <w:jc w:val="center"/>
            </w:pPr>
            <w:r>
              <w:rPr>
                <w:color w:val="000000"/>
                <w:sz w:val="24"/>
                <w:szCs w:val="24"/>
              </w:rPr>
              <w:t>三一重工</w:t>
            </w:r>
          </w:p>
        </w:tc>
        <w:tc>
          <w:tcPr>
            <w:vAlign w:val="center"/>
          </w:tcPr>
          <w:p>
            <w:pPr>
              <w:jc w:val="right"/>
            </w:pPr>
            <w:r>
              <w:rPr>
                <w:color w:val="000000"/>
                <w:sz w:val="24"/>
                <w:szCs w:val="24"/>
              </w:rPr>
              <w:t>1,499,969</w:t>
            </w:r>
          </w:p>
        </w:tc>
        <w:tc>
          <w:tcPr>
            <w:vAlign w:val="center"/>
          </w:tcPr>
          <w:p>
            <w:pPr>
              <w:jc w:val="right"/>
            </w:pPr>
            <w:r>
              <w:rPr>
                <w:color w:val="000000"/>
                <w:sz w:val="24"/>
                <w:szCs w:val="24"/>
              </w:rPr>
              <w:t>19,169,603.82</w:t>
            </w:r>
          </w:p>
        </w:tc>
        <w:tc>
          <w:tcPr>
            <w:vAlign w:val="center"/>
          </w:tcPr>
          <w:p>
            <w:pPr>
              <w:jc w:val="right"/>
            </w:pPr>
            <w:r>
              <w:rPr>
                <w:color w:val="000000"/>
                <w:sz w:val="24"/>
                <w:szCs w:val="24"/>
              </w:rPr>
              <w:t>4.26</w:t>
            </w:r>
          </w:p>
        </w:tc>
      </w:tr>
      <w:tr>
        <w:tc>
          <w:tcPr>
            <w:vAlign w:val="center"/>
          </w:tcPr>
          <w:p>
            <w:pPr>
              <w:jc w:val="center"/>
            </w:pPr>
            <w:r>
              <w:rPr>
                <w:color w:val="000000"/>
                <w:sz w:val="24"/>
                <w:szCs w:val="24"/>
              </w:rPr>
              <w:t>7</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1,000,000</w:t>
            </w:r>
          </w:p>
        </w:tc>
        <w:tc>
          <w:tcPr>
            <w:vAlign w:val="center"/>
          </w:tcPr>
          <w:p>
            <w:pPr>
              <w:jc w:val="right"/>
            </w:pPr>
            <w:r>
              <w:rPr>
                <w:color w:val="000000"/>
                <w:sz w:val="24"/>
                <w:szCs w:val="24"/>
              </w:rPr>
              <w:t>18,590,000.00</w:t>
            </w:r>
          </w:p>
        </w:tc>
        <w:tc>
          <w:tcPr>
            <w:vAlign w:val="center"/>
          </w:tcPr>
          <w:p>
            <w:pPr>
              <w:jc w:val="right"/>
            </w:pPr>
            <w:r>
              <w:rPr>
                <w:color w:val="000000"/>
                <w:sz w:val="24"/>
                <w:szCs w:val="24"/>
              </w:rPr>
              <w:t>4.14</w:t>
            </w:r>
          </w:p>
        </w:tc>
      </w:tr>
      <w:tr>
        <w:tc>
          <w:tcPr>
            <w:vAlign w:val="center"/>
          </w:tcPr>
          <w:p>
            <w:pPr>
              <w:jc w:val="center"/>
            </w:pPr>
            <w:r>
              <w:rPr>
                <w:color w:val="000000"/>
                <w:sz w:val="24"/>
                <w:szCs w:val="24"/>
              </w:rPr>
              <w:t>8</w:t>
            </w:r>
          </w:p>
        </w:tc>
        <w:tc>
          <w:tcPr>
            <w:vAlign w:val="center"/>
          </w:tcPr>
          <w:p>
            <w:pPr>
              <w:jc w:val="center"/>
            </w:pPr>
            <w:r>
              <w:rPr>
                <w:color w:val="000000"/>
                <w:sz w:val="24"/>
                <w:szCs w:val="24"/>
              </w:rPr>
              <w:t>002511</w:t>
            </w:r>
          </w:p>
        </w:tc>
        <w:tc>
          <w:tcPr>
            <w:vAlign w:val="center"/>
          </w:tcPr>
          <w:p>
            <w:pPr>
              <w:jc w:val="center"/>
            </w:pPr>
            <w:r>
              <w:rPr>
                <w:color w:val="000000"/>
                <w:sz w:val="24"/>
                <w:szCs w:val="24"/>
              </w:rPr>
              <w:t>中顺洁柔</w:t>
            </w:r>
          </w:p>
        </w:tc>
        <w:tc>
          <w:tcPr>
            <w:vAlign w:val="center"/>
          </w:tcPr>
          <w:p>
            <w:pPr>
              <w:jc w:val="right"/>
            </w:pPr>
            <w:r>
              <w:rPr>
                <w:color w:val="000000"/>
                <w:sz w:val="24"/>
                <w:szCs w:val="24"/>
              </w:rPr>
              <w:t>1,599,911</w:t>
            </w:r>
          </w:p>
        </w:tc>
        <w:tc>
          <w:tcPr>
            <w:vAlign w:val="center"/>
          </w:tcPr>
          <w:p>
            <w:pPr>
              <w:jc w:val="right"/>
            </w:pPr>
            <w:r>
              <w:rPr>
                <w:color w:val="000000"/>
                <w:sz w:val="24"/>
                <w:szCs w:val="24"/>
              </w:rPr>
              <w:t>15,167,156.28</w:t>
            </w:r>
          </w:p>
        </w:tc>
        <w:tc>
          <w:tcPr>
            <w:vAlign w:val="center"/>
          </w:tcPr>
          <w:p>
            <w:pPr>
              <w:jc w:val="right"/>
            </w:pPr>
            <w:r>
              <w:rPr>
                <w:color w:val="000000"/>
                <w:sz w:val="24"/>
                <w:szCs w:val="24"/>
              </w:rPr>
              <w:t>3.37</w:t>
            </w:r>
          </w:p>
        </w:tc>
      </w:tr>
      <w:tr>
        <w:tc>
          <w:tcPr>
            <w:vAlign w:val="center"/>
          </w:tcPr>
          <w:p>
            <w:pPr>
              <w:jc w:val="center"/>
            </w:pPr>
            <w:r>
              <w:rPr>
                <w:color w:val="000000"/>
                <w:sz w:val="24"/>
                <w:szCs w:val="24"/>
              </w:rPr>
              <w:t>9</w:t>
            </w:r>
          </w:p>
        </w:tc>
        <w:tc>
          <w:tcPr>
            <w:vAlign w:val="center"/>
          </w:tcPr>
          <w:p>
            <w:pPr>
              <w:jc w:val="center"/>
            </w:pPr>
            <w:r>
              <w:rPr>
                <w:color w:val="000000"/>
                <w:sz w:val="24"/>
                <w:szCs w:val="24"/>
              </w:rPr>
              <w:t>001979</w:t>
            </w:r>
          </w:p>
        </w:tc>
        <w:tc>
          <w:tcPr>
            <w:vAlign w:val="center"/>
          </w:tcPr>
          <w:p>
            <w:pPr>
              <w:jc w:val="center"/>
            </w:pPr>
            <w:r>
              <w:rPr>
                <w:color w:val="000000"/>
                <w:sz w:val="24"/>
                <w:szCs w:val="24"/>
              </w:rPr>
              <w:t>招商蛇口</w:t>
            </w:r>
          </w:p>
        </w:tc>
        <w:tc>
          <w:tcPr>
            <w:vAlign w:val="center"/>
          </w:tcPr>
          <w:p>
            <w:pPr>
              <w:jc w:val="right"/>
            </w:pPr>
            <w:r>
              <w:rPr>
                <w:color w:val="000000"/>
                <w:sz w:val="24"/>
                <w:szCs w:val="24"/>
              </w:rPr>
              <w:t>650,000</w:t>
            </w:r>
          </w:p>
        </w:tc>
        <w:tc>
          <w:tcPr>
            <w:vAlign w:val="center"/>
          </w:tcPr>
          <w:p>
            <w:pPr>
              <w:jc w:val="right"/>
            </w:pPr>
            <w:r>
              <w:rPr>
                <w:color w:val="000000"/>
                <w:sz w:val="24"/>
                <w:szCs w:val="24"/>
              </w:rPr>
              <w:t>14,976,000.00</w:t>
            </w:r>
          </w:p>
        </w:tc>
        <w:tc>
          <w:tcPr>
            <w:vAlign w:val="center"/>
          </w:tcPr>
          <w:p>
            <w:pPr>
              <w:jc w:val="right"/>
            </w:pPr>
            <w:r>
              <w:rPr>
                <w:color w:val="000000"/>
                <w:sz w:val="24"/>
                <w:szCs w:val="24"/>
              </w:rPr>
              <w:t>3.33</w:t>
            </w:r>
          </w:p>
        </w:tc>
      </w:tr>
      <w:tr>
        <w:tc>
          <w:tcPr>
            <w:vAlign w:val="center"/>
          </w:tcPr>
          <w:p>
            <w:pPr>
              <w:jc w:val="center"/>
            </w:pPr>
            <w:r>
              <w:rPr>
                <w:color w:val="000000"/>
                <w:sz w:val="24"/>
                <w:szCs w:val="24"/>
              </w:rPr>
              <w:t>10</w:t>
            </w:r>
          </w:p>
        </w:tc>
        <w:tc>
          <w:tcPr>
            <w:vAlign w:val="center"/>
          </w:tcPr>
          <w:p>
            <w:pPr>
              <w:jc w:val="center"/>
            </w:pPr>
            <w:r>
              <w:rPr>
                <w:color w:val="000000"/>
                <w:sz w:val="24"/>
                <w:szCs w:val="24"/>
              </w:rPr>
              <w:t>H00388</w:t>
            </w:r>
          </w:p>
        </w:tc>
        <w:tc>
          <w:tcPr>
            <w:vAlign w:val="center"/>
          </w:tcPr>
          <w:p>
            <w:pPr>
              <w:jc w:val="center"/>
            </w:pPr>
            <w:r>
              <w:rPr>
                <w:color w:val="000000"/>
                <w:sz w:val="24"/>
                <w:szCs w:val="24"/>
              </w:rPr>
              <w:t>香港交易所</w:t>
            </w:r>
          </w:p>
        </w:tc>
        <w:tc>
          <w:tcPr>
            <w:vAlign w:val="center"/>
          </w:tcPr>
          <w:p>
            <w:pPr>
              <w:jc w:val="right"/>
            </w:pPr>
            <w:r>
              <w:rPr>
                <w:color w:val="000000"/>
                <w:sz w:val="24"/>
                <w:szCs w:val="24"/>
              </w:rPr>
              <w:t>60,000</w:t>
            </w:r>
          </w:p>
        </w:tc>
        <w:tc>
          <w:tcPr>
            <w:vAlign w:val="center"/>
          </w:tcPr>
          <w:p>
            <w:pPr>
              <w:jc w:val="right"/>
            </w:pPr>
            <w:r>
              <w:rPr>
                <w:color w:val="000000"/>
                <w:sz w:val="24"/>
                <w:szCs w:val="24"/>
              </w:rPr>
              <w:t>14,081,480.64</w:t>
            </w:r>
          </w:p>
        </w:tc>
        <w:tc>
          <w:tcPr>
            <w:vAlign w:val="center"/>
          </w:tcPr>
          <w:p>
            <w:pPr>
              <w:jc w:val="right"/>
            </w:pPr>
            <w:r>
              <w:rPr>
                <w:color w:val="000000"/>
                <w:sz w:val="24"/>
                <w:szCs w:val="24"/>
              </w:rPr>
              <w:t>3.13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23,877,600.00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23,877,600.00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199908</w:t>
            </w:r>
          </w:p>
        </w:tc>
        <w:tc>
          <w:tcPr>
            <w:vAlign w:val="center"/>
          </w:tcPr>
          <w:p>
            <w:pPr>
              <w:jc w:val="center"/>
            </w:pPr>
            <w:r>
              <w:rPr>
                <w:color w:val="000000"/>
                <w:sz w:val="24"/>
                <w:szCs w:val="24"/>
              </w:rPr>
              <w:t>19贴现国债08</w:t>
            </w:r>
          </w:p>
        </w:tc>
        <w:tc>
          <w:tcPr>
            <w:vAlign w:val="center"/>
          </w:tcPr>
          <w:p>
            <w:pPr>
              <w:jc w:val="right"/>
            </w:pPr>
            <w:r>
              <w:rPr>
                <w:color w:val="000000"/>
                <w:sz w:val="24"/>
                <w:szCs w:val="24"/>
              </w:rPr>
              <w:t>240,000</w:t>
            </w:r>
          </w:p>
        </w:tc>
        <w:tc>
          <w:tcPr>
            <w:vAlign w:val="center"/>
          </w:tcPr>
          <w:p>
            <w:pPr>
              <w:jc w:val="right"/>
            </w:pPr>
            <w:r>
              <w:rPr>
                <w:color w:val="000000"/>
                <w:sz w:val="24"/>
                <w:szCs w:val="24"/>
              </w:rPr>
              <w:t>23,877,600.00</w:t>
            </w:r>
          </w:p>
        </w:tc>
        <w:tc>
          <w:tcPr>
            <w:vAlign w:val="center"/>
          </w:tcPr>
          <w:p>
            <w:pPr>
              <w:jc w:val="right"/>
            </w:pPr>
            <w:r>
              <w:rPr>
                <w:color w:val="000000"/>
                <w:sz w:val="24"/>
                <w:szCs w:val="24"/>
              </w:rPr>
              <w:t>5.31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943,182.50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19,037,672.40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49,998.02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142,689.58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20,173,542.50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452,307,574.66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5,650,022.99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62,853,622.22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395,103,975.43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2019/1/1-2019/3/31</w:t>
            </w:r>
          </w:p>
        </w:tc>
        <w:tc>
          <w:tcPr>
            <w:vAlign w:val="center"/>
          </w:tcPr>
          <w:p>
            <w:pPr>
              <w:jc w:val="center"/>
            </w:pPr>
            <w:r>
              <w:rPr>
                <w:rFonts w:ascii="宋体" w:hAnsi="宋体"/>
                <w:color w:val="000000"/>
                <w:kern w:val="0"/>
              </w:rPr>
              <w:t>156,993,386.51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156,993,386.51</w:t>
            </w:r>
          </w:p>
        </w:tc>
        <w:tc>
          <w:tcPr>
            <w:vAlign w:val="center"/>
          </w:tcPr>
          <w:p>
            <w:pPr>
              <w:jc w:val="center"/>
            </w:pPr>
            <w:r>
              <w:rPr>
                <w:rFonts w:ascii="宋体" w:hAnsi="宋体"/>
                <w:color w:val="000000"/>
                <w:kern w:val="0"/>
              </w:rPr>
              <w:t>39.73%</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1、中国证监会准予交银施罗德沪港深价值精选灵活配置混合型证券投资基金募集注册的文件；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2、《交银施罗德沪港深价值精选灵活配置混合型证券投资基金基金合同》；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3、《交银施罗德沪港深价值精选灵活配置混合型证券投资基金招募说明书》；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4、《交银施罗德沪港深价值精选灵活配置混合型证券投资基金托管协议》；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5、关于申请募集注册交银施罗德沪港深价值精选灵活配置混合型证券投资基金的法律意见书；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8、报告期内交银施罗德沪港深价值精选灵活配置混合型证券投资基金在指定报刊上各项公告的原稿。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交银施罗德沪港深价值精选灵活配置混合型证券投资基金2019年第1季度报告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