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交银施罗德丰盈收益债券型证券投资基金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交银丰盈收益债券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契约型，本基金在基金合同生效之日起三年（含三年）的期间内封闭式运作（按照基金合同的约定提前转换基金运作方式的除外），封闭期结束后转为开放式运作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8</w:t>
            </w:r>
            <w:r w:rsidRPr="00E25C2A">
              <w:rPr>
                <w:sz w:val="24"/>
              </w:rPr>
              <w:t>月</w:t>
            </w:r>
            <w:r w:rsidRPr="00E25C2A">
              <w:rPr>
                <w:sz w:val="24"/>
              </w:rPr>
              <w:t>11</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30,973,662.51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交银丰盈收益债券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交银丰盈收益债券</w:t>
            </w:r>
            <w:r w:rsidRPr="00E25C2A">
              <w:rPr>
                <w:sz w:val="24"/>
              </w:rPr>
              <w:t>C</w:t>
            </w:r>
          </w:p>
        </w:tc>
      </w:tr>
      <w:tr w:rsidR="009511B7" w:rsidRPr="008B2C7A" w:rsidTr="0084545B">
        <w:tc>
          <w:tcPr>
            <w:tcW w:w="3119" w:type="dxa"/>
            <w:vAlign w:val="center"/>
          </w:tcPr>
          <w:p w:rsidR="009511B7" w:rsidRDefault="009511B7" w:rsidP="007F12B1">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7F12B1">
            <w:pPr>
              <w:adjustRightInd w:val="0"/>
              <w:spacing w:before="29" w:line="288" w:lineRule="auto"/>
              <w:ind w:left="17"/>
              <w:jc w:val="left"/>
              <w:rPr>
                <w:color w:val="000000"/>
                <w:sz w:val="24"/>
              </w:rPr>
            </w:pPr>
          </w:p>
        </w:tc>
        <w:tc>
          <w:tcPr>
            <w:tcW w:w="2977" w:type="dxa"/>
            <w:vAlign w:val="center"/>
          </w:tcPr>
          <w:p w:rsidR="009511B7" w:rsidRPr="000E4C40" w:rsidRDefault="009511B7" w:rsidP="007F12B1">
            <w:pPr>
              <w:spacing w:before="29" w:line="288" w:lineRule="auto"/>
              <w:jc w:val="left"/>
              <w:rPr>
                <w:sz w:val="24"/>
              </w:rPr>
            </w:pPr>
            <w:r w:rsidRPr="000E4C40">
              <w:rPr>
                <w:sz w:val="24"/>
              </w:rPr>
              <w:t>519740</w:t>
            </w:r>
          </w:p>
        </w:tc>
        <w:tc>
          <w:tcPr>
            <w:tcW w:w="2902" w:type="dxa"/>
            <w:vAlign w:val="center"/>
          </w:tcPr>
          <w:p w:rsidR="009511B7" w:rsidRPr="000E4C40" w:rsidRDefault="009511B7" w:rsidP="007F12B1">
            <w:pPr>
              <w:spacing w:before="29" w:line="288" w:lineRule="auto"/>
              <w:jc w:val="left"/>
              <w:rPr>
                <w:sz w:val="24"/>
              </w:rPr>
            </w:pPr>
            <w:r w:rsidRPr="000E4C40">
              <w:rPr>
                <w:sz w:val="24"/>
              </w:rPr>
              <w:t>005025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27,161,445.45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3,812,217.06</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追求在有效控制风险的前提下，力争为基金资产获得稳健的投资收益和超额回报。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D06AA7" w:rsidRDefault="007F12B1">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D06AA7" w:rsidRDefault="00D06AA7">
            <w:pPr>
              <w:spacing w:before="29" w:line="288" w:lineRule="auto"/>
              <w:rPr>
                <w:sz w:val="24"/>
              </w:rPr>
            </w:pP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开放期内投资策略：本基金充分发挥基金管理人的研究优势，融合规范化的基本面研究和严谨的信用分析，在分析和判断宏观经济运行状况和金融市场运行趋势的</w:t>
            </w:r>
            <w:r w:rsidRPr="00CF0C3D">
              <w:rPr>
                <w:sz w:val="24"/>
              </w:rPr>
              <w:lastRenderedPageBreak/>
              <w:t>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D06AA7" w:rsidRDefault="007F12B1">
            <w:pPr>
              <w:spacing w:before="29" w:line="288" w:lineRule="auto"/>
              <w:rPr>
                <w:sz w:val="24"/>
              </w:rPr>
            </w:pPr>
            <w:r>
              <w:rPr>
                <w:sz w:val="24"/>
              </w:rPr>
              <w:t>封闭期内业绩比较基准：三年期银行定期存款税后收益率</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交银丰盈收益债券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844,896.49</w:t>
            </w:r>
          </w:p>
        </w:tc>
        <w:tc>
          <w:tcPr>
            <w:tcW w:w="688" w:type="pct"/>
            <w:vAlign w:val="center"/>
          </w:tcPr>
          <w:p w:rsidR="00B44DBC" w:rsidRPr="00A942AC" w:rsidRDefault="00B44DBC" w:rsidP="00674CBD">
            <w:pPr>
              <w:spacing w:before="29" w:line="288" w:lineRule="auto"/>
              <w:jc w:val="right"/>
              <w:rPr>
                <w:szCs w:val="21"/>
              </w:rPr>
            </w:pPr>
            <w:r w:rsidRPr="00A942AC">
              <w:rPr>
                <w:szCs w:val="21"/>
              </w:rPr>
              <w:t>306,512.83</w:t>
            </w:r>
          </w:p>
        </w:tc>
        <w:tc>
          <w:tcPr>
            <w:tcW w:w="687" w:type="pct"/>
            <w:vAlign w:val="center"/>
          </w:tcPr>
          <w:p w:rsidR="00B44DBC" w:rsidRPr="00A942AC" w:rsidRDefault="00B44DBC" w:rsidP="00674CBD">
            <w:pPr>
              <w:spacing w:before="29" w:line="288" w:lineRule="auto"/>
              <w:jc w:val="right"/>
              <w:rPr>
                <w:szCs w:val="21"/>
              </w:rPr>
            </w:pPr>
            <w:r w:rsidRPr="00A942AC">
              <w:rPr>
                <w:szCs w:val="21"/>
              </w:rPr>
              <w:t>7,200,032.84</w:t>
            </w:r>
          </w:p>
        </w:tc>
        <w:tc>
          <w:tcPr>
            <w:tcW w:w="688" w:type="pct"/>
            <w:vAlign w:val="center"/>
          </w:tcPr>
          <w:p w:rsidR="00B44DBC" w:rsidRPr="00A942AC" w:rsidRDefault="00B44DBC" w:rsidP="00674CBD">
            <w:pPr>
              <w:spacing w:before="29" w:line="288" w:lineRule="auto"/>
              <w:jc w:val="right"/>
              <w:rPr>
                <w:szCs w:val="21"/>
              </w:rPr>
            </w:pPr>
            <w:r w:rsidRPr="00A942AC">
              <w:rPr>
                <w:szCs w:val="21"/>
              </w:rPr>
              <w:t>206.16</w:t>
            </w:r>
          </w:p>
        </w:tc>
        <w:tc>
          <w:tcPr>
            <w:tcW w:w="762" w:type="pct"/>
            <w:vAlign w:val="center"/>
          </w:tcPr>
          <w:p w:rsidR="00B44DBC" w:rsidRPr="00A942AC" w:rsidRDefault="00B44DBC" w:rsidP="00674CBD">
            <w:pPr>
              <w:spacing w:before="29" w:line="288" w:lineRule="auto"/>
              <w:jc w:val="right"/>
              <w:rPr>
                <w:szCs w:val="21"/>
              </w:rPr>
            </w:pPr>
            <w:r w:rsidRPr="00A942AC">
              <w:rPr>
                <w:szCs w:val="21"/>
              </w:rPr>
              <w:t>43,325,313.03</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1,357,871.14</w:t>
            </w:r>
          </w:p>
        </w:tc>
        <w:tc>
          <w:tcPr>
            <w:tcW w:w="688" w:type="pct"/>
            <w:vAlign w:val="center"/>
          </w:tcPr>
          <w:p w:rsidR="00B44DBC" w:rsidRPr="00A942AC" w:rsidRDefault="00B44DBC" w:rsidP="00674CBD">
            <w:pPr>
              <w:spacing w:before="29" w:line="288" w:lineRule="auto"/>
              <w:jc w:val="right"/>
              <w:rPr>
                <w:szCs w:val="21"/>
              </w:rPr>
            </w:pPr>
            <w:r w:rsidRPr="00A942AC">
              <w:rPr>
                <w:szCs w:val="21"/>
              </w:rPr>
              <w:t>172,247.79</w:t>
            </w:r>
          </w:p>
        </w:tc>
        <w:tc>
          <w:tcPr>
            <w:tcW w:w="687" w:type="pct"/>
            <w:vAlign w:val="center"/>
          </w:tcPr>
          <w:p w:rsidR="00B44DBC" w:rsidRPr="00A942AC" w:rsidRDefault="00B44DBC" w:rsidP="00674CBD">
            <w:pPr>
              <w:spacing w:before="29" w:line="288" w:lineRule="auto"/>
              <w:jc w:val="right"/>
              <w:rPr>
                <w:szCs w:val="21"/>
              </w:rPr>
            </w:pPr>
            <w:r w:rsidRPr="00A942AC">
              <w:rPr>
                <w:szCs w:val="21"/>
              </w:rPr>
              <w:t>8,391,293.50</w:t>
            </w:r>
          </w:p>
        </w:tc>
        <w:tc>
          <w:tcPr>
            <w:tcW w:w="688" w:type="pct"/>
            <w:vAlign w:val="center"/>
          </w:tcPr>
          <w:p w:rsidR="00B44DBC" w:rsidRPr="00A942AC" w:rsidRDefault="00B44DBC" w:rsidP="00674CBD">
            <w:pPr>
              <w:spacing w:before="29" w:line="288" w:lineRule="auto"/>
              <w:jc w:val="right"/>
              <w:rPr>
                <w:szCs w:val="21"/>
              </w:rPr>
            </w:pPr>
            <w:r w:rsidRPr="00A942AC">
              <w:rPr>
                <w:szCs w:val="21"/>
              </w:rPr>
              <w:t>144.27</w:t>
            </w:r>
          </w:p>
        </w:tc>
        <w:tc>
          <w:tcPr>
            <w:tcW w:w="762" w:type="pct"/>
            <w:vAlign w:val="center"/>
          </w:tcPr>
          <w:p w:rsidR="00B44DBC" w:rsidRPr="00A942AC" w:rsidRDefault="00B44DBC" w:rsidP="00674CBD">
            <w:pPr>
              <w:spacing w:before="29" w:line="288" w:lineRule="auto"/>
              <w:jc w:val="right"/>
              <w:rPr>
                <w:szCs w:val="21"/>
              </w:rPr>
            </w:pPr>
            <w:r w:rsidRPr="00A942AC">
              <w:rPr>
                <w:szCs w:val="21"/>
              </w:rPr>
              <w:t>18,470,689.60</w:t>
            </w:r>
          </w:p>
        </w:tc>
        <w:tc>
          <w:tcPr>
            <w:tcW w:w="666" w:type="pct"/>
            <w:vAlign w:val="center"/>
          </w:tcPr>
          <w:p w:rsidR="00B44DBC" w:rsidRPr="00A942AC" w:rsidRDefault="00B44DBC" w:rsidP="00674CBD">
            <w:pPr>
              <w:spacing w:before="29" w:line="288" w:lineRule="auto"/>
              <w:jc w:val="right"/>
              <w:rPr>
                <w:szCs w:val="21"/>
              </w:rPr>
            </w:pPr>
            <w:r w:rsidRPr="00A942AC">
              <w:rPr>
                <w:szCs w:val="21"/>
              </w:rPr>
              <w:t>-</w:t>
            </w:r>
          </w:p>
        </w:tc>
      </w:tr>
      <w:tr w:rsidR="008C42FD" w:rsidRPr="00A942AC" w:rsidTr="009E2529">
        <w:tc>
          <w:tcPr>
            <w:tcW w:w="822" w:type="pct"/>
            <w:vAlign w:val="center"/>
          </w:tcPr>
          <w:p w:rsidR="008C42FD" w:rsidRPr="00E52F9F" w:rsidRDefault="008C42FD" w:rsidP="007F12B1">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7F12B1">
            <w:pPr>
              <w:spacing w:before="29" w:line="288" w:lineRule="auto"/>
              <w:jc w:val="right"/>
              <w:rPr>
                <w:szCs w:val="21"/>
              </w:rPr>
            </w:pPr>
            <w:r w:rsidRPr="00E52F9F">
              <w:rPr>
                <w:szCs w:val="21"/>
              </w:rPr>
              <w:t>0.0367</w:t>
            </w:r>
          </w:p>
        </w:tc>
        <w:tc>
          <w:tcPr>
            <w:tcW w:w="688" w:type="pct"/>
            <w:vAlign w:val="center"/>
          </w:tcPr>
          <w:p w:rsidR="008C42FD" w:rsidRPr="00E52F9F" w:rsidRDefault="008C42FD" w:rsidP="007F12B1">
            <w:pPr>
              <w:spacing w:before="29" w:line="288" w:lineRule="auto"/>
              <w:jc w:val="right"/>
              <w:rPr>
                <w:szCs w:val="21"/>
              </w:rPr>
            </w:pPr>
            <w:r w:rsidRPr="00E52F9F">
              <w:rPr>
                <w:szCs w:val="21"/>
              </w:rPr>
              <w:t>0.0153</w:t>
            </w:r>
          </w:p>
        </w:tc>
        <w:tc>
          <w:tcPr>
            <w:tcW w:w="687" w:type="pct"/>
            <w:vAlign w:val="center"/>
          </w:tcPr>
          <w:p w:rsidR="008C42FD" w:rsidRPr="00E52F9F" w:rsidRDefault="008C42FD" w:rsidP="007F12B1">
            <w:pPr>
              <w:spacing w:before="29" w:line="288" w:lineRule="auto"/>
              <w:jc w:val="right"/>
              <w:rPr>
                <w:szCs w:val="21"/>
              </w:rPr>
            </w:pPr>
            <w:r w:rsidRPr="00E52F9F">
              <w:rPr>
                <w:szCs w:val="21"/>
              </w:rPr>
              <w:t>0.0239</w:t>
            </w:r>
          </w:p>
        </w:tc>
        <w:tc>
          <w:tcPr>
            <w:tcW w:w="688" w:type="pct"/>
            <w:vAlign w:val="center"/>
          </w:tcPr>
          <w:p w:rsidR="008C42FD" w:rsidRPr="00E52F9F" w:rsidRDefault="008C42FD" w:rsidP="007F12B1">
            <w:pPr>
              <w:spacing w:before="29" w:line="288" w:lineRule="auto"/>
              <w:jc w:val="right"/>
              <w:rPr>
                <w:szCs w:val="21"/>
              </w:rPr>
            </w:pPr>
            <w:r w:rsidRPr="00E52F9F">
              <w:rPr>
                <w:szCs w:val="21"/>
              </w:rPr>
              <w:t>0.0057</w:t>
            </w:r>
          </w:p>
        </w:tc>
        <w:tc>
          <w:tcPr>
            <w:tcW w:w="762" w:type="pct"/>
            <w:vAlign w:val="center"/>
          </w:tcPr>
          <w:p w:rsidR="008C42FD" w:rsidRPr="00E52F9F" w:rsidRDefault="008C42FD" w:rsidP="007F12B1">
            <w:pPr>
              <w:spacing w:before="29" w:line="288" w:lineRule="auto"/>
              <w:jc w:val="right"/>
              <w:rPr>
                <w:szCs w:val="21"/>
              </w:rPr>
            </w:pPr>
            <w:r w:rsidRPr="00E52F9F">
              <w:rPr>
                <w:szCs w:val="21"/>
              </w:rPr>
              <w:t>0.0362</w:t>
            </w:r>
          </w:p>
        </w:tc>
        <w:tc>
          <w:tcPr>
            <w:tcW w:w="666" w:type="pct"/>
            <w:vAlign w:val="center"/>
          </w:tcPr>
          <w:p w:rsidR="008C42FD" w:rsidRPr="00E52F9F" w:rsidRDefault="008C42FD" w:rsidP="007F12B1">
            <w:pPr>
              <w:spacing w:before="29" w:line="288" w:lineRule="auto"/>
              <w:jc w:val="right"/>
              <w:rPr>
                <w:szCs w:val="21"/>
              </w:rPr>
            </w:pPr>
            <w:r w:rsidRPr="00E52F9F">
              <w:rPr>
                <w:szCs w:val="21"/>
              </w:rPr>
              <w:t>-</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3.39%</w:t>
            </w:r>
          </w:p>
        </w:tc>
        <w:tc>
          <w:tcPr>
            <w:tcW w:w="688" w:type="pct"/>
            <w:vAlign w:val="center"/>
          </w:tcPr>
          <w:p w:rsidR="00A62AD8" w:rsidRPr="00A942AC" w:rsidRDefault="00A62AD8" w:rsidP="00674CBD">
            <w:pPr>
              <w:spacing w:before="29" w:line="288" w:lineRule="auto"/>
              <w:jc w:val="right"/>
              <w:rPr>
                <w:szCs w:val="21"/>
              </w:rPr>
            </w:pPr>
            <w:r w:rsidRPr="00A942AC">
              <w:rPr>
                <w:szCs w:val="21"/>
              </w:rPr>
              <w:t>7.86%</w:t>
            </w:r>
          </w:p>
        </w:tc>
        <w:tc>
          <w:tcPr>
            <w:tcW w:w="687" w:type="pct"/>
            <w:vAlign w:val="center"/>
          </w:tcPr>
          <w:p w:rsidR="00A62AD8" w:rsidRPr="00A942AC" w:rsidRDefault="00A62AD8" w:rsidP="00674CBD">
            <w:pPr>
              <w:spacing w:before="29" w:line="288" w:lineRule="auto"/>
              <w:jc w:val="right"/>
              <w:rPr>
                <w:szCs w:val="21"/>
              </w:rPr>
            </w:pPr>
            <w:r w:rsidRPr="00A942AC">
              <w:rPr>
                <w:szCs w:val="21"/>
              </w:rPr>
              <w:t>2.18%</w:t>
            </w:r>
          </w:p>
        </w:tc>
        <w:tc>
          <w:tcPr>
            <w:tcW w:w="688" w:type="pct"/>
            <w:vAlign w:val="center"/>
          </w:tcPr>
          <w:p w:rsidR="00A62AD8" w:rsidRPr="00A942AC" w:rsidRDefault="00A62AD8" w:rsidP="00674CBD">
            <w:pPr>
              <w:spacing w:before="29" w:line="288" w:lineRule="auto"/>
              <w:jc w:val="right"/>
              <w:rPr>
                <w:szCs w:val="21"/>
              </w:rPr>
            </w:pPr>
            <w:r w:rsidRPr="00A942AC">
              <w:rPr>
                <w:szCs w:val="21"/>
              </w:rPr>
              <w:t>3.10%</w:t>
            </w:r>
          </w:p>
        </w:tc>
        <w:tc>
          <w:tcPr>
            <w:tcW w:w="762" w:type="pct"/>
            <w:vAlign w:val="center"/>
          </w:tcPr>
          <w:p w:rsidR="00A62AD8" w:rsidRPr="00A942AC" w:rsidRDefault="00A62AD8" w:rsidP="00674CBD">
            <w:pPr>
              <w:spacing w:before="29" w:line="288" w:lineRule="auto"/>
              <w:jc w:val="right"/>
              <w:rPr>
                <w:szCs w:val="21"/>
              </w:rPr>
            </w:pPr>
            <w:r w:rsidRPr="00A942AC">
              <w:rPr>
                <w:szCs w:val="21"/>
              </w:rPr>
              <w:t>3.42%</w:t>
            </w:r>
          </w:p>
        </w:tc>
        <w:tc>
          <w:tcPr>
            <w:tcW w:w="666" w:type="pct"/>
            <w:vAlign w:val="center"/>
          </w:tcPr>
          <w:p w:rsidR="00A62AD8" w:rsidRPr="00A942AC" w:rsidRDefault="00A62AD8" w:rsidP="00674CBD">
            <w:pPr>
              <w:spacing w:before="29" w:line="288" w:lineRule="auto"/>
              <w:jc w:val="right"/>
              <w:rPr>
                <w:szCs w:val="21"/>
              </w:rPr>
            </w:pPr>
            <w:r w:rsidRPr="00A942AC">
              <w:rPr>
                <w:szCs w:val="21"/>
              </w:rPr>
              <w:t>-</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交银丰盈收益债券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0.060</w:t>
            </w:r>
          </w:p>
        </w:tc>
        <w:tc>
          <w:tcPr>
            <w:tcW w:w="687" w:type="pct"/>
            <w:vAlign w:val="center"/>
          </w:tcPr>
          <w:p w:rsidR="00B44DBC" w:rsidRPr="00A942AC" w:rsidRDefault="00B44DBC" w:rsidP="00674CBD">
            <w:pPr>
              <w:spacing w:before="29" w:line="288" w:lineRule="auto"/>
              <w:jc w:val="right"/>
              <w:rPr>
                <w:szCs w:val="21"/>
              </w:rPr>
            </w:pPr>
            <w:r w:rsidRPr="00A942AC">
              <w:rPr>
                <w:szCs w:val="21"/>
              </w:rPr>
              <w:t>0.105</w:t>
            </w:r>
          </w:p>
        </w:tc>
        <w:tc>
          <w:tcPr>
            <w:tcW w:w="687" w:type="pct"/>
            <w:vAlign w:val="center"/>
          </w:tcPr>
          <w:p w:rsidR="00B44DBC" w:rsidRPr="00A942AC" w:rsidRDefault="00B44DBC" w:rsidP="00674CBD">
            <w:pPr>
              <w:spacing w:before="29" w:line="288" w:lineRule="auto"/>
              <w:jc w:val="right"/>
              <w:rPr>
                <w:szCs w:val="21"/>
              </w:rPr>
            </w:pPr>
            <w:r w:rsidRPr="00A942AC">
              <w:rPr>
                <w:szCs w:val="21"/>
              </w:rPr>
              <w:t>0.032</w:t>
            </w:r>
          </w:p>
        </w:tc>
        <w:tc>
          <w:tcPr>
            <w:tcW w:w="687" w:type="pct"/>
            <w:vAlign w:val="center"/>
          </w:tcPr>
          <w:p w:rsidR="00B44DBC" w:rsidRPr="00A942AC" w:rsidRDefault="00B44DBC" w:rsidP="00674CBD">
            <w:pPr>
              <w:spacing w:before="29" w:line="288" w:lineRule="auto"/>
              <w:jc w:val="right"/>
              <w:rPr>
                <w:szCs w:val="21"/>
              </w:rPr>
            </w:pPr>
            <w:r w:rsidRPr="00A942AC">
              <w:rPr>
                <w:szCs w:val="21"/>
              </w:rPr>
              <w:t>0.031</w:t>
            </w:r>
          </w:p>
        </w:tc>
        <w:tc>
          <w:tcPr>
            <w:tcW w:w="764" w:type="pct"/>
            <w:vAlign w:val="center"/>
          </w:tcPr>
          <w:p w:rsidR="00B44DBC" w:rsidRPr="00A942AC" w:rsidRDefault="00B44DBC" w:rsidP="00674CBD">
            <w:pPr>
              <w:spacing w:before="29" w:line="288" w:lineRule="auto"/>
              <w:jc w:val="right"/>
              <w:rPr>
                <w:szCs w:val="21"/>
              </w:rPr>
            </w:pPr>
            <w:r w:rsidRPr="00A942AC">
              <w:rPr>
                <w:szCs w:val="21"/>
              </w:rPr>
              <w:t>0.010</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28,971,745.72</w:t>
            </w:r>
          </w:p>
        </w:tc>
        <w:tc>
          <w:tcPr>
            <w:tcW w:w="687" w:type="pct"/>
            <w:vAlign w:val="center"/>
          </w:tcPr>
          <w:p w:rsidR="00B44DBC" w:rsidRPr="00A942AC" w:rsidRDefault="00B44DBC" w:rsidP="00674CBD">
            <w:pPr>
              <w:spacing w:before="29" w:line="288" w:lineRule="auto"/>
              <w:jc w:val="right"/>
              <w:rPr>
                <w:szCs w:val="21"/>
              </w:rPr>
            </w:pPr>
            <w:r w:rsidRPr="00A942AC">
              <w:rPr>
                <w:szCs w:val="21"/>
              </w:rPr>
              <w:t>4,240,353.23</w:t>
            </w:r>
          </w:p>
        </w:tc>
        <w:tc>
          <w:tcPr>
            <w:tcW w:w="687" w:type="pct"/>
            <w:vAlign w:val="center"/>
          </w:tcPr>
          <w:p w:rsidR="00B44DBC" w:rsidRPr="00A942AC" w:rsidRDefault="00B44DBC" w:rsidP="00674CBD">
            <w:pPr>
              <w:spacing w:before="29" w:line="288" w:lineRule="auto"/>
              <w:jc w:val="right"/>
              <w:rPr>
                <w:szCs w:val="21"/>
              </w:rPr>
            </w:pPr>
            <w:r w:rsidRPr="00A942AC">
              <w:rPr>
                <w:szCs w:val="21"/>
              </w:rPr>
              <w:t>63,101,918.66</w:t>
            </w:r>
          </w:p>
        </w:tc>
        <w:tc>
          <w:tcPr>
            <w:tcW w:w="687" w:type="pct"/>
            <w:vAlign w:val="center"/>
          </w:tcPr>
          <w:p w:rsidR="00B44DBC" w:rsidRPr="00A942AC" w:rsidRDefault="00B44DBC" w:rsidP="00674CBD">
            <w:pPr>
              <w:spacing w:before="29" w:line="288" w:lineRule="auto"/>
              <w:jc w:val="right"/>
              <w:rPr>
                <w:szCs w:val="21"/>
              </w:rPr>
            </w:pPr>
            <w:r w:rsidRPr="00A942AC">
              <w:rPr>
                <w:szCs w:val="21"/>
              </w:rPr>
              <w:t>23,517.85</w:t>
            </w:r>
          </w:p>
        </w:tc>
        <w:tc>
          <w:tcPr>
            <w:tcW w:w="764" w:type="pct"/>
            <w:vAlign w:val="center"/>
          </w:tcPr>
          <w:p w:rsidR="00B44DBC" w:rsidRPr="00A942AC" w:rsidRDefault="00B44DBC" w:rsidP="00674CBD">
            <w:pPr>
              <w:spacing w:before="29" w:line="288" w:lineRule="auto"/>
              <w:jc w:val="right"/>
              <w:rPr>
                <w:szCs w:val="21"/>
              </w:rPr>
            </w:pPr>
            <w:r w:rsidRPr="00A942AC">
              <w:rPr>
                <w:szCs w:val="21"/>
              </w:rPr>
              <w:t>515,584,299.28</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1.067</w:t>
            </w:r>
          </w:p>
        </w:tc>
        <w:tc>
          <w:tcPr>
            <w:tcW w:w="687" w:type="pct"/>
            <w:vAlign w:val="center"/>
          </w:tcPr>
          <w:p w:rsidR="00B44DBC" w:rsidRPr="00A942AC" w:rsidRDefault="00B44DBC" w:rsidP="00674CBD">
            <w:pPr>
              <w:spacing w:before="29" w:line="288" w:lineRule="auto"/>
              <w:jc w:val="right"/>
              <w:rPr>
                <w:szCs w:val="21"/>
              </w:rPr>
            </w:pPr>
            <w:r w:rsidRPr="00A942AC">
              <w:rPr>
                <w:szCs w:val="21"/>
              </w:rPr>
              <w:t>1.112</w:t>
            </w:r>
          </w:p>
        </w:tc>
        <w:tc>
          <w:tcPr>
            <w:tcW w:w="687" w:type="pct"/>
            <w:vAlign w:val="center"/>
          </w:tcPr>
          <w:p w:rsidR="00B44DBC" w:rsidRPr="00A942AC" w:rsidRDefault="00B44DBC" w:rsidP="00674CBD">
            <w:pPr>
              <w:spacing w:before="29" w:line="288" w:lineRule="auto"/>
              <w:jc w:val="right"/>
              <w:rPr>
                <w:szCs w:val="21"/>
              </w:rPr>
            </w:pPr>
            <w:r w:rsidRPr="00A942AC">
              <w:rPr>
                <w:szCs w:val="21"/>
              </w:rPr>
              <w:t>1.032</w:t>
            </w:r>
          </w:p>
        </w:tc>
        <w:tc>
          <w:tcPr>
            <w:tcW w:w="687" w:type="pct"/>
            <w:vAlign w:val="center"/>
          </w:tcPr>
          <w:p w:rsidR="00B44DBC" w:rsidRPr="00A942AC" w:rsidRDefault="00B44DBC" w:rsidP="00674CBD">
            <w:pPr>
              <w:spacing w:before="29" w:line="288" w:lineRule="auto"/>
              <w:jc w:val="right"/>
              <w:rPr>
                <w:szCs w:val="21"/>
              </w:rPr>
            </w:pPr>
            <w:r w:rsidRPr="00A942AC">
              <w:rPr>
                <w:szCs w:val="21"/>
              </w:rPr>
              <w:t>1.031</w:t>
            </w:r>
          </w:p>
        </w:tc>
        <w:tc>
          <w:tcPr>
            <w:tcW w:w="764" w:type="pct"/>
            <w:vAlign w:val="center"/>
          </w:tcPr>
          <w:p w:rsidR="00B44DBC" w:rsidRPr="00A942AC" w:rsidRDefault="00B44DBC" w:rsidP="00674CBD">
            <w:pPr>
              <w:spacing w:before="29" w:line="288" w:lineRule="auto"/>
              <w:jc w:val="right"/>
              <w:rPr>
                <w:szCs w:val="21"/>
              </w:rPr>
            </w:pPr>
            <w:r w:rsidRPr="00A942AC">
              <w:rPr>
                <w:szCs w:val="21"/>
              </w:rPr>
              <w:t>1.010</w:t>
            </w:r>
          </w:p>
        </w:tc>
        <w:tc>
          <w:tcPr>
            <w:tcW w:w="667" w:type="pct"/>
            <w:vAlign w:val="center"/>
          </w:tcPr>
          <w:p w:rsidR="00B44DBC" w:rsidRPr="00A942AC" w:rsidRDefault="00B44DBC" w:rsidP="00674CBD">
            <w:pPr>
              <w:spacing w:before="29" w:line="288" w:lineRule="auto"/>
              <w:jc w:val="right"/>
              <w:rPr>
                <w:szCs w:val="21"/>
              </w:rPr>
            </w:pPr>
            <w:r w:rsidRPr="00A942AC">
              <w:rPr>
                <w:szCs w:val="21"/>
              </w:rPr>
              <w:t>-</w:t>
            </w:r>
          </w:p>
        </w:tc>
      </w:tr>
    </w:tbl>
    <w:p w:rsidR="00D06AA7" w:rsidRDefault="007F12B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交银丰盈收益债券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06AA7">
        <w:tc>
          <w:tcPr>
            <w:tcW w:w="1286" w:type="dxa"/>
            <w:vAlign w:val="center"/>
          </w:tcPr>
          <w:p w:rsidR="00D06AA7" w:rsidRDefault="007F12B1">
            <w:pPr>
              <w:jc w:val="left"/>
            </w:pPr>
            <w:r>
              <w:rPr>
                <w:color w:val="000000"/>
                <w:sz w:val="24"/>
              </w:rPr>
              <w:t>过去三个月</w:t>
            </w:r>
          </w:p>
        </w:tc>
        <w:tc>
          <w:tcPr>
            <w:tcW w:w="1286" w:type="dxa"/>
            <w:vAlign w:val="center"/>
          </w:tcPr>
          <w:p w:rsidR="00D06AA7" w:rsidRDefault="007F12B1">
            <w:pPr>
              <w:jc w:val="center"/>
            </w:pPr>
            <w:r>
              <w:rPr>
                <w:color w:val="000000"/>
                <w:sz w:val="24"/>
              </w:rPr>
              <w:t>0.95%</w:t>
            </w:r>
          </w:p>
        </w:tc>
        <w:tc>
          <w:tcPr>
            <w:tcW w:w="1286"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1.99%</w:t>
            </w:r>
          </w:p>
        </w:tc>
        <w:tc>
          <w:tcPr>
            <w:tcW w:w="1285"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-1.04%</w:t>
            </w:r>
          </w:p>
        </w:tc>
        <w:tc>
          <w:tcPr>
            <w:tcW w:w="1285" w:type="dxa"/>
            <w:vAlign w:val="center"/>
          </w:tcPr>
          <w:p w:rsidR="00D06AA7" w:rsidRDefault="007F12B1">
            <w:pPr>
              <w:jc w:val="center"/>
            </w:pPr>
            <w:r>
              <w:rPr>
                <w:color w:val="000000"/>
                <w:sz w:val="24"/>
              </w:rPr>
              <w:t>0.00%</w:t>
            </w:r>
          </w:p>
        </w:tc>
      </w:tr>
      <w:tr w:rsidR="00D06AA7">
        <w:tc>
          <w:tcPr>
            <w:tcW w:w="1286" w:type="dxa"/>
            <w:vAlign w:val="center"/>
          </w:tcPr>
          <w:p w:rsidR="00D06AA7" w:rsidRDefault="007F12B1">
            <w:pPr>
              <w:jc w:val="left"/>
            </w:pPr>
            <w:r>
              <w:rPr>
                <w:color w:val="000000"/>
                <w:sz w:val="24"/>
              </w:rPr>
              <w:t>过去六个月</w:t>
            </w:r>
          </w:p>
        </w:tc>
        <w:tc>
          <w:tcPr>
            <w:tcW w:w="1286" w:type="dxa"/>
            <w:vAlign w:val="center"/>
          </w:tcPr>
          <w:p w:rsidR="00D06AA7" w:rsidRDefault="007F12B1">
            <w:pPr>
              <w:jc w:val="center"/>
            </w:pPr>
            <w:r>
              <w:rPr>
                <w:color w:val="000000"/>
                <w:sz w:val="24"/>
              </w:rPr>
              <w:t>1.52%</w:t>
            </w:r>
          </w:p>
        </w:tc>
        <w:tc>
          <w:tcPr>
            <w:tcW w:w="1286"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2.57%</w:t>
            </w:r>
          </w:p>
        </w:tc>
        <w:tc>
          <w:tcPr>
            <w:tcW w:w="1285" w:type="dxa"/>
            <w:vAlign w:val="center"/>
          </w:tcPr>
          <w:p w:rsidR="00D06AA7" w:rsidRDefault="007F12B1">
            <w:pPr>
              <w:jc w:val="center"/>
            </w:pPr>
            <w:r>
              <w:rPr>
                <w:color w:val="000000"/>
                <w:sz w:val="24"/>
              </w:rPr>
              <w:t>0.06%</w:t>
            </w:r>
          </w:p>
        </w:tc>
        <w:tc>
          <w:tcPr>
            <w:tcW w:w="1285" w:type="dxa"/>
            <w:vAlign w:val="center"/>
          </w:tcPr>
          <w:p w:rsidR="00D06AA7" w:rsidRDefault="007F12B1">
            <w:pPr>
              <w:jc w:val="center"/>
            </w:pPr>
            <w:r>
              <w:rPr>
                <w:color w:val="000000"/>
                <w:sz w:val="24"/>
              </w:rPr>
              <w:t>-1.05%</w:t>
            </w:r>
          </w:p>
        </w:tc>
        <w:tc>
          <w:tcPr>
            <w:tcW w:w="1285" w:type="dxa"/>
            <w:vAlign w:val="center"/>
          </w:tcPr>
          <w:p w:rsidR="00D06AA7" w:rsidRDefault="007F12B1">
            <w:pPr>
              <w:jc w:val="center"/>
            </w:pPr>
            <w:r>
              <w:rPr>
                <w:color w:val="000000"/>
                <w:sz w:val="24"/>
              </w:rPr>
              <w:t>-0.01%</w:t>
            </w:r>
          </w:p>
        </w:tc>
      </w:tr>
      <w:tr w:rsidR="00D06AA7">
        <w:tc>
          <w:tcPr>
            <w:tcW w:w="1286" w:type="dxa"/>
            <w:vAlign w:val="center"/>
          </w:tcPr>
          <w:p w:rsidR="00D06AA7" w:rsidRDefault="007F12B1">
            <w:pPr>
              <w:jc w:val="left"/>
            </w:pPr>
            <w:r>
              <w:rPr>
                <w:color w:val="000000"/>
                <w:sz w:val="24"/>
              </w:rPr>
              <w:t>过去一年</w:t>
            </w:r>
          </w:p>
        </w:tc>
        <w:tc>
          <w:tcPr>
            <w:tcW w:w="1286" w:type="dxa"/>
            <w:vAlign w:val="center"/>
          </w:tcPr>
          <w:p w:rsidR="00D06AA7" w:rsidRDefault="007F12B1">
            <w:pPr>
              <w:jc w:val="center"/>
            </w:pPr>
            <w:r>
              <w:rPr>
                <w:color w:val="000000"/>
                <w:sz w:val="24"/>
              </w:rPr>
              <w:t>3.39%</w:t>
            </w:r>
          </w:p>
        </w:tc>
        <w:tc>
          <w:tcPr>
            <w:tcW w:w="1286"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4.79%</w:t>
            </w:r>
          </w:p>
        </w:tc>
        <w:tc>
          <w:tcPr>
            <w:tcW w:w="1285" w:type="dxa"/>
            <w:vAlign w:val="center"/>
          </w:tcPr>
          <w:p w:rsidR="00D06AA7" w:rsidRDefault="007F12B1">
            <w:pPr>
              <w:jc w:val="center"/>
            </w:pPr>
            <w:r>
              <w:rPr>
                <w:color w:val="000000"/>
                <w:sz w:val="24"/>
              </w:rPr>
              <w:t>0.07%</w:t>
            </w:r>
          </w:p>
        </w:tc>
        <w:tc>
          <w:tcPr>
            <w:tcW w:w="1285" w:type="dxa"/>
            <w:vAlign w:val="center"/>
          </w:tcPr>
          <w:p w:rsidR="00D06AA7" w:rsidRDefault="007F12B1">
            <w:pPr>
              <w:jc w:val="center"/>
            </w:pPr>
            <w:r>
              <w:rPr>
                <w:color w:val="000000"/>
                <w:sz w:val="24"/>
              </w:rPr>
              <w:t>-1.40%</w:t>
            </w:r>
          </w:p>
        </w:tc>
        <w:tc>
          <w:tcPr>
            <w:tcW w:w="1285" w:type="dxa"/>
            <w:vAlign w:val="center"/>
          </w:tcPr>
          <w:p w:rsidR="00D06AA7" w:rsidRDefault="007F12B1">
            <w:pPr>
              <w:jc w:val="center"/>
            </w:pPr>
            <w:r>
              <w:rPr>
                <w:color w:val="000000"/>
                <w:sz w:val="24"/>
              </w:rPr>
              <w:t>-0.02%</w:t>
            </w:r>
          </w:p>
        </w:tc>
      </w:tr>
      <w:tr w:rsidR="00D06AA7">
        <w:tc>
          <w:tcPr>
            <w:tcW w:w="1286" w:type="dxa"/>
            <w:vAlign w:val="center"/>
          </w:tcPr>
          <w:p w:rsidR="00D06AA7" w:rsidRDefault="007F12B1">
            <w:pPr>
              <w:jc w:val="left"/>
            </w:pPr>
            <w:r>
              <w:rPr>
                <w:color w:val="000000"/>
                <w:sz w:val="24"/>
              </w:rPr>
              <w:t>过去三年</w:t>
            </w:r>
          </w:p>
        </w:tc>
        <w:tc>
          <w:tcPr>
            <w:tcW w:w="1286" w:type="dxa"/>
            <w:vAlign w:val="center"/>
          </w:tcPr>
          <w:p w:rsidR="00D06AA7" w:rsidRDefault="007F12B1">
            <w:pPr>
              <w:jc w:val="center"/>
            </w:pPr>
            <w:r>
              <w:rPr>
                <w:color w:val="000000"/>
                <w:sz w:val="24"/>
              </w:rPr>
              <w:t>9.26%</w:t>
            </w:r>
          </w:p>
        </w:tc>
        <w:tc>
          <w:tcPr>
            <w:tcW w:w="1286" w:type="dxa"/>
            <w:vAlign w:val="center"/>
          </w:tcPr>
          <w:p w:rsidR="00D06AA7" w:rsidRDefault="007F12B1">
            <w:pPr>
              <w:jc w:val="center"/>
            </w:pPr>
            <w:r>
              <w:rPr>
                <w:color w:val="000000"/>
                <w:sz w:val="24"/>
              </w:rPr>
              <w:t>0.07%</w:t>
            </w:r>
          </w:p>
        </w:tc>
        <w:tc>
          <w:tcPr>
            <w:tcW w:w="1285" w:type="dxa"/>
            <w:vAlign w:val="center"/>
          </w:tcPr>
          <w:p w:rsidR="00D06AA7" w:rsidRDefault="007F12B1">
            <w:pPr>
              <w:jc w:val="center"/>
            </w:pPr>
            <w:r>
              <w:rPr>
                <w:color w:val="000000"/>
                <w:sz w:val="24"/>
              </w:rPr>
              <w:t>7.85%</w:t>
            </w:r>
          </w:p>
        </w:tc>
        <w:tc>
          <w:tcPr>
            <w:tcW w:w="1285"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1.41%</w:t>
            </w:r>
          </w:p>
        </w:tc>
        <w:tc>
          <w:tcPr>
            <w:tcW w:w="1285" w:type="dxa"/>
            <w:vAlign w:val="center"/>
          </w:tcPr>
          <w:p w:rsidR="00D06AA7" w:rsidRDefault="007F12B1">
            <w:pPr>
              <w:jc w:val="center"/>
            </w:pPr>
            <w:r>
              <w:rPr>
                <w:color w:val="000000"/>
                <w:sz w:val="24"/>
              </w:rPr>
              <w:t>0.02%</w:t>
            </w:r>
          </w:p>
        </w:tc>
      </w:tr>
      <w:tr w:rsidR="00D06AA7">
        <w:tc>
          <w:tcPr>
            <w:tcW w:w="1286" w:type="dxa"/>
            <w:vAlign w:val="center"/>
          </w:tcPr>
          <w:p w:rsidR="00D06AA7" w:rsidRDefault="007F12B1">
            <w:pPr>
              <w:jc w:val="left"/>
            </w:pPr>
            <w:r>
              <w:rPr>
                <w:color w:val="000000"/>
                <w:sz w:val="24"/>
              </w:rPr>
              <w:t>自基金合同生效起至今</w:t>
            </w:r>
          </w:p>
        </w:tc>
        <w:tc>
          <w:tcPr>
            <w:tcW w:w="1286" w:type="dxa"/>
            <w:vAlign w:val="center"/>
          </w:tcPr>
          <w:p w:rsidR="00D06AA7" w:rsidRDefault="007F12B1">
            <w:pPr>
              <w:jc w:val="center"/>
            </w:pPr>
            <w:r>
              <w:rPr>
                <w:color w:val="000000"/>
                <w:sz w:val="24"/>
              </w:rPr>
              <w:t>26.46%</w:t>
            </w:r>
          </w:p>
        </w:tc>
        <w:tc>
          <w:tcPr>
            <w:tcW w:w="1286" w:type="dxa"/>
            <w:vAlign w:val="center"/>
          </w:tcPr>
          <w:p w:rsidR="00D06AA7" w:rsidRDefault="007F12B1">
            <w:pPr>
              <w:jc w:val="center"/>
            </w:pPr>
            <w:r>
              <w:rPr>
                <w:color w:val="000000"/>
                <w:sz w:val="24"/>
              </w:rPr>
              <w:t>0.10%</w:t>
            </w:r>
          </w:p>
        </w:tc>
        <w:tc>
          <w:tcPr>
            <w:tcW w:w="1285" w:type="dxa"/>
            <w:vAlign w:val="center"/>
          </w:tcPr>
          <w:p w:rsidR="00D06AA7" w:rsidRDefault="007F12B1">
            <w:pPr>
              <w:jc w:val="center"/>
            </w:pPr>
            <w:r>
              <w:rPr>
                <w:color w:val="000000"/>
                <w:sz w:val="24"/>
              </w:rPr>
              <w:t>13.32%</w:t>
            </w:r>
          </w:p>
        </w:tc>
        <w:tc>
          <w:tcPr>
            <w:tcW w:w="1285" w:type="dxa"/>
            <w:vAlign w:val="center"/>
          </w:tcPr>
          <w:p w:rsidR="00D06AA7" w:rsidRDefault="007F12B1">
            <w:pPr>
              <w:jc w:val="center"/>
            </w:pPr>
            <w:r>
              <w:rPr>
                <w:color w:val="000000"/>
                <w:sz w:val="24"/>
              </w:rPr>
              <w:t>0.04%</w:t>
            </w:r>
          </w:p>
        </w:tc>
        <w:tc>
          <w:tcPr>
            <w:tcW w:w="1285" w:type="dxa"/>
            <w:vAlign w:val="center"/>
          </w:tcPr>
          <w:p w:rsidR="00D06AA7" w:rsidRDefault="007F12B1">
            <w:pPr>
              <w:jc w:val="center"/>
            </w:pPr>
            <w:r>
              <w:rPr>
                <w:color w:val="000000"/>
                <w:sz w:val="24"/>
              </w:rPr>
              <w:t>13.14%</w:t>
            </w:r>
          </w:p>
        </w:tc>
        <w:tc>
          <w:tcPr>
            <w:tcW w:w="1285" w:type="dxa"/>
            <w:vAlign w:val="center"/>
          </w:tcPr>
          <w:p w:rsidR="00D06AA7" w:rsidRDefault="007F12B1">
            <w:pPr>
              <w:jc w:val="center"/>
            </w:pPr>
            <w:r>
              <w:rPr>
                <w:color w:val="000000"/>
                <w:sz w:val="24"/>
              </w:rPr>
              <w:t>0.06%</w:t>
            </w:r>
          </w:p>
        </w:tc>
      </w:tr>
    </w:tbl>
    <w:p w:rsidR="001A59F9"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日起转为开放式运作，封闭期内业绩比较基准：三年期银行定期存款税后收益率；开放期内业绩比较基准：中债综合全价指数；</w:t>
      </w:r>
      <w:r w:rsidRPr="00E25C2A">
        <w:rPr>
          <w:kern w:val="0"/>
          <w:sz w:val="24"/>
        </w:rPr>
        <w:t>3.2.2</w:t>
      </w:r>
      <w:r w:rsidRPr="00E25C2A">
        <w:rPr>
          <w:kern w:val="0"/>
          <w:sz w:val="24"/>
        </w:rPr>
        <w:t>同。</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交银丰盈收益债券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06AA7">
        <w:tc>
          <w:tcPr>
            <w:tcW w:w="1286" w:type="dxa"/>
            <w:vAlign w:val="center"/>
          </w:tcPr>
          <w:p w:rsidR="00D06AA7" w:rsidRDefault="007F12B1">
            <w:pPr>
              <w:jc w:val="left"/>
            </w:pPr>
            <w:r>
              <w:rPr>
                <w:color w:val="000000"/>
                <w:sz w:val="24"/>
              </w:rPr>
              <w:t>过去三个月</w:t>
            </w:r>
          </w:p>
        </w:tc>
        <w:tc>
          <w:tcPr>
            <w:tcW w:w="1286" w:type="dxa"/>
            <w:vAlign w:val="center"/>
          </w:tcPr>
          <w:p w:rsidR="00D06AA7" w:rsidRDefault="007F12B1">
            <w:pPr>
              <w:jc w:val="center"/>
            </w:pPr>
            <w:r>
              <w:rPr>
                <w:color w:val="000000"/>
                <w:sz w:val="24"/>
              </w:rPr>
              <w:t>0.91%</w:t>
            </w:r>
          </w:p>
        </w:tc>
        <w:tc>
          <w:tcPr>
            <w:tcW w:w="1286"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1.99%</w:t>
            </w:r>
          </w:p>
        </w:tc>
        <w:tc>
          <w:tcPr>
            <w:tcW w:w="1285"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-1.08%</w:t>
            </w:r>
          </w:p>
        </w:tc>
        <w:tc>
          <w:tcPr>
            <w:tcW w:w="1285" w:type="dxa"/>
            <w:vAlign w:val="center"/>
          </w:tcPr>
          <w:p w:rsidR="00D06AA7" w:rsidRDefault="007F12B1">
            <w:pPr>
              <w:jc w:val="center"/>
            </w:pPr>
            <w:r>
              <w:rPr>
                <w:color w:val="000000"/>
                <w:sz w:val="24"/>
              </w:rPr>
              <w:t>0.00%</w:t>
            </w:r>
          </w:p>
        </w:tc>
      </w:tr>
      <w:tr w:rsidR="00D06AA7">
        <w:tc>
          <w:tcPr>
            <w:tcW w:w="1286" w:type="dxa"/>
            <w:vAlign w:val="center"/>
          </w:tcPr>
          <w:p w:rsidR="00D06AA7" w:rsidRDefault="007F12B1">
            <w:pPr>
              <w:jc w:val="left"/>
            </w:pPr>
            <w:r>
              <w:rPr>
                <w:color w:val="000000"/>
                <w:sz w:val="24"/>
              </w:rPr>
              <w:t>过去六个月</w:t>
            </w:r>
          </w:p>
        </w:tc>
        <w:tc>
          <w:tcPr>
            <w:tcW w:w="1286" w:type="dxa"/>
            <w:vAlign w:val="center"/>
          </w:tcPr>
          <w:p w:rsidR="00D06AA7" w:rsidRDefault="007F12B1">
            <w:pPr>
              <w:jc w:val="center"/>
            </w:pPr>
            <w:r>
              <w:rPr>
                <w:color w:val="000000"/>
                <w:sz w:val="24"/>
              </w:rPr>
              <w:t>1.37%</w:t>
            </w:r>
          </w:p>
        </w:tc>
        <w:tc>
          <w:tcPr>
            <w:tcW w:w="1286" w:type="dxa"/>
            <w:vAlign w:val="center"/>
          </w:tcPr>
          <w:p w:rsidR="00D06AA7" w:rsidRDefault="007F12B1">
            <w:pPr>
              <w:jc w:val="center"/>
            </w:pPr>
            <w:r>
              <w:rPr>
                <w:color w:val="000000"/>
                <w:sz w:val="24"/>
              </w:rPr>
              <w:t>0.05%</w:t>
            </w:r>
          </w:p>
        </w:tc>
        <w:tc>
          <w:tcPr>
            <w:tcW w:w="1285" w:type="dxa"/>
            <w:vAlign w:val="center"/>
          </w:tcPr>
          <w:p w:rsidR="00D06AA7" w:rsidRDefault="007F12B1">
            <w:pPr>
              <w:jc w:val="center"/>
            </w:pPr>
            <w:r>
              <w:rPr>
                <w:color w:val="000000"/>
                <w:sz w:val="24"/>
              </w:rPr>
              <w:t>2.57%</w:t>
            </w:r>
          </w:p>
        </w:tc>
        <w:tc>
          <w:tcPr>
            <w:tcW w:w="1285" w:type="dxa"/>
            <w:vAlign w:val="center"/>
          </w:tcPr>
          <w:p w:rsidR="00D06AA7" w:rsidRDefault="007F12B1">
            <w:pPr>
              <w:jc w:val="center"/>
            </w:pPr>
            <w:r>
              <w:rPr>
                <w:color w:val="000000"/>
                <w:sz w:val="24"/>
              </w:rPr>
              <w:t>0.06%</w:t>
            </w:r>
          </w:p>
        </w:tc>
        <w:tc>
          <w:tcPr>
            <w:tcW w:w="1285" w:type="dxa"/>
            <w:vAlign w:val="center"/>
          </w:tcPr>
          <w:p w:rsidR="00D06AA7" w:rsidRDefault="007F12B1">
            <w:pPr>
              <w:jc w:val="center"/>
            </w:pPr>
            <w:r>
              <w:rPr>
                <w:color w:val="000000"/>
                <w:sz w:val="24"/>
              </w:rPr>
              <w:t>-1.20%</w:t>
            </w:r>
          </w:p>
        </w:tc>
        <w:tc>
          <w:tcPr>
            <w:tcW w:w="1285" w:type="dxa"/>
            <w:vAlign w:val="center"/>
          </w:tcPr>
          <w:p w:rsidR="00D06AA7" w:rsidRDefault="007F12B1">
            <w:pPr>
              <w:jc w:val="center"/>
            </w:pPr>
            <w:r>
              <w:rPr>
                <w:color w:val="000000"/>
                <w:sz w:val="24"/>
              </w:rPr>
              <w:t>-0.01%</w:t>
            </w:r>
          </w:p>
        </w:tc>
      </w:tr>
      <w:tr w:rsidR="00D06AA7">
        <w:tc>
          <w:tcPr>
            <w:tcW w:w="1286" w:type="dxa"/>
            <w:vAlign w:val="center"/>
          </w:tcPr>
          <w:p w:rsidR="00D06AA7" w:rsidRDefault="007F12B1">
            <w:pPr>
              <w:jc w:val="left"/>
            </w:pPr>
            <w:r>
              <w:rPr>
                <w:color w:val="000000"/>
                <w:sz w:val="24"/>
              </w:rPr>
              <w:t>过去一年</w:t>
            </w:r>
          </w:p>
        </w:tc>
        <w:tc>
          <w:tcPr>
            <w:tcW w:w="1286" w:type="dxa"/>
            <w:vAlign w:val="center"/>
          </w:tcPr>
          <w:p w:rsidR="00D06AA7" w:rsidRDefault="007F12B1">
            <w:pPr>
              <w:jc w:val="center"/>
            </w:pPr>
            <w:r>
              <w:rPr>
                <w:color w:val="000000"/>
                <w:sz w:val="24"/>
              </w:rPr>
              <w:t>7.86%</w:t>
            </w:r>
          </w:p>
        </w:tc>
        <w:tc>
          <w:tcPr>
            <w:tcW w:w="1286" w:type="dxa"/>
            <w:vAlign w:val="center"/>
          </w:tcPr>
          <w:p w:rsidR="00D06AA7" w:rsidRDefault="007F12B1">
            <w:pPr>
              <w:jc w:val="center"/>
            </w:pPr>
            <w:r>
              <w:rPr>
                <w:color w:val="000000"/>
                <w:sz w:val="24"/>
              </w:rPr>
              <w:t>0.30%</w:t>
            </w:r>
          </w:p>
        </w:tc>
        <w:tc>
          <w:tcPr>
            <w:tcW w:w="1285" w:type="dxa"/>
            <w:vAlign w:val="center"/>
          </w:tcPr>
          <w:p w:rsidR="00D06AA7" w:rsidRDefault="007F12B1">
            <w:pPr>
              <w:jc w:val="center"/>
            </w:pPr>
            <w:r>
              <w:rPr>
                <w:color w:val="000000"/>
                <w:sz w:val="24"/>
              </w:rPr>
              <w:t>4.79%</w:t>
            </w:r>
          </w:p>
        </w:tc>
        <w:tc>
          <w:tcPr>
            <w:tcW w:w="1285" w:type="dxa"/>
            <w:vAlign w:val="center"/>
          </w:tcPr>
          <w:p w:rsidR="00D06AA7" w:rsidRDefault="007F12B1">
            <w:pPr>
              <w:jc w:val="center"/>
            </w:pPr>
            <w:r>
              <w:rPr>
                <w:color w:val="000000"/>
                <w:sz w:val="24"/>
              </w:rPr>
              <w:t>0.07%</w:t>
            </w:r>
          </w:p>
        </w:tc>
        <w:tc>
          <w:tcPr>
            <w:tcW w:w="1285" w:type="dxa"/>
            <w:vAlign w:val="center"/>
          </w:tcPr>
          <w:p w:rsidR="00D06AA7" w:rsidRDefault="007F12B1">
            <w:pPr>
              <w:jc w:val="center"/>
            </w:pPr>
            <w:r>
              <w:rPr>
                <w:color w:val="000000"/>
                <w:sz w:val="24"/>
              </w:rPr>
              <w:t>3.07%</w:t>
            </w:r>
          </w:p>
        </w:tc>
        <w:tc>
          <w:tcPr>
            <w:tcW w:w="1285" w:type="dxa"/>
            <w:vAlign w:val="center"/>
          </w:tcPr>
          <w:p w:rsidR="00D06AA7" w:rsidRDefault="007F12B1">
            <w:pPr>
              <w:jc w:val="center"/>
            </w:pPr>
            <w:r>
              <w:rPr>
                <w:color w:val="000000"/>
                <w:sz w:val="24"/>
              </w:rPr>
              <w:t>0.23%</w:t>
            </w:r>
          </w:p>
        </w:tc>
      </w:tr>
      <w:tr w:rsidR="00D06AA7">
        <w:tc>
          <w:tcPr>
            <w:tcW w:w="1286" w:type="dxa"/>
            <w:vAlign w:val="center"/>
          </w:tcPr>
          <w:p w:rsidR="00D06AA7" w:rsidRDefault="007F12B1">
            <w:pPr>
              <w:jc w:val="left"/>
            </w:pPr>
            <w:r>
              <w:rPr>
                <w:color w:val="000000"/>
                <w:sz w:val="24"/>
              </w:rPr>
              <w:t>自基金合同生效起至今</w:t>
            </w:r>
          </w:p>
        </w:tc>
        <w:tc>
          <w:tcPr>
            <w:tcW w:w="1286" w:type="dxa"/>
            <w:vAlign w:val="center"/>
          </w:tcPr>
          <w:p w:rsidR="00D06AA7" w:rsidRDefault="007F12B1">
            <w:pPr>
              <w:jc w:val="center"/>
            </w:pPr>
            <w:r>
              <w:rPr>
                <w:color w:val="000000"/>
                <w:sz w:val="24"/>
              </w:rPr>
              <w:t>11.20%</w:t>
            </w:r>
          </w:p>
        </w:tc>
        <w:tc>
          <w:tcPr>
            <w:tcW w:w="1286" w:type="dxa"/>
            <w:vAlign w:val="center"/>
          </w:tcPr>
          <w:p w:rsidR="00D06AA7" w:rsidRDefault="007F12B1">
            <w:pPr>
              <w:jc w:val="center"/>
            </w:pPr>
            <w:r>
              <w:rPr>
                <w:color w:val="000000"/>
                <w:sz w:val="24"/>
              </w:rPr>
              <w:t>0.29%</w:t>
            </w:r>
          </w:p>
        </w:tc>
        <w:tc>
          <w:tcPr>
            <w:tcW w:w="1285" w:type="dxa"/>
            <w:vAlign w:val="center"/>
          </w:tcPr>
          <w:p w:rsidR="00D06AA7" w:rsidRDefault="007F12B1">
            <w:pPr>
              <w:jc w:val="center"/>
            </w:pPr>
            <w:r>
              <w:rPr>
                <w:color w:val="000000"/>
                <w:sz w:val="24"/>
              </w:rPr>
              <w:t>3.39%</w:t>
            </w:r>
          </w:p>
        </w:tc>
        <w:tc>
          <w:tcPr>
            <w:tcW w:w="1285" w:type="dxa"/>
            <w:vAlign w:val="center"/>
          </w:tcPr>
          <w:p w:rsidR="00D06AA7" w:rsidRDefault="007F12B1">
            <w:pPr>
              <w:jc w:val="center"/>
            </w:pPr>
            <w:r>
              <w:rPr>
                <w:color w:val="000000"/>
                <w:sz w:val="24"/>
              </w:rPr>
              <w:t>0.07%</w:t>
            </w:r>
          </w:p>
        </w:tc>
        <w:tc>
          <w:tcPr>
            <w:tcW w:w="1285" w:type="dxa"/>
            <w:vAlign w:val="center"/>
          </w:tcPr>
          <w:p w:rsidR="00D06AA7" w:rsidRDefault="007F12B1">
            <w:pPr>
              <w:jc w:val="center"/>
            </w:pPr>
            <w:r>
              <w:rPr>
                <w:color w:val="000000"/>
                <w:sz w:val="24"/>
              </w:rPr>
              <w:t>7.81%</w:t>
            </w:r>
          </w:p>
        </w:tc>
        <w:tc>
          <w:tcPr>
            <w:tcW w:w="1285" w:type="dxa"/>
            <w:vAlign w:val="center"/>
          </w:tcPr>
          <w:p w:rsidR="00D06AA7" w:rsidRDefault="007F12B1">
            <w:pPr>
              <w:jc w:val="center"/>
            </w:pPr>
            <w:r>
              <w:rPr>
                <w:color w:val="000000"/>
                <w:sz w:val="24"/>
              </w:rPr>
              <w:t>0.22%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日起转为开放式运作，封闭期内业绩比较基准：三年期银行定期存款税后收益率；开放期内业绩比较基准：中债综合全价指数；</w:t>
      </w:r>
      <w:r w:rsidRPr="00E25C2A">
        <w:rPr>
          <w:kern w:val="0"/>
          <w:sz w:val="24"/>
        </w:rPr>
        <w:t>3.2.2</w:t>
      </w:r>
      <w:r w:rsidRPr="00E25C2A">
        <w:rPr>
          <w:kern w:val="0"/>
          <w:sz w:val="24"/>
        </w:rPr>
        <w:t>同。</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交银丰盈收益债券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交银丰盈收益债券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日起，开始销售</w:t>
      </w:r>
      <w:r w:rsidRPr="00E25C2A">
        <w:rPr>
          <w:kern w:val="0"/>
          <w:sz w:val="24"/>
        </w:rPr>
        <w:t>C</w:t>
      </w:r>
      <w:r w:rsidRPr="00E25C2A">
        <w:rPr>
          <w:kern w:val="0"/>
          <w:sz w:val="24"/>
        </w:rPr>
        <w:t>类份额，投资者提交的申购申请于</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15</w:t>
      </w:r>
      <w:r w:rsidRPr="00E25C2A">
        <w:rPr>
          <w:kern w:val="0"/>
          <w:sz w:val="24"/>
        </w:rPr>
        <w:t>日被确认并将有效份额登记在册。图示日期为</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交银丰盈收益债券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8</w:t>
      </w:r>
      <w:r w:rsidRPr="00E25C2A">
        <w:rPr>
          <w:kern w:val="0"/>
          <w:sz w:val="24"/>
        </w:rPr>
        <w:t>月</w:t>
      </w:r>
      <w:r w:rsidRPr="00E25C2A">
        <w:rPr>
          <w:kern w:val="0"/>
          <w:sz w:val="24"/>
        </w:rPr>
        <w:t>11</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交银丰盈收益债券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8</w:t>
      </w:r>
      <w:r w:rsidRPr="00E25C2A">
        <w:rPr>
          <w:kern w:val="0"/>
          <w:sz w:val="24"/>
        </w:rPr>
        <w:t>月</w:t>
      </w:r>
      <w:r w:rsidRPr="00E25C2A">
        <w:rPr>
          <w:kern w:val="0"/>
          <w:sz w:val="24"/>
        </w:rPr>
        <w:t>14</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交银丰盈收益债券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06AA7">
        <w:tc>
          <w:tcPr>
            <w:tcW w:w="1276" w:type="dxa"/>
            <w:vAlign w:val="center"/>
          </w:tcPr>
          <w:p w:rsidR="00D06AA7" w:rsidRDefault="007F12B1">
            <w:pPr>
              <w:jc w:val="center"/>
            </w:pPr>
            <w:r>
              <w:rPr>
                <w:color w:val="000000"/>
                <w:sz w:val="24"/>
              </w:rPr>
              <w:t>2018</w:t>
            </w:r>
            <w:r>
              <w:rPr>
                <w:color w:val="000000"/>
                <w:sz w:val="24"/>
              </w:rPr>
              <w:t>年</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559" w:type="dxa"/>
            <w:vAlign w:val="center"/>
          </w:tcPr>
          <w:p w:rsidR="00D06AA7" w:rsidRDefault="007F12B1">
            <w:pPr>
              <w:jc w:val="right"/>
            </w:pPr>
            <w:r>
              <w:rPr>
                <w:color w:val="000000"/>
                <w:sz w:val="24"/>
              </w:rPr>
              <w:t>-</w:t>
            </w:r>
          </w:p>
        </w:tc>
        <w:tc>
          <w:tcPr>
            <w:tcW w:w="1060" w:type="dxa"/>
            <w:vAlign w:val="center"/>
          </w:tcPr>
          <w:p w:rsidR="00D06AA7" w:rsidRDefault="007F12B1">
            <w:pPr>
              <w:jc w:val="left"/>
            </w:pPr>
            <w:r>
              <w:rPr>
                <w:color w:val="000000"/>
                <w:sz w:val="24"/>
              </w:rPr>
              <w:t>-</w:t>
            </w:r>
          </w:p>
        </w:tc>
      </w:tr>
      <w:tr w:rsidR="00D06AA7">
        <w:tc>
          <w:tcPr>
            <w:tcW w:w="1276" w:type="dxa"/>
            <w:vAlign w:val="center"/>
          </w:tcPr>
          <w:p w:rsidR="00D06AA7" w:rsidRDefault="007F12B1">
            <w:pPr>
              <w:jc w:val="center"/>
            </w:pPr>
            <w:r>
              <w:rPr>
                <w:color w:val="000000"/>
                <w:sz w:val="24"/>
              </w:rPr>
              <w:t>2017</w:t>
            </w:r>
            <w:r>
              <w:rPr>
                <w:color w:val="000000"/>
                <w:sz w:val="24"/>
              </w:rPr>
              <w:t>年</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559" w:type="dxa"/>
            <w:vAlign w:val="center"/>
          </w:tcPr>
          <w:p w:rsidR="00D06AA7" w:rsidRDefault="007F12B1">
            <w:pPr>
              <w:jc w:val="right"/>
            </w:pPr>
            <w:r>
              <w:rPr>
                <w:color w:val="000000"/>
                <w:sz w:val="24"/>
              </w:rPr>
              <w:t>-</w:t>
            </w:r>
          </w:p>
        </w:tc>
        <w:tc>
          <w:tcPr>
            <w:tcW w:w="1060" w:type="dxa"/>
            <w:vAlign w:val="center"/>
          </w:tcPr>
          <w:p w:rsidR="00D06AA7" w:rsidRDefault="007F12B1">
            <w:pPr>
              <w:jc w:val="left"/>
            </w:pPr>
            <w:r>
              <w:rPr>
                <w:color w:val="000000"/>
                <w:sz w:val="24"/>
              </w:rPr>
              <w:t>-</w:t>
            </w:r>
          </w:p>
        </w:tc>
      </w:tr>
      <w:tr w:rsidR="00D06AA7">
        <w:tc>
          <w:tcPr>
            <w:tcW w:w="1276" w:type="dxa"/>
            <w:vAlign w:val="center"/>
          </w:tcPr>
          <w:p w:rsidR="00D06AA7" w:rsidRDefault="007F12B1">
            <w:pPr>
              <w:jc w:val="center"/>
            </w:pPr>
            <w:r>
              <w:rPr>
                <w:color w:val="000000"/>
                <w:sz w:val="24"/>
              </w:rPr>
              <w:t>2016</w:t>
            </w:r>
            <w:r>
              <w:rPr>
                <w:color w:val="000000"/>
                <w:sz w:val="24"/>
              </w:rPr>
              <w:t>年</w:t>
            </w:r>
          </w:p>
        </w:tc>
        <w:tc>
          <w:tcPr>
            <w:tcW w:w="1701" w:type="dxa"/>
            <w:vAlign w:val="center"/>
          </w:tcPr>
          <w:p w:rsidR="00D06AA7" w:rsidRDefault="007F12B1">
            <w:pPr>
              <w:jc w:val="right"/>
            </w:pPr>
            <w:r>
              <w:rPr>
                <w:color w:val="000000"/>
                <w:sz w:val="24"/>
              </w:rPr>
              <w:t>1.620</w:t>
            </w:r>
          </w:p>
        </w:tc>
        <w:tc>
          <w:tcPr>
            <w:tcW w:w="1701" w:type="dxa"/>
            <w:vAlign w:val="center"/>
          </w:tcPr>
          <w:p w:rsidR="00D06AA7" w:rsidRDefault="007F12B1">
            <w:pPr>
              <w:jc w:val="right"/>
            </w:pPr>
            <w:r>
              <w:rPr>
                <w:color w:val="000000"/>
                <w:sz w:val="24"/>
              </w:rPr>
              <w:t>82,726,614.70</w:t>
            </w:r>
          </w:p>
        </w:tc>
        <w:tc>
          <w:tcPr>
            <w:tcW w:w="1701" w:type="dxa"/>
            <w:vAlign w:val="center"/>
          </w:tcPr>
          <w:p w:rsidR="00D06AA7" w:rsidRDefault="007F12B1">
            <w:pPr>
              <w:jc w:val="right"/>
            </w:pPr>
            <w:r>
              <w:rPr>
                <w:color w:val="000000"/>
                <w:sz w:val="24"/>
              </w:rPr>
              <w:t>-</w:t>
            </w:r>
          </w:p>
        </w:tc>
        <w:tc>
          <w:tcPr>
            <w:tcW w:w="1559" w:type="dxa"/>
            <w:vAlign w:val="center"/>
          </w:tcPr>
          <w:p w:rsidR="00D06AA7" w:rsidRDefault="007F12B1">
            <w:pPr>
              <w:jc w:val="right"/>
            </w:pPr>
            <w:r>
              <w:rPr>
                <w:color w:val="000000"/>
                <w:sz w:val="24"/>
              </w:rPr>
              <w:t>82,726,614.70</w:t>
            </w:r>
          </w:p>
        </w:tc>
        <w:tc>
          <w:tcPr>
            <w:tcW w:w="1060" w:type="dxa"/>
            <w:vAlign w:val="center"/>
          </w:tcPr>
          <w:p w:rsidR="00D06AA7" w:rsidRDefault="007F12B1">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1.620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82,726,614.70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82,726,614.70</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交银丰盈收益债券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06AA7">
        <w:tc>
          <w:tcPr>
            <w:tcW w:w="1276" w:type="dxa"/>
            <w:vAlign w:val="center"/>
          </w:tcPr>
          <w:p w:rsidR="00D06AA7" w:rsidRDefault="007F12B1">
            <w:pPr>
              <w:jc w:val="center"/>
            </w:pPr>
            <w:r>
              <w:rPr>
                <w:color w:val="000000"/>
                <w:sz w:val="24"/>
              </w:rPr>
              <w:t>2018</w:t>
            </w:r>
            <w:r>
              <w:rPr>
                <w:color w:val="000000"/>
                <w:sz w:val="24"/>
              </w:rPr>
              <w:t>年</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559" w:type="dxa"/>
            <w:vAlign w:val="center"/>
          </w:tcPr>
          <w:p w:rsidR="00D06AA7" w:rsidRDefault="007F12B1">
            <w:pPr>
              <w:jc w:val="right"/>
            </w:pPr>
            <w:r>
              <w:rPr>
                <w:color w:val="000000"/>
                <w:sz w:val="24"/>
              </w:rPr>
              <w:t>-</w:t>
            </w:r>
          </w:p>
        </w:tc>
        <w:tc>
          <w:tcPr>
            <w:tcW w:w="1060" w:type="dxa"/>
            <w:vAlign w:val="center"/>
          </w:tcPr>
          <w:p w:rsidR="00D06AA7" w:rsidRDefault="007F12B1">
            <w:pPr>
              <w:jc w:val="left"/>
            </w:pPr>
            <w:r>
              <w:rPr>
                <w:color w:val="000000"/>
                <w:sz w:val="24"/>
              </w:rPr>
              <w:t>-</w:t>
            </w:r>
          </w:p>
        </w:tc>
      </w:tr>
      <w:tr w:rsidR="00D06AA7">
        <w:tc>
          <w:tcPr>
            <w:tcW w:w="1276" w:type="dxa"/>
            <w:vAlign w:val="center"/>
          </w:tcPr>
          <w:p w:rsidR="00D06AA7" w:rsidRDefault="007F12B1">
            <w:pPr>
              <w:jc w:val="center"/>
            </w:pPr>
            <w:r>
              <w:rPr>
                <w:color w:val="000000"/>
                <w:sz w:val="24"/>
              </w:rPr>
              <w:t>2017</w:t>
            </w:r>
            <w:r>
              <w:rPr>
                <w:color w:val="000000"/>
                <w:sz w:val="24"/>
              </w:rPr>
              <w:t>年</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701" w:type="dxa"/>
            <w:vAlign w:val="center"/>
          </w:tcPr>
          <w:p w:rsidR="00D06AA7" w:rsidRDefault="007F12B1">
            <w:pPr>
              <w:jc w:val="right"/>
            </w:pPr>
            <w:r>
              <w:rPr>
                <w:color w:val="000000"/>
                <w:sz w:val="24"/>
              </w:rPr>
              <w:t>-</w:t>
            </w:r>
          </w:p>
        </w:tc>
        <w:tc>
          <w:tcPr>
            <w:tcW w:w="1559" w:type="dxa"/>
            <w:vAlign w:val="center"/>
          </w:tcPr>
          <w:p w:rsidR="00D06AA7" w:rsidRDefault="007F12B1">
            <w:pPr>
              <w:jc w:val="right"/>
            </w:pPr>
            <w:r>
              <w:rPr>
                <w:color w:val="000000"/>
                <w:sz w:val="24"/>
              </w:rPr>
              <w:t>-</w:t>
            </w:r>
          </w:p>
        </w:tc>
        <w:tc>
          <w:tcPr>
            <w:tcW w:w="1060" w:type="dxa"/>
            <w:vAlign w:val="center"/>
          </w:tcPr>
          <w:p w:rsidR="00D06AA7" w:rsidRDefault="007F12B1">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06AA7" w:rsidRDefault="007F12B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06AA7">
        <w:tc>
          <w:tcPr>
            <w:tcW w:w="1499" w:type="dxa"/>
            <w:vAlign w:val="center"/>
          </w:tcPr>
          <w:p w:rsidR="00D06AA7" w:rsidRDefault="007F12B1">
            <w:pPr>
              <w:jc w:val="center"/>
            </w:pPr>
            <w:r>
              <w:rPr>
                <w:color w:val="000000"/>
                <w:sz w:val="24"/>
              </w:rPr>
              <w:t>连端清</w:t>
            </w:r>
          </w:p>
        </w:tc>
        <w:tc>
          <w:tcPr>
            <w:tcW w:w="1499" w:type="dxa"/>
            <w:vAlign w:val="center"/>
          </w:tcPr>
          <w:p w:rsidR="00D06AA7" w:rsidRDefault="007F12B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55" w:type="dxa"/>
            <w:vAlign w:val="center"/>
          </w:tcPr>
          <w:p w:rsidR="00D06AA7" w:rsidRDefault="007F12B1">
            <w:pPr>
              <w:jc w:val="center"/>
            </w:pPr>
            <w:r>
              <w:rPr>
                <w:color w:val="000000"/>
                <w:sz w:val="24"/>
              </w:rPr>
              <w:t>2015-08-04</w:t>
            </w:r>
          </w:p>
        </w:tc>
        <w:tc>
          <w:tcPr>
            <w:tcW w:w="1276" w:type="dxa"/>
            <w:vAlign w:val="center"/>
          </w:tcPr>
          <w:p w:rsidR="00D06AA7" w:rsidRDefault="007F12B1">
            <w:pPr>
              <w:jc w:val="center"/>
            </w:pPr>
            <w:r>
              <w:rPr>
                <w:color w:val="000000"/>
                <w:sz w:val="24"/>
              </w:rPr>
              <w:t>-</w:t>
            </w:r>
          </w:p>
        </w:tc>
        <w:tc>
          <w:tcPr>
            <w:tcW w:w="992" w:type="dxa"/>
            <w:vAlign w:val="center"/>
          </w:tcPr>
          <w:p w:rsidR="00D06AA7" w:rsidRDefault="007F12B1">
            <w:pPr>
              <w:jc w:val="center"/>
            </w:pPr>
            <w:r>
              <w:rPr>
                <w:color w:val="000000"/>
                <w:sz w:val="24"/>
              </w:rPr>
              <w:t>5</w:t>
            </w:r>
            <w:r>
              <w:rPr>
                <w:color w:val="000000"/>
                <w:sz w:val="24"/>
              </w:rPr>
              <w:t>年</w:t>
            </w:r>
          </w:p>
        </w:tc>
        <w:tc>
          <w:tcPr>
            <w:tcW w:w="2477" w:type="dxa"/>
            <w:vAlign w:val="center"/>
          </w:tcPr>
          <w:p w:rsidR="00D06AA7" w:rsidRDefault="007F12B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D06AA7">
        <w:tc>
          <w:tcPr>
            <w:tcW w:w="1499" w:type="dxa"/>
            <w:vAlign w:val="center"/>
          </w:tcPr>
          <w:p w:rsidR="00D06AA7" w:rsidRDefault="007F12B1">
            <w:pPr>
              <w:jc w:val="center"/>
            </w:pPr>
            <w:r>
              <w:rPr>
                <w:color w:val="000000"/>
                <w:sz w:val="24"/>
              </w:rPr>
              <w:t>于海颖</w:t>
            </w:r>
          </w:p>
        </w:tc>
        <w:tc>
          <w:tcPr>
            <w:tcW w:w="1499" w:type="dxa"/>
            <w:vAlign w:val="center"/>
          </w:tcPr>
          <w:p w:rsidR="00D06AA7" w:rsidRDefault="007F12B1">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D06AA7" w:rsidRDefault="007F12B1">
            <w:pPr>
              <w:jc w:val="center"/>
            </w:pPr>
            <w:r>
              <w:rPr>
                <w:color w:val="000000"/>
                <w:sz w:val="24"/>
              </w:rPr>
              <w:t>2016-12-29</w:t>
            </w:r>
          </w:p>
        </w:tc>
        <w:tc>
          <w:tcPr>
            <w:tcW w:w="1276" w:type="dxa"/>
            <w:vAlign w:val="center"/>
          </w:tcPr>
          <w:p w:rsidR="00D06AA7" w:rsidRDefault="007F12B1">
            <w:pPr>
              <w:jc w:val="center"/>
            </w:pPr>
            <w:r>
              <w:rPr>
                <w:color w:val="000000"/>
                <w:sz w:val="24"/>
              </w:rPr>
              <w:t>-</w:t>
            </w:r>
          </w:p>
        </w:tc>
        <w:tc>
          <w:tcPr>
            <w:tcW w:w="992" w:type="dxa"/>
            <w:vAlign w:val="center"/>
          </w:tcPr>
          <w:p w:rsidR="00D06AA7" w:rsidRDefault="007F12B1">
            <w:pPr>
              <w:jc w:val="center"/>
            </w:pPr>
            <w:r>
              <w:rPr>
                <w:color w:val="000000"/>
                <w:sz w:val="24"/>
              </w:rPr>
              <w:t>12</w:t>
            </w:r>
            <w:r>
              <w:rPr>
                <w:color w:val="000000"/>
                <w:sz w:val="24"/>
              </w:rPr>
              <w:t>年</w:t>
            </w:r>
          </w:p>
        </w:tc>
        <w:tc>
          <w:tcPr>
            <w:tcW w:w="2477" w:type="dxa"/>
            <w:vAlign w:val="center"/>
          </w:tcPr>
          <w:p w:rsidR="00D06AA7" w:rsidRDefault="007F12B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D06AA7" w:rsidRDefault="007F12B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06AA7" w:rsidRDefault="007F12B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06AA7" w:rsidRDefault="007F12B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06AA7" w:rsidRDefault="007F12B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06AA7" w:rsidRDefault="007F12B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6AA7" w:rsidRDefault="007F12B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06AA7" w:rsidRDefault="007F12B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D06AA7" w:rsidRDefault="007F12B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6AA7" w:rsidRDefault="007F12B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6AA7" w:rsidRDefault="007F12B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06AA7" w:rsidRDefault="007F12B1">
      <w:pPr>
        <w:spacing w:before="29" w:line="288" w:lineRule="auto"/>
        <w:ind w:firstLineChars="200" w:firstLine="480"/>
        <w:rPr>
          <w:color w:val="000000"/>
          <w:sz w:val="24"/>
        </w:rPr>
      </w:pPr>
      <w:r>
        <w:rPr>
          <w:color w:val="000000"/>
          <w:sz w:val="24"/>
        </w:rPr>
        <w:t>2018</w:t>
      </w:r>
      <w:r>
        <w:rPr>
          <w:color w:val="000000"/>
          <w:sz w:val="24"/>
        </w:rPr>
        <w:t>年，主要受到中美贸易战冲击、表外融资规模收缩以及基建投资大幅下滑的影响，国内经济增速放缓，且下半年下行压力逐渐加大。</w:t>
      </w:r>
      <w:r>
        <w:rPr>
          <w:color w:val="000000"/>
          <w:sz w:val="24"/>
        </w:rPr>
        <w:t>2018</w:t>
      </w:r>
      <w:r>
        <w:rPr>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color w:val="000000"/>
          <w:sz w:val="24"/>
        </w:rPr>
        <w:t>2018</w:t>
      </w:r>
      <w:r>
        <w:rPr>
          <w:color w:val="000000"/>
          <w:sz w:val="24"/>
        </w:rPr>
        <w:t>年信贷利率持续高企。地方政府融资平台监管趋严，叠加表外融资收缩，从而导致</w:t>
      </w:r>
      <w:r>
        <w:rPr>
          <w:color w:val="000000"/>
          <w:sz w:val="24"/>
        </w:rPr>
        <w:t>2018</w:t>
      </w:r>
      <w:r>
        <w:rPr>
          <w:color w:val="000000"/>
          <w:sz w:val="24"/>
        </w:rPr>
        <w:t>年基建投资出现大幅下滑。同时中美贸易摩擦爆发，贸易战的外部冲击，不仅影响到我国的进出口，而且扰乱了经济参与者的预期。尽管受到</w:t>
      </w:r>
      <w:r>
        <w:rPr>
          <w:color w:val="000000"/>
          <w:sz w:val="24"/>
        </w:rPr>
        <w:t>“</w:t>
      </w:r>
      <w:r>
        <w:rPr>
          <w:color w:val="000000"/>
          <w:sz w:val="24"/>
        </w:rPr>
        <w:t>抢出口效应</w:t>
      </w:r>
      <w:r>
        <w:rPr>
          <w:color w:val="000000"/>
          <w:sz w:val="24"/>
        </w:rPr>
        <w:t>”</w:t>
      </w:r>
      <w:r>
        <w:rPr>
          <w:color w:val="000000"/>
          <w:sz w:val="24"/>
        </w:rPr>
        <w:t>影响，国内出口曾出现短暂冲高，但十一月起贸易战负面效应显现，出口已大幅下滑，十二月更是出现负增长。</w:t>
      </w:r>
    </w:p>
    <w:p w:rsidR="00D06AA7" w:rsidRDefault="007F12B1">
      <w:pPr>
        <w:spacing w:before="29" w:line="288" w:lineRule="auto"/>
        <w:ind w:firstLineChars="200" w:firstLine="480"/>
        <w:rPr>
          <w:color w:val="000000"/>
          <w:sz w:val="24"/>
        </w:rPr>
      </w:pPr>
      <w:r>
        <w:rPr>
          <w:color w:val="000000"/>
          <w:sz w:val="24"/>
        </w:rPr>
        <w:t>为应对表外融资收缩与中美贸易战带来的负面冲击，</w:t>
      </w:r>
      <w:r>
        <w:rPr>
          <w:color w:val="000000"/>
          <w:sz w:val="24"/>
        </w:rPr>
        <w:t>2018</w:t>
      </w:r>
      <w:r>
        <w:rPr>
          <w:color w:val="000000"/>
          <w:sz w:val="24"/>
        </w:rPr>
        <w:t>年央行货币政策转向了中性偏松，通过多次降准释放了充沛的流动性。</w:t>
      </w:r>
      <w:r>
        <w:rPr>
          <w:color w:val="000000"/>
          <w:sz w:val="24"/>
        </w:rPr>
        <w:t>2018</w:t>
      </w:r>
      <w:r>
        <w:rPr>
          <w:color w:val="000000"/>
          <w:sz w:val="24"/>
        </w:rPr>
        <w:t>年一季度通过定向降准落地以及</w:t>
      </w:r>
      <w:r>
        <w:rPr>
          <w:color w:val="000000"/>
          <w:sz w:val="24"/>
        </w:rPr>
        <w:t>“</w:t>
      </w:r>
      <w:r>
        <w:rPr>
          <w:color w:val="000000"/>
          <w:sz w:val="24"/>
        </w:rPr>
        <w:t>临时准备金动用安排</w:t>
      </w:r>
      <w:r>
        <w:rPr>
          <w:color w:val="000000"/>
          <w:sz w:val="24"/>
        </w:rPr>
        <w:t>”</w:t>
      </w:r>
      <w:r>
        <w:rPr>
          <w:color w:val="000000"/>
          <w:sz w:val="24"/>
        </w:rPr>
        <w:t>释放了大量流动性。</w:t>
      </w:r>
      <w:r>
        <w:rPr>
          <w:color w:val="000000"/>
          <w:sz w:val="24"/>
        </w:rPr>
        <w:t>2018</w:t>
      </w:r>
      <w:r>
        <w:rPr>
          <w:color w:val="000000"/>
          <w:sz w:val="24"/>
        </w:rPr>
        <w:t>年二季度央行两次宣布降准，释放增量资金约</w:t>
      </w:r>
      <w:r>
        <w:rPr>
          <w:color w:val="000000"/>
          <w:sz w:val="24"/>
        </w:rPr>
        <w:t>1.1</w:t>
      </w:r>
      <w:r>
        <w:rPr>
          <w:color w:val="000000"/>
          <w:sz w:val="24"/>
        </w:rPr>
        <w:t>万亿。</w:t>
      </w:r>
      <w:r>
        <w:rPr>
          <w:color w:val="000000"/>
          <w:sz w:val="24"/>
        </w:rPr>
        <w:t>2018</w:t>
      </w:r>
      <w:r>
        <w:rPr>
          <w:color w:val="000000"/>
          <w:sz w:val="24"/>
        </w:rPr>
        <w:t>年下半年央行主要通过公开市场逆回购与</w:t>
      </w:r>
      <w:r>
        <w:rPr>
          <w:color w:val="000000"/>
          <w:sz w:val="24"/>
        </w:rPr>
        <w:t>MLF</w:t>
      </w:r>
      <w:r>
        <w:rPr>
          <w:color w:val="000000"/>
          <w:sz w:val="24"/>
        </w:rPr>
        <w:t>操作维持货币市场资金面宽松，同时努力疏通货币传导机制，引导宽松的货币市场流动性进入实体企业，但民企融资难与贵的问题短期内依然比较突出。</w:t>
      </w:r>
    </w:p>
    <w:p w:rsidR="00D06AA7" w:rsidRDefault="007F12B1">
      <w:pPr>
        <w:spacing w:before="29" w:line="288" w:lineRule="auto"/>
        <w:ind w:firstLineChars="200" w:firstLine="480"/>
        <w:rPr>
          <w:color w:val="000000"/>
          <w:sz w:val="24"/>
        </w:rPr>
      </w:pPr>
      <w:r>
        <w:rPr>
          <w:color w:val="000000"/>
          <w:sz w:val="24"/>
        </w:rPr>
        <w:t>资金面上，受央行持续降准影响，</w:t>
      </w:r>
      <w:r>
        <w:rPr>
          <w:color w:val="000000"/>
          <w:sz w:val="24"/>
        </w:rPr>
        <w:t>2018</w:t>
      </w:r>
      <w:r>
        <w:rPr>
          <w:color w:val="000000"/>
          <w:sz w:val="24"/>
        </w:rPr>
        <w:t>年货币市场资金面非常宽松。十二月底</w:t>
      </w:r>
      <w:r>
        <w:rPr>
          <w:color w:val="000000"/>
          <w:sz w:val="24"/>
        </w:rPr>
        <w:t>R001</w:t>
      </w:r>
      <w:r>
        <w:rPr>
          <w:color w:val="000000"/>
          <w:sz w:val="24"/>
        </w:rPr>
        <w:t>较</w:t>
      </w:r>
      <w:r>
        <w:rPr>
          <w:color w:val="000000"/>
          <w:sz w:val="24"/>
        </w:rPr>
        <w:t>2017</w:t>
      </w:r>
      <w:r>
        <w:rPr>
          <w:color w:val="000000"/>
          <w:sz w:val="24"/>
        </w:rPr>
        <w:t>年底下降</w:t>
      </w:r>
      <w:r>
        <w:rPr>
          <w:color w:val="000000"/>
          <w:sz w:val="24"/>
        </w:rPr>
        <w:t>106BP</w:t>
      </w:r>
      <w:r>
        <w:rPr>
          <w:color w:val="000000"/>
          <w:sz w:val="24"/>
        </w:rPr>
        <w:t>以上。受资金持续宽松及银行同业投资规模收缩等影响，同业存款及存单利率大幅下行，且全年大部分时间内同业存款利率更低。十二月底股份制银行存单利率较</w:t>
      </w:r>
      <w:r>
        <w:rPr>
          <w:color w:val="000000"/>
          <w:sz w:val="24"/>
        </w:rPr>
        <w:t>2017</w:t>
      </w:r>
      <w:r>
        <w:rPr>
          <w:color w:val="000000"/>
          <w:sz w:val="24"/>
        </w:rPr>
        <w:t>年底下降</w:t>
      </w:r>
      <w:r>
        <w:rPr>
          <w:color w:val="000000"/>
          <w:sz w:val="24"/>
        </w:rPr>
        <w:t>230BP</w:t>
      </w:r>
      <w:r>
        <w:rPr>
          <w:color w:val="000000"/>
          <w:sz w:val="24"/>
        </w:rPr>
        <w:t>以上。受货币政策转向、资金面宽松叠加中美贸易战导致经济悲观预期加深等因素影响，</w:t>
      </w:r>
      <w:r>
        <w:rPr>
          <w:color w:val="000000"/>
          <w:sz w:val="24"/>
        </w:rPr>
        <w:t>2018</w:t>
      </w:r>
      <w:r>
        <w:rPr>
          <w:color w:val="000000"/>
          <w:sz w:val="24"/>
        </w:rPr>
        <w:t>年债市在年初回调至高位后，迎来了大涨行情。十二月底十年期国开债</w:t>
      </w:r>
      <w:r>
        <w:rPr>
          <w:color w:val="000000"/>
          <w:sz w:val="24"/>
        </w:rPr>
        <w:t>YTM</w:t>
      </w:r>
      <w:r>
        <w:rPr>
          <w:color w:val="000000"/>
          <w:sz w:val="24"/>
        </w:rPr>
        <w:t>较</w:t>
      </w:r>
      <w:r>
        <w:rPr>
          <w:color w:val="000000"/>
          <w:sz w:val="24"/>
        </w:rPr>
        <w:t>2017</w:t>
      </w:r>
      <w:r>
        <w:rPr>
          <w:color w:val="000000"/>
          <w:sz w:val="24"/>
        </w:rPr>
        <w:t>年底回落</w:t>
      </w:r>
      <w:r>
        <w:rPr>
          <w:color w:val="000000"/>
          <w:sz w:val="24"/>
        </w:rPr>
        <w:t>117BP</w:t>
      </w:r>
      <w:r>
        <w:rPr>
          <w:color w:val="000000"/>
          <w:sz w:val="24"/>
        </w:rPr>
        <w:t>以上，三年期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年底回落</w:t>
      </w:r>
      <w:r>
        <w:rPr>
          <w:color w:val="000000"/>
          <w:sz w:val="24"/>
        </w:rPr>
        <w:t>147BP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基金操作方面，报告期内本基金保持流动性以期满足基金份额持有人潜在赎回需求，择机调整组合杠杆与债券持仓，为持有人创造稳健的回报。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年，尽管中美重启贸易磋商预示着</w:t>
      </w:r>
      <w:r w:rsidRPr="001358D2">
        <w:rPr>
          <w:color w:val="000000"/>
          <w:sz w:val="24"/>
        </w:rPr>
        <w:t>2019</w:t>
      </w:r>
      <w:r w:rsidRPr="001358D2">
        <w:rPr>
          <w:color w:val="000000"/>
          <w:sz w:val="24"/>
        </w:rPr>
        <w:t>年一季度的中美贸易谈判有望朝着向好的方向进展，但是</w:t>
      </w:r>
      <w:r w:rsidRPr="001358D2">
        <w:rPr>
          <w:color w:val="000000"/>
          <w:sz w:val="24"/>
        </w:rPr>
        <w:t>2018</w:t>
      </w:r>
      <w:r w:rsidRPr="001358D2">
        <w:rPr>
          <w:color w:val="00000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w:t>
      </w:r>
      <w:r w:rsidRPr="001358D2">
        <w:rPr>
          <w:color w:val="000000"/>
          <w:sz w:val="24"/>
        </w:rPr>
        <w:t>“</w:t>
      </w:r>
      <w:r w:rsidRPr="001358D2">
        <w:rPr>
          <w:color w:val="000000"/>
          <w:sz w:val="24"/>
        </w:rPr>
        <w:t>加大逆周期调节的力度</w:t>
      </w:r>
      <w:r w:rsidRPr="001358D2">
        <w:rPr>
          <w:color w:val="000000"/>
          <w:sz w:val="24"/>
        </w:rPr>
        <w:t>”</w:t>
      </w:r>
      <w:r w:rsidRPr="001358D2">
        <w:rPr>
          <w:color w:val="000000"/>
          <w:sz w:val="24"/>
        </w:rPr>
        <w:t>，并且已在</w:t>
      </w:r>
      <w:r w:rsidRPr="001358D2">
        <w:rPr>
          <w:color w:val="000000"/>
          <w:sz w:val="24"/>
        </w:rPr>
        <w:t>2019</w:t>
      </w:r>
      <w:r w:rsidRPr="001358D2">
        <w:rPr>
          <w:color w:val="00000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紧密跟踪研判宏观经济走势，密切跟踪央行货币政策操作与监管政策动态，同时严格管控风险，积极跟踪把握市场机会，努力为份额持有人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D06AA7" w:rsidRDefault="007F12B1">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6AA7" w:rsidRDefault="007F12B1">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作为本基金的托管人，中信银行严格遵守了《证券投资基金法》及其他有关法律法规、基金合同和托管协议的规定，对交银施罗德丰盈收益债券型证券投资基金</w:t>
      </w:r>
      <w:r w:rsidRPr="005A1E76">
        <w:rPr>
          <w:color w:val="000000"/>
          <w:sz w:val="24"/>
        </w:rPr>
        <w:t>2018</w:t>
      </w:r>
      <w:r w:rsidRPr="005A1E76">
        <w:rPr>
          <w:color w:val="000000"/>
          <w:sz w:val="24"/>
        </w:rPr>
        <w:t>年度的投资运作，进行了认真、独立的会计核算和必要的投资监督，履行了托管人的义务，不存在任何损害基金份额持有人利益的行为。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交银施罗德丰盈收益债券型证券投资基金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21520</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交银施罗德丰盈收益债券型证券投资基金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76,484.35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336,809.72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66,824.57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1,440,011.66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5,114.07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16,042.54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31,954,566.00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61,008,151.50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31,954,566.00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61,008,151.50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265.68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891,094.21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886,105.23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20,409.94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29.98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33,314,758.82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63,687,150.63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203,782.78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8,557.45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47,955.60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2,852.48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8,991.65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1,398.25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305.00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775.40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89,500.00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300,200.00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102,659.87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561,714.12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30,973,662.51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61,181,140.97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2,238,436.44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1,944,295.54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33,212,098.95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63,125,436.51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33,314,758.82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63,687,150.63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1.067</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1.112</w:t>
      </w:r>
      <w:r w:rsidR="001A59F9" w:rsidRPr="00E25C2A">
        <w:rPr>
          <w:kern w:val="0"/>
          <w:sz w:val="24"/>
        </w:rPr>
        <w:t>元，基金份额总额</w:t>
      </w:r>
      <w:r w:rsidR="001A59F9" w:rsidRPr="00E25C2A">
        <w:rPr>
          <w:kern w:val="0"/>
          <w:sz w:val="24"/>
        </w:rPr>
        <w:t>30,973,662.51</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27,161,445.45</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3,812,217.06</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交银施罗德丰盈收益债券型证券投资基金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2,207,649.21</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14,153,362.33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1,902,881.58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22,488,171.09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15,618.02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256,429.74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1,813,988.67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20,613,663.22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73,274.89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1,618,078.13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-75,914.51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-9,526,169.48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-75,914.51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-9,526,169.48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378,709.61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1,191,198.77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1,972.53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161.95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677,530.28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5,761,924.56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333,354.77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2,880,634.62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69,461.67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540,118.99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50,962.21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40.03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770.03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8,696.05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40,664.69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1,974,000.00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40,664.69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1,974,000.00</w:t>
            </w:r>
          </w:p>
        </w:tc>
      </w:tr>
      <w:tr w:rsidR="00FB2916" w:rsidRPr="008B2C7A" w:rsidTr="007F12B1">
        <w:tc>
          <w:tcPr>
            <w:tcW w:w="3544" w:type="dxa"/>
            <w:vAlign w:val="center"/>
          </w:tcPr>
          <w:p w:rsidR="00FB2916" w:rsidRPr="00FB2916" w:rsidRDefault="00FB2916" w:rsidP="007F12B1">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7F12B1">
            <w:pPr>
              <w:pStyle w:val="af6"/>
              <w:jc w:val="center"/>
              <w:rPr>
                <w:rFonts w:ascii="Times New Roman" w:eastAsiaTheme="minorEastAsia" w:hAnsi="Times New Roman"/>
                <w:color w:val="000000"/>
              </w:rPr>
            </w:pPr>
          </w:p>
        </w:tc>
        <w:tc>
          <w:tcPr>
            <w:tcW w:w="2268" w:type="dxa"/>
            <w:vAlign w:val="bottom"/>
          </w:tcPr>
          <w:p w:rsidR="00FB2916" w:rsidRPr="00FB2916" w:rsidRDefault="00FB2916" w:rsidP="007F12B1">
            <w:pPr>
              <w:jc w:val="right"/>
              <w:rPr>
                <w:rFonts w:eastAsiaTheme="minorEastAsia"/>
                <w:color w:val="000000"/>
                <w:sz w:val="24"/>
              </w:rPr>
            </w:pPr>
            <w:r w:rsidRPr="00FB2916">
              <w:rPr>
                <w:rFonts w:eastAsiaTheme="minorEastAsia"/>
                <w:color w:val="000000"/>
                <w:sz w:val="24"/>
              </w:rPr>
              <w:t>246.92</w:t>
            </w:r>
          </w:p>
        </w:tc>
        <w:tc>
          <w:tcPr>
            <w:tcW w:w="2207" w:type="dxa"/>
            <w:vAlign w:val="bottom"/>
          </w:tcPr>
          <w:p w:rsidR="00FB2916" w:rsidRPr="00FB2916" w:rsidRDefault="00FB2916" w:rsidP="007F12B1">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182,069.99</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358,434.87</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1,530,118.93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8,391,437.77</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1,530,118.93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8,391,437.77</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交银施罗德丰盈收益债券型证券投资基金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61,181,140.97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1,944,295.54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63,125,436.51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1,530,118.93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1,530,118.93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-30,207,478.46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-1,235,978.03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-31,443,456.49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64,730,133.26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5,511,040.86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70,241,174.12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-94,937,611.72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-6,747,018.89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-101,684,630.61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30,973,662.51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2,238,436.44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33,212,098.95</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510,658,140.93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4,926,158.35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515,584,299.28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8,391,437.77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8,391,437.77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-449,476,999.96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-11,373,300.58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-460,850,300.54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851,177.00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23,133.29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874,310.29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-450,328,176.96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-11,396,433.87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-461,724,610.83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61,181,140.97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1,944,295.54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63,125,436.51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06AA7" w:rsidRDefault="007F12B1">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类基金份额，在投资人申购时不收取申购费用、赎回时收取短期赎回费，且从本类别基金资产中计提销售服务费的，称为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类基金份额的申购。根据《关于交银施罗德丰盈收益债券型证券投资基金封闭期结束转为开放式运作并同时增加开通</w:t>
      </w:r>
      <w:r>
        <w:rPr>
          <w:color w:val="000000"/>
          <w:sz w:val="24"/>
        </w:rPr>
        <w:t>C</w:t>
      </w:r>
      <w:r>
        <w:rPr>
          <w:color w:val="000000"/>
          <w:sz w:val="24"/>
        </w:rPr>
        <w:t>类基金份额暨开放基金日常申购、赎回、定期定额投资业务并参与部分销售机构申购费率优惠活动的公告》的相关规定，本基金封闭期自</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日止，自</w:t>
      </w:r>
      <w:r>
        <w:rPr>
          <w:color w:val="000000"/>
          <w:sz w:val="24"/>
        </w:rPr>
        <w:t>2017</w:t>
      </w:r>
      <w:r>
        <w:rPr>
          <w:color w:val="000000"/>
          <w:sz w:val="24"/>
        </w:rPr>
        <w:t>年</w:t>
      </w:r>
      <w:r>
        <w:rPr>
          <w:color w:val="000000"/>
          <w:sz w:val="24"/>
        </w:rPr>
        <w:t>8</w:t>
      </w:r>
      <w:r>
        <w:rPr>
          <w:color w:val="000000"/>
          <w:sz w:val="24"/>
        </w:rPr>
        <w:t>月</w:t>
      </w:r>
      <w:r>
        <w:rPr>
          <w:color w:val="000000"/>
          <w:sz w:val="24"/>
        </w:rPr>
        <w:t>14</w:t>
      </w:r>
      <w:r>
        <w:rPr>
          <w:color w:val="000000"/>
          <w:sz w:val="24"/>
        </w:rPr>
        <w:t>日起转为开放式运作，自该日起开始办理日常申购、赎回业务，并同时增加开通</w:t>
      </w:r>
      <w:r>
        <w:rPr>
          <w:color w:val="000000"/>
          <w:sz w:val="24"/>
        </w:rPr>
        <w:t>C</w:t>
      </w:r>
      <w:r>
        <w:rPr>
          <w:color w:val="000000"/>
          <w:sz w:val="24"/>
        </w:rPr>
        <w:t>类基金份额。</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分离交易可转债的纯债部分除外</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Pr>
          <w:color w:val="000000"/>
          <w:sz w:val="24"/>
        </w:rPr>
        <w:t>80%</w:t>
      </w:r>
      <w:r>
        <w:rPr>
          <w:color w:val="000000"/>
          <w:sz w:val="24"/>
        </w:rPr>
        <w:t>，但在封闭期结束转开放的前后三个月内，基金投资不受上述债券资产投资比例限制。本基金在开放期内，现金或到期日在一年以内的政府债券的比例合计不低于基金资产净值的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，其中现金不包括结算备付金、存出保证金和应收申购款等。本基金封闭期内业绩比较基准为三年期银行定期存款税后收益率，转为开放式运作后业绩比较基准为中债综合全价指数。</w:t>
      </w:r>
    </w:p>
    <w:p w:rsidR="00D06AA7" w:rsidRDefault="00D06AA7">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06AA7" w:rsidRDefault="007F12B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颁布的《证券投资基金会计核算业务指引》、《交银施罗德丰盈收益债券型证券投资基金基金合同》和在财务报表附注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D06AA7" w:rsidRDefault="00D06AA7">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w:t>
      </w:r>
      <w:r w:rsidRPr="00592B92">
        <w:rPr>
          <w:color w:val="000000"/>
          <w:sz w:val="24"/>
        </w:rPr>
        <w:t xml:space="preserve"> </w:t>
      </w:r>
      <w:r w:rsidRPr="00592B92">
        <w:rPr>
          <w:color w:val="000000"/>
          <w:sz w:val="24"/>
        </w:rPr>
        <w:t>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06AA7" w:rsidRDefault="007F12B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06AA7" w:rsidRDefault="007F12B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06AA7" w:rsidRDefault="007F12B1">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06AA7" w:rsidRDefault="007F12B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D06AA7" w:rsidRDefault="007F12B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06AA7">
        <w:tc>
          <w:tcPr>
            <w:tcW w:w="5219" w:type="dxa"/>
            <w:vAlign w:val="center"/>
          </w:tcPr>
          <w:p w:rsidR="00D06AA7" w:rsidRDefault="007F12B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6AA7" w:rsidRDefault="007F12B1">
            <w:pPr>
              <w:jc w:val="center"/>
            </w:pPr>
            <w:r>
              <w:rPr>
                <w:color w:val="000000"/>
                <w:sz w:val="24"/>
              </w:rPr>
              <w:t>基金管理人、基金销售机构</w:t>
            </w:r>
          </w:p>
        </w:tc>
      </w:tr>
      <w:tr w:rsidR="00D06AA7">
        <w:tc>
          <w:tcPr>
            <w:tcW w:w="5219" w:type="dxa"/>
            <w:vAlign w:val="center"/>
          </w:tcPr>
          <w:p w:rsidR="00D06AA7" w:rsidRDefault="007F12B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06AA7" w:rsidRDefault="007F12B1">
            <w:pPr>
              <w:jc w:val="center"/>
            </w:pPr>
            <w:r>
              <w:rPr>
                <w:color w:val="000000"/>
                <w:sz w:val="24"/>
              </w:rPr>
              <w:t>基金托管人、基金销售机构</w:t>
            </w:r>
          </w:p>
        </w:tc>
      </w:tr>
      <w:tr w:rsidR="00D06AA7">
        <w:tc>
          <w:tcPr>
            <w:tcW w:w="5219" w:type="dxa"/>
            <w:vAlign w:val="center"/>
          </w:tcPr>
          <w:p w:rsidR="00D06AA7" w:rsidRDefault="007F12B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6AA7" w:rsidRDefault="007F12B1">
            <w:pPr>
              <w:jc w:val="center"/>
            </w:pPr>
            <w:r>
              <w:rPr>
                <w:color w:val="000000"/>
                <w:sz w:val="24"/>
              </w:rPr>
              <w:t>基金管理人的股东、基金销售机构</w:t>
            </w:r>
          </w:p>
        </w:tc>
      </w:tr>
      <w:tr w:rsidR="00D06AA7">
        <w:tc>
          <w:tcPr>
            <w:tcW w:w="5219" w:type="dxa"/>
            <w:vAlign w:val="center"/>
          </w:tcPr>
          <w:p w:rsidR="00D06AA7" w:rsidRDefault="007F12B1">
            <w:pPr>
              <w:jc w:val="left"/>
            </w:pPr>
            <w:r>
              <w:rPr>
                <w:color w:val="000000"/>
                <w:sz w:val="24"/>
              </w:rPr>
              <w:t>施罗德投资管理有限公司</w:t>
            </w:r>
          </w:p>
        </w:tc>
        <w:tc>
          <w:tcPr>
            <w:tcW w:w="3779" w:type="dxa"/>
            <w:vAlign w:val="center"/>
          </w:tcPr>
          <w:p w:rsidR="00D06AA7" w:rsidRDefault="007F12B1">
            <w:pPr>
              <w:jc w:val="center"/>
            </w:pPr>
            <w:r>
              <w:rPr>
                <w:color w:val="000000"/>
                <w:sz w:val="24"/>
              </w:rPr>
              <w:t>基金管理人的股东</w:t>
            </w:r>
          </w:p>
        </w:tc>
      </w:tr>
      <w:tr w:rsidR="00D06AA7">
        <w:tc>
          <w:tcPr>
            <w:tcW w:w="5219" w:type="dxa"/>
            <w:vAlign w:val="center"/>
          </w:tcPr>
          <w:p w:rsidR="00D06AA7" w:rsidRDefault="007F12B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06AA7" w:rsidRDefault="007F12B1">
            <w:pPr>
              <w:jc w:val="center"/>
            </w:pPr>
            <w:r>
              <w:rPr>
                <w:color w:val="000000"/>
                <w:sz w:val="24"/>
              </w:rPr>
              <w:t>基金管理人的股东</w:t>
            </w:r>
          </w:p>
        </w:tc>
      </w:tr>
      <w:tr w:rsidR="00D06AA7">
        <w:tc>
          <w:tcPr>
            <w:tcW w:w="5219" w:type="dxa"/>
            <w:vAlign w:val="center"/>
          </w:tcPr>
          <w:p w:rsidR="00D06AA7" w:rsidRDefault="007F12B1">
            <w:pPr>
              <w:jc w:val="left"/>
            </w:pPr>
            <w:r>
              <w:rPr>
                <w:color w:val="000000"/>
                <w:sz w:val="24"/>
              </w:rPr>
              <w:t>交银施罗德资产管理有限公司</w:t>
            </w:r>
          </w:p>
        </w:tc>
        <w:tc>
          <w:tcPr>
            <w:tcW w:w="3779" w:type="dxa"/>
            <w:vAlign w:val="center"/>
          </w:tcPr>
          <w:p w:rsidR="00D06AA7" w:rsidRDefault="007F12B1">
            <w:pPr>
              <w:jc w:val="center"/>
            </w:pPr>
            <w:r>
              <w:rPr>
                <w:color w:val="000000"/>
                <w:sz w:val="24"/>
              </w:rPr>
              <w:t>基金管理人的子公司</w:t>
            </w:r>
          </w:p>
        </w:tc>
      </w:tr>
      <w:tr w:rsidR="00D06AA7">
        <w:tc>
          <w:tcPr>
            <w:tcW w:w="5219" w:type="dxa"/>
            <w:vAlign w:val="center"/>
          </w:tcPr>
          <w:p w:rsidR="00D06AA7" w:rsidRDefault="007F12B1">
            <w:pPr>
              <w:jc w:val="left"/>
            </w:pPr>
            <w:r>
              <w:rPr>
                <w:color w:val="000000"/>
                <w:sz w:val="24"/>
              </w:rPr>
              <w:t>上海直源投资管理有限公司</w:t>
            </w:r>
          </w:p>
        </w:tc>
        <w:tc>
          <w:tcPr>
            <w:tcW w:w="3779" w:type="dxa"/>
            <w:vAlign w:val="center"/>
          </w:tcPr>
          <w:p w:rsidR="00D06AA7" w:rsidRDefault="007F12B1">
            <w:pPr>
              <w:jc w:val="center"/>
            </w:pPr>
            <w:r>
              <w:rPr>
                <w:color w:val="000000"/>
                <w:sz w:val="24"/>
              </w:rPr>
              <w:t>受基金管理人控制的公司</w:t>
            </w:r>
          </w:p>
        </w:tc>
      </w:tr>
      <w:tr w:rsidR="00D06AA7">
        <w:tc>
          <w:tcPr>
            <w:tcW w:w="5219" w:type="dxa"/>
            <w:vAlign w:val="center"/>
          </w:tcPr>
          <w:p w:rsidR="00D06AA7" w:rsidRDefault="007F12B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06AA7" w:rsidRDefault="007F12B1">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333,354.77</w:t>
            </w:r>
          </w:p>
        </w:tc>
        <w:tc>
          <w:tcPr>
            <w:tcW w:w="2657" w:type="dxa"/>
            <w:vAlign w:val="center"/>
          </w:tcPr>
          <w:p w:rsidR="001A59F9" w:rsidRPr="00817316" w:rsidRDefault="001A59F9" w:rsidP="00817316">
            <w:pPr>
              <w:spacing w:before="29" w:line="288" w:lineRule="auto"/>
              <w:jc w:val="right"/>
              <w:rPr>
                <w:sz w:val="24"/>
              </w:rPr>
            </w:pPr>
            <w:r w:rsidRPr="00817316">
              <w:rPr>
                <w:sz w:val="24"/>
              </w:rPr>
              <w:t>2,880,634.62</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136,023.46</w:t>
            </w:r>
          </w:p>
        </w:tc>
        <w:tc>
          <w:tcPr>
            <w:tcW w:w="2657" w:type="dxa"/>
            <w:vAlign w:val="center"/>
          </w:tcPr>
          <w:p w:rsidR="001A59F9" w:rsidRPr="00817316" w:rsidRDefault="001A59F9" w:rsidP="00817316">
            <w:pPr>
              <w:spacing w:before="29" w:line="288" w:lineRule="auto"/>
              <w:jc w:val="right"/>
              <w:rPr>
                <w:sz w:val="24"/>
              </w:rPr>
            </w:pPr>
            <w:r w:rsidRPr="00817316">
              <w:rPr>
                <w:sz w:val="24"/>
              </w:rPr>
              <w:t>1,312,455.76</w:t>
            </w:r>
          </w:p>
        </w:tc>
      </w:tr>
    </w:tbl>
    <w:p w:rsidR="00D06AA7" w:rsidRDefault="007F12B1">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9</w:t>
      </w:r>
      <w:r>
        <w:rPr>
          <w:kern w:val="0"/>
          <w:sz w:val="24"/>
        </w:rPr>
        <w:t>月</w:t>
      </w:r>
      <w:r>
        <w:rPr>
          <w:kern w:val="0"/>
          <w:sz w:val="24"/>
        </w:rPr>
        <w:t>13</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D06AA7" w:rsidRDefault="007F12B1">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D06AA7" w:rsidRDefault="007F12B1">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9</w:t>
      </w:r>
      <w:r>
        <w:rPr>
          <w:kern w:val="0"/>
          <w:sz w:val="24"/>
        </w:rPr>
        <w:t>月</w:t>
      </w:r>
      <w:r>
        <w:rPr>
          <w:kern w:val="0"/>
          <w:sz w:val="24"/>
        </w:rPr>
        <w:t>14</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69,461.67</w:t>
            </w:r>
          </w:p>
        </w:tc>
        <w:tc>
          <w:tcPr>
            <w:tcW w:w="2657" w:type="dxa"/>
            <w:vAlign w:val="center"/>
          </w:tcPr>
          <w:p w:rsidR="001A59F9" w:rsidRPr="00817316" w:rsidRDefault="001A59F9" w:rsidP="00817316">
            <w:pPr>
              <w:spacing w:before="29" w:line="288" w:lineRule="auto"/>
              <w:jc w:val="right"/>
              <w:rPr>
                <w:sz w:val="24"/>
              </w:rPr>
            </w:pPr>
            <w:r w:rsidRPr="00817316">
              <w:rPr>
                <w:sz w:val="24"/>
              </w:rPr>
              <w:t>540,118.99</w:t>
            </w:r>
          </w:p>
        </w:tc>
      </w:tr>
    </w:tbl>
    <w:p w:rsidR="00D06AA7" w:rsidRDefault="007F12B1">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09</w:t>
      </w:r>
      <w:r>
        <w:rPr>
          <w:kern w:val="0"/>
          <w:sz w:val="24"/>
        </w:rPr>
        <w:t>月</w:t>
      </w:r>
      <w:r>
        <w:rPr>
          <w:kern w:val="0"/>
          <w:sz w:val="24"/>
        </w:rPr>
        <w:t>13</w:t>
      </w:r>
      <w:r>
        <w:rPr>
          <w:kern w:val="0"/>
          <w:sz w:val="24"/>
        </w:rPr>
        <w:t>日，支付基金托管人的托管费按前一日基金资产净值</w:t>
      </w:r>
      <w:r>
        <w:rPr>
          <w:kern w:val="0"/>
          <w:sz w:val="24"/>
        </w:rPr>
        <w:t>0.15%</w:t>
      </w:r>
      <w:r>
        <w:rPr>
          <w:kern w:val="0"/>
          <w:sz w:val="24"/>
        </w:rPr>
        <w:t>的年费率计提，逐日累计至每月月底，按月支付。其计算公式为：</w:t>
      </w:r>
    </w:p>
    <w:p w:rsidR="00D06AA7" w:rsidRDefault="007F12B1">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D06AA7" w:rsidRDefault="007F12B1">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09</w:t>
      </w:r>
      <w:r>
        <w:rPr>
          <w:kern w:val="0"/>
          <w:sz w:val="24"/>
        </w:rPr>
        <w:t>月</w:t>
      </w:r>
      <w:r>
        <w:rPr>
          <w:kern w:val="0"/>
          <w:sz w:val="24"/>
        </w:rPr>
        <w:t>14</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 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7F12B1">
        <w:tc>
          <w:tcPr>
            <w:tcW w:w="2110" w:type="dxa"/>
            <w:vMerge w:val="restart"/>
            <w:vAlign w:val="center"/>
          </w:tcPr>
          <w:p w:rsidR="0007161E" w:rsidRPr="00251201" w:rsidRDefault="0007161E" w:rsidP="007F12B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7F12B1">
        <w:tc>
          <w:tcPr>
            <w:tcW w:w="2110" w:type="dxa"/>
            <w:vMerge/>
          </w:tcPr>
          <w:p w:rsidR="0007161E" w:rsidRPr="00251201" w:rsidRDefault="0007161E" w:rsidP="007F12B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7F12B1">
        <w:tc>
          <w:tcPr>
            <w:tcW w:w="2110" w:type="dxa"/>
            <w:vMerge/>
          </w:tcPr>
          <w:p w:rsidR="0007161E" w:rsidRPr="00251201" w:rsidRDefault="0007161E" w:rsidP="007F12B1">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06AA7">
        <w:tc>
          <w:tcPr>
            <w:tcW w:w="2045" w:type="dxa"/>
            <w:vAlign w:val="center"/>
          </w:tcPr>
          <w:p w:rsidR="00D06AA7" w:rsidRDefault="007F12B1">
            <w:pPr>
              <w:jc w:val="left"/>
            </w:pPr>
            <w:r>
              <w:rPr>
                <w:sz w:val="24"/>
              </w:rPr>
              <w:t>中信银行</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w:t>
            </w:r>
          </w:p>
        </w:tc>
        <w:tc>
          <w:tcPr>
            <w:tcW w:w="1889" w:type="dxa"/>
            <w:vAlign w:val="center"/>
          </w:tcPr>
          <w:p w:rsidR="00D06AA7" w:rsidRDefault="007F12B1">
            <w:pPr>
              <w:jc w:val="right"/>
            </w:pPr>
            <w:r>
              <w:rPr>
                <w:sz w:val="24"/>
              </w:rPr>
              <w:t>-</w:t>
            </w:r>
          </w:p>
        </w:tc>
      </w:tr>
      <w:tr w:rsidR="00D06AA7">
        <w:tc>
          <w:tcPr>
            <w:tcW w:w="2045" w:type="dxa"/>
            <w:vAlign w:val="center"/>
          </w:tcPr>
          <w:p w:rsidR="00D06AA7" w:rsidRDefault="007F12B1">
            <w:pPr>
              <w:jc w:val="left"/>
            </w:pPr>
            <w:r>
              <w:rPr>
                <w:sz w:val="24"/>
              </w:rPr>
              <w:t>交通银行</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3,970.99</w:t>
            </w:r>
          </w:p>
        </w:tc>
        <w:tc>
          <w:tcPr>
            <w:tcW w:w="1889" w:type="dxa"/>
            <w:vAlign w:val="center"/>
          </w:tcPr>
          <w:p w:rsidR="00D06AA7" w:rsidRDefault="007F12B1">
            <w:pPr>
              <w:jc w:val="right"/>
            </w:pPr>
            <w:r>
              <w:rPr>
                <w:sz w:val="24"/>
              </w:rPr>
              <w:t>3,970.99</w:t>
            </w:r>
          </w:p>
        </w:tc>
      </w:tr>
      <w:tr w:rsidR="00D06AA7">
        <w:tc>
          <w:tcPr>
            <w:tcW w:w="2045" w:type="dxa"/>
            <w:vAlign w:val="center"/>
          </w:tcPr>
          <w:p w:rsidR="00D06AA7" w:rsidRDefault="007F12B1">
            <w:pPr>
              <w:jc w:val="left"/>
            </w:pPr>
            <w:r>
              <w:rPr>
                <w:sz w:val="24"/>
              </w:rPr>
              <w:t>交银施罗德基金公司</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41,614.26</w:t>
            </w:r>
          </w:p>
        </w:tc>
        <w:tc>
          <w:tcPr>
            <w:tcW w:w="1889" w:type="dxa"/>
            <w:vAlign w:val="center"/>
          </w:tcPr>
          <w:p w:rsidR="00D06AA7" w:rsidRDefault="007F12B1">
            <w:pPr>
              <w:jc w:val="right"/>
            </w:pPr>
            <w:r>
              <w:rPr>
                <w:sz w:val="24"/>
              </w:rPr>
              <w:t>41,614.26</w:t>
            </w:r>
          </w:p>
        </w:tc>
      </w:tr>
      <w:tr w:rsidR="0007161E" w:rsidTr="007F12B1">
        <w:tc>
          <w:tcPr>
            <w:tcW w:w="2110" w:type="dxa"/>
            <w:vAlign w:val="center"/>
          </w:tcPr>
          <w:p w:rsidR="0007161E" w:rsidRDefault="0007161E" w:rsidP="007F12B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45,585.25</w:t>
            </w:r>
          </w:p>
        </w:tc>
        <w:tc>
          <w:tcPr>
            <w:tcW w:w="1948"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45,585.25</w:t>
            </w:r>
          </w:p>
        </w:tc>
      </w:tr>
      <w:tr w:rsidR="0007161E" w:rsidTr="007F12B1">
        <w:tc>
          <w:tcPr>
            <w:tcW w:w="2110" w:type="dxa"/>
            <w:vMerge w:val="restart"/>
            <w:vAlign w:val="center"/>
          </w:tcPr>
          <w:p w:rsidR="0007161E" w:rsidRPr="00251201" w:rsidRDefault="0007161E" w:rsidP="007F12B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7F12B1">
        <w:tc>
          <w:tcPr>
            <w:tcW w:w="2110" w:type="dxa"/>
            <w:vMerge/>
          </w:tcPr>
          <w:p w:rsidR="0007161E" w:rsidRPr="00251201" w:rsidRDefault="0007161E" w:rsidP="007F12B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7F12B1">
        <w:tc>
          <w:tcPr>
            <w:tcW w:w="2110" w:type="dxa"/>
            <w:vMerge/>
          </w:tcPr>
          <w:p w:rsidR="0007161E" w:rsidRPr="00251201" w:rsidRDefault="0007161E" w:rsidP="007F12B1">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07161E" w:rsidRPr="00251201" w:rsidRDefault="0007161E" w:rsidP="007F12B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06AA7">
        <w:tc>
          <w:tcPr>
            <w:tcW w:w="2045" w:type="dxa"/>
            <w:vAlign w:val="center"/>
          </w:tcPr>
          <w:p w:rsidR="00D06AA7" w:rsidRDefault="007F12B1">
            <w:pPr>
              <w:jc w:val="left"/>
            </w:pPr>
            <w:r>
              <w:rPr>
                <w:sz w:val="24"/>
              </w:rPr>
              <w:t>中信银行</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w:t>
            </w:r>
          </w:p>
        </w:tc>
        <w:tc>
          <w:tcPr>
            <w:tcW w:w="1889" w:type="dxa"/>
            <w:vAlign w:val="center"/>
          </w:tcPr>
          <w:p w:rsidR="00D06AA7" w:rsidRDefault="007F12B1">
            <w:pPr>
              <w:jc w:val="right"/>
            </w:pPr>
            <w:r>
              <w:rPr>
                <w:sz w:val="24"/>
              </w:rPr>
              <w:t>-</w:t>
            </w:r>
          </w:p>
        </w:tc>
      </w:tr>
      <w:tr w:rsidR="00D06AA7">
        <w:tc>
          <w:tcPr>
            <w:tcW w:w="2045" w:type="dxa"/>
            <w:vAlign w:val="center"/>
          </w:tcPr>
          <w:p w:rsidR="00D06AA7" w:rsidRDefault="007F12B1">
            <w:pPr>
              <w:jc w:val="left"/>
            </w:pPr>
            <w:r>
              <w:rPr>
                <w:sz w:val="24"/>
              </w:rPr>
              <w:t>交通银行</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w:t>
            </w:r>
          </w:p>
        </w:tc>
        <w:tc>
          <w:tcPr>
            <w:tcW w:w="1889" w:type="dxa"/>
            <w:vAlign w:val="center"/>
          </w:tcPr>
          <w:p w:rsidR="00D06AA7" w:rsidRDefault="007F12B1">
            <w:pPr>
              <w:jc w:val="right"/>
            </w:pPr>
            <w:r>
              <w:rPr>
                <w:sz w:val="24"/>
              </w:rPr>
              <w:t>-</w:t>
            </w:r>
          </w:p>
        </w:tc>
      </w:tr>
      <w:tr w:rsidR="00D06AA7">
        <w:tc>
          <w:tcPr>
            <w:tcW w:w="2045" w:type="dxa"/>
            <w:vAlign w:val="center"/>
          </w:tcPr>
          <w:p w:rsidR="00D06AA7" w:rsidRDefault="007F12B1">
            <w:pPr>
              <w:jc w:val="left"/>
            </w:pPr>
            <w:r>
              <w:rPr>
                <w:sz w:val="24"/>
              </w:rPr>
              <w:t>交银施罗德基金公司</w:t>
            </w:r>
          </w:p>
        </w:tc>
        <w:tc>
          <w:tcPr>
            <w:tcW w:w="2455" w:type="dxa"/>
            <w:vAlign w:val="center"/>
          </w:tcPr>
          <w:p w:rsidR="00D06AA7" w:rsidRDefault="007F12B1">
            <w:pPr>
              <w:jc w:val="right"/>
            </w:pPr>
            <w:r>
              <w:rPr>
                <w:sz w:val="24"/>
              </w:rPr>
              <w:t>-</w:t>
            </w:r>
          </w:p>
        </w:tc>
        <w:tc>
          <w:tcPr>
            <w:tcW w:w="2609" w:type="dxa"/>
            <w:vAlign w:val="center"/>
          </w:tcPr>
          <w:p w:rsidR="00D06AA7" w:rsidRDefault="007F12B1">
            <w:pPr>
              <w:jc w:val="right"/>
            </w:pPr>
            <w:r>
              <w:rPr>
                <w:sz w:val="24"/>
              </w:rPr>
              <w:t>-</w:t>
            </w:r>
          </w:p>
        </w:tc>
        <w:tc>
          <w:tcPr>
            <w:tcW w:w="1889" w:type="dxa"/>
            <w:vAlign w:val="center"/>
          </w:tcPr>
          <w:p w:rsidR="00D06AA7" w:rsidRDefault="007F12B1">
            <w:pPr>
              <w:jc w:val="right"/>
            </w:pPr>
            <w:r>
              <w:rPr>
                <w:sz w:val="24"/>
              </w:rPr>
              <w:t>-</w:t>
            </w:r>
          </w:p>
        </w:tc>
      </w:tr>
      <w:tr w:rsidR="0007161E" w:rsidRPr="00C2276D" w:rsidTr="007F12B1">
        <w:tc>
          <w:tcPr>
            <w:tcW w:w="2110" w:type="dxa"/>
            <w:vAlign w:val="center"/>
          </w:tcPr>
          <w:p w:rsidR="0007161E" w:rsidRPr="00A4203E" w:rsidRDefault="0007161E" w:rsidP="007F12B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w:t>
            </w:r>
          </w:p>
        </w:tc>
        <w:tc>
          <w:tcPr>
            <w:tcW w:w="1948" w:type="dxa"/>
            <w:vAlign w:val="center"/>
          </w:tcPr>
          <w:p w:rsidR="0007161E" w:rsidRPr="00C2276D" w:rsidRDefault="0007161E" w:rsidP="007F12B1">
            <w:pPr>
              <w:spacing w:before="29" w:line="288" w:lineRule="auto"/>
              <w:jc w:val="center"/>
              <w:rPr>
                <w:color w:val="000000"/>
                <w:kern w:val="0"/>
                <w:sz w:val="24"/>
              </w:rPr>
            </w:pPr>
            <w:r w:rsidRPr="00C2276D">
              <w:rPr>
                <w:color w:val="000000"/>
                <w:kern w:val="0"/>
                <w:sz w:val="24"/>
              </w:rPr>
              <w:t>-</w:t>
            </w:r>
          </w:p>
        </w:tc>
      </w:tr>
    </w:tbl>
    <w:p w:rsidR="00D06AA7" w:rsidRDefault="007F12B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本基金本报告期内及上年度可比期间未发生与关联方进行银行间同业市场的债券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本报告期末及上年度末除基金管理人以外的其他关联方未投资本基金。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06AA7">
        <w:tc>
          <w:tcPr>
            <w:tcW w:w="2266" w:type="dxa"/>
            <w:vAlign w:val="center"/>
          </w:tcPr>
          <w:p w:rsidR="00D06AA7" w:rsidRDefault="007F12B1">
            <w:pPr>
              <w:jc w:val="left"/>
            </w:pPr>
            <w:r>
              <w:rPr>
                <w:szCs w:val="21"/>
              </w:rPr>
              <w:t>中信银行</w:t>
            </w:r>
          </w:p>
        </w:tc>
        <w:tc>
          <w:tcPr>
            <w:tcW w:w="1683" w:type="dxa"/>
            <w:vAlign w:val="center"/>
          </w:tcPr>
          <w:p w:rsidR="00D06AA7" w:rsidRDefault="007F12B1">
            <w:pPr>
              <w:jc w:val="right"/>
            </w:pPr>
            <w:r>
              <w:rPr>
                <w:szCs w:val="21"/>
              </w:rPr>
              <w:t>76,484.35</w:t>
            </w:r>
          </w:p>
        </w:tc>
        <w:tc>
          <w:tcPr>
            <w:tcW w:w="1683" w:type="dxa"/>
            <w:vAlign w:val="center"/>
          </w:tcPr>
          <w:p w:rsidR="00D06AA7" w:rsidRDefault="007F12B1">
            <w:pPr>
              <w:jc w:val="right"/>
            </w:pPr>
            <w:r>
              <w:rPr>
                <w:szCs w:val="21"/>
              </w:rPr>
              <w:t>8,559.98</w:t>
            </w:r>
          </w:p>
        </w:tc>
        <w:tc>
          <w:tcPr>
            <w:tcW w:w="1683" w:type="dxa"/>
            <w:vAlign w:val="center"/>
          </w:tcPr>
          <w:p w:rsidR="00D06AA7" w:rsidRDefault="007F12B1">
            <w:pPr>
              <w:jc w:val="right"/>
            </w:pPr>
            <w:r>
              <w:rPr>
                <w:szCs w:val="21"/>
              </w:rPr>
              <w:t>336,809.72</w:t>
            </w:r>
          </w:p>
        </w:tc>
        <w:tc>
          <w:tcPr>
            <w:tcW w:w="1683" w:type="dxa"/>
            <w:vAlign w:val="center"/>
          </w:tcPr>
          <w:p w:rsidR="00D06AA7" w:rsidRDefault="007F12B1">
            <w:pPr>
              <w:jc w:val="right"/>
            </w:pPr>
            <w:r>
              <w:rPr>
                <w:szCs w:val="21"/>
              </w:rPr>
              <w:t>87,364.29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本基金本报告期及上年度可比期间无须作说明的其他关联交易事项。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06AA7" w:rsidRDefault="007F12B1">
      <w:pPr>
        <w:spacing w:before="29" w:line="288" w:lineRule="auto"/>
        <w:ind w:firstLineChars="200" w:firstLine="480"/>
        <w:rPr>
          <w:color w:val="000000"/>
          <w:sz w:val="24"/>
        </w:rPr>
      </w:pPr>
      <w:r>
        <w:rPr>
          <w:color w:val="000000"/>
          <w:sz w:val="24"/>
        </w:rPr>
        <w:t>(1)</w:t>
      </w:r>
      <w:r>
        <w:rPr>
          <w:color w:val="000000"/>
          <w:sz w:val="24"/>
        </w:rPr>
        <w:t>公允价值</w:t>
      </w:r>
    </w:p>
    <w:p w:rsidR="00D06AA7" w:rsidRDefault="007F12B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06AA7" w:rsidRDefault="007F12B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第一层次：相同资产或负债在活跃市场上未经调整的报价。</w:t>
      </w:r>
    </w:p>
    <w:p w:rsidR="00D06AA7" w:rsidRDefault="007F12B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06AA7" w:rsidRDefault="007F12B1">
      <w:pPr>
        <w:spacing w:before="29" w:line="288" w:lineRule="auto"/>
        <w:ind w:firstLineChars="200" w:firstLine="480"/>
        <w:rPr>
          <w:color w:val="000000"/>
          <w:sz w:val="24"/>
        </w:rPr>
      </w:pPr>
      <w:r>
        <w:rPr>
          <w:color w:val="000000"/>
          <w:sz w:val="24"/>
        </w:rPr>
        <w:t>第三层次：相关资产或负债的不可观察输入值。</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06AA7" w:rsidRDefault="007F12B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06AA7" w:rsidRDefault="007F12B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31,954,566.00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61,008,151.50</w:t>
      </w:r>
      <w:r>
        <w:rPr>
          <w:color w:val="000000"/>
          <w:sz w:val="24"/>
        </w:rPr>
        <w:t>元，无第一或第三层次</w:t>
      </w:r>
      <w:r>
        <w:rPr>
          <w:color w:val="000000"/>
          <w:sz w:val="24"/>
        </w:rPr>
        <w:t>)</w:t>
      </w:r>
      <w:r>
        <w:rPr>
          <w:color w:val="000000"/>
          <w:sz w:val="24"/>
        </w:rPr>
        <w:t>。</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06AA7" w:rsidRDefault="007F12B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06AA7" w:rsidRDefault="007F12B1">
      <w:pPr>
        <w:spacing w:before="29" w:line="288" w:lineRule="auto"/>
        <w:ind w:firstLineChars="200" w:firstLine="480"/>
        <w:rPr>
          <w:color w:val="000000"/>
          <w:sz w:val="24"/>
        </w:rPr>
      </w:pPr>
      <w:r>
        <w:rPr>
          <w:color w:val="000000"/>
          <w:sz w:val="24"/>
        </w:rPr>
        <w:t>无。</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06AA7" w:rsidRDefault="007F12B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06AA7" w:rsidRDefault="007F12B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06AA7" w:rsidRDefault="00D06AA7">
      <w:pPr>
        <w:spacing w:before="29" w:line="288" w:lineRule="auto"/>
        <w:ind w:firstLineChars="200" w:firstLine="480"/>
        <w:rPr>
          <w:color w:val="000000"/>
          <w:sz w:val="24"/>
        </w:rPr>
      </w:pPr>
    </w:p>
    <w:p w:rsidR="00D06AA7" w:rsidRDefault="007F12B1">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D92A8E">
      <w:pPr>
        <w:spacing w:before="29" w:line="288" w:lineRule="auto"/>
        <w:ind w:firstLineChars="200" w:firstLine="480"/>
        <w:rPr>
          <w:color w:val="000000"/>
          <w:sz w:val="24"/>
        </w:rPr>
      </w:pP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31,954,566.00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31,954,566.00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0.90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143,308.92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0.43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916,883.90</w:t>
            </w:r>
          </w:p>
        </w:tc>
        <w:tc>
          <w:tcPr>
            <w:tcW w:w="1980" w:type="dxa"/>
            <w:vAlign w:val="center"/>
          </w:tcPr>
          <w:p w:rsidR="001E6CEE" w:rsidRPr="000008D1" w:rsidRDefault="001E6CEE" w:rsidP="00026C9C">
            <w:pPr>
              <w:spacing w:line="360" w:lineRule="auto"/>
              <w:jc w:val="right"/>
              <w:rPr>
                <w:sz w:val="24"/>
              </w:rPr>
            </w:pPr>
            <w:r w:rsidRPr="000008D1">
              <w:rPr>
                <w:sz w:val="24"/>
              </w:rPr>
              <w:t>2.75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33,314,758.82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31,954,566.00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96.21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31,954,566.00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96.21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7F12B1">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7F12B1">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7F12B1">
            <w:pPr>
              <w:spacing w:before="29" w:line="288" w:lineRule="auto"/>
              <w:ind w:left="17"/>
              <w:jc w:val="right"/>
              <w:rPr>
                <w:sz w:val="24"/>
              </w:rPr>
            </w:pPr>
            <w:r w:rsidRPr="006E14CE">
              <w:rPr>
                <w:sz w:val="24"/>
              </w:rPr>
              <w:t>-</w:t>
            </w:r>
          </w:p>
        </w:tc>
        <w:tc>
          <w:tcPr>
            <w:tcW w:w="2153" w:type="dxa"/>
            <w:vAlign w:val="center"/>
          </w:tcPr>
          <w:p w:rsidR="00804B04" w:rsidRPr="006E14CE" w:rsidRDefault="00804B04" w:rsidP="007F12B1">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31,954,566.00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96.21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06AA7">
        <w:tc>
          <w:tcPr>
            <w:tcW w:w="1320" w:type="dxa"/>
            <w:vAlign w:val="center"/>
          </w:tcPr>
          <w:p w:rsidR="00D06AA7" w:rsidRDefault="007F12B1">
            <w:pPr>
              <w:jc w:val="center"/>
            </w:pPr>
            <w:r>
              <w:rPr>
                <w:color w:val="000000"/>
                <w:sz w:val="24"/>
              </w:rPr>
              <w:t>1</w:t>
            </w:r>
          </w:p>
        </w:tc>
        <w:tc>
          <w:tcPr>
            <w:tcW w:w="1382" w:type="dxa"/>
            <w:vAlign w:val="center"/>
          </w:tcPr>
          <w:p w:rsidR="00D06AA7" w:rsidRDefault="007F12B1">
            <w:pPr>
              <w:jc w:val="center"/>
            </w:pPr>
            <w:r>
              <w:rPr>
                <w:color w:val="000000"/>
                <w:sz w:val="24"/>
              </w:rPr>
              <w:t>018005</w:t>
            </w:r>
          </w:p>
        </w:tc>
        <w:tc>
          <w:tcPr>
            <w:tcW w:w="1353" w:type="dxa"/>
            <w:vAlign w:val="center"/>
          </w:tcPr>
          <w:p w:rsidR="00D06AA7" w:rsidRDefault="007F12B1">
            <w:pPr>
              <w:jc w:val="center"/>
            </w:pPr>
            <w:r>
              <w:rPr>
                <w:color w:val="000000"/>
                <w:sz w:val="24"/>
              </w:rPr>
              <w:t>国开</w:t>
            </w:r>
            <w:r>
              <w:rPr>
                <w:color w:val="000000"/>
                <w:sz w:val="24"/>
              </w:rPr>
              <w:t>1701</w:t>
            </w:r>
          </w:p>
        </w:tc>
        <w:tc>
          <w:tcPr>
            <w:tcW w:w="1505" w:type="dxa"/>
            <w:vAlign w:val="center"/>
          </w:tcPr>
          <w:p w:rsidR="00D06AA7" w:rsidRDefault="007F12B1">
            <w:pPr>
              <w:jc w:val="right"/>
            </w:pPr>
            <w:r>
              <w:rPr>
                <w:color w:val="000000"/>
                <w:sz w:val="24"/>
              </w:rPr>
              <w:t>287,650</w:t>
            </w:r>
          </w:p>
        </w:tc>
        <w:tc>
          <w:tcPr>
            <w:tcW w:w="1737" w:type="dxa"/>
            <w:vAlign w:val="center"/>
          </w:tcPr>
          <w:p w:rsidR="00D06AA7" w:rsidRDefault="007F12B1">
            <w:pPr>
              <w:jc w:val="right"/>
            </w:pPr>
            <w:r>
              <w:rPr>
                <w:color w:val="000000"/>
                <w:sz w:val="24"/>
              </w:rPr>
              <w:t>28,891,566.00</w:t>
            </w:r>
          </w:p>
        </w:tc>
        <w:tc>
          <w:tcPr>
            <w:tcW w:w="1701" w:type="dxa"/>
            <w:vAlign w:val="center"/>
          </w:tcPr>
          <w:p w:rsidR="00D06AA7" w:rsidRDefault="007F12B1">
            <w:pPr>
              <w:jc w:val="right"/>
            </w:pPr>
            <w:r>
              <w:rPr>
                <w:color w:val="000000"/>
                <w:sz w:val="24"/>
              </w:rPr>
              <w:t>86.99</w:t>
            </w:r>
          </w:p>
        </w:tc>
      </w:tr>
      <w:tr w:rsidR="00D06AA7">
        <w:tc>
          <w:tcPr>
            <w:tcW w:w="1320" w:type="dxa"/>
            <w:vAlign w:val="center"/>
          </w:tcPr>
          <w:p w:rsidR="00D06AA7" w:rsidRDefault="007F12B1">
            <w:pPr>
              <w:jc w:val="center"/>
            </w:pPr>
            <w:r>
              <w:rPr>
                <w:color w:val="000000"/>
                <w:sz w:val="24"/>
              </w:rPr>
              <w:t>2</w:t>
            </w:r>
          </w:p>
        </w:tc>
        <w:tc>
          <w:tcPr>
            <w:tcW w:w="1382" w:type="dxa"/>
            <w:vAlign w:val="center"/>
          </w:tcPr>
          <w:p w:rsidR="00D06AA7" w:rsidRDefault="007F12B1">
            <w:pPr>
              <w:jc w:val="center"/>
            </w:pPr>
            <w:r>
              <w:rPr>
                <w:color w:val="000000"/>
                <w:sz w:val="24"/>
              </w:rPr>
              <w:t>018006</w:t>
            </w:r>
          </w:p>
        </w:tc>
        <w:tc>
          <w:tcPr>
            <w:tcW w:w="1353" w:type="dxa"/>
            <w:vAlign w:val="center"/>
          </w:tcPr>
          <w:p w:rsidR="00D06AA7" w:rsidRDefault="007F12B1">
            <w:pPr>
              <w:jc w:val="center"/>
            </w:pPr>
            <w:r>
              <w:rPr>
                <w:color w:val="000000"/>
                <w:sz w:val="24"/>
              </w:rPr>
              <w:t>国开</w:t>
            </w:r>
            <w:r>
              <w:rPr>
                <w:color w:val="000000"/>
                <w:sz w:val="24"/>
              </w:rPr>
              <w:t>1702</w:t>
            </w:r>
          </w:p>
        </w:tc>
        <w:tc>
          <w:tcPr>
            <w:tcW w:w="1505" w:type="dxa"/>
            <w:vAlign w:val="center"/>
          </w:tcPr>
          <w:p w:rsidR="00D06AA7" w:rsidRDefault="007F12B1">
            <w:pPr>
              <w:jc w:val="right"/>
            </w:pPr>
            <w:r>
              <w:rPr>
                <w:color w:val="000000"/>
                <w:sz w:val="24"/>
              </w:rPr>
              <w:t>30,000</w:t>
            </w:r>
          </w:p>
        </w:tc>
        <w:tc>
          <w:tcPr>
            <w:tcW w:w="1737" w:type="dxa"/>
            <w:vAlign w:val="center"/>
          </w:tcPr>
          <w:p w:rsidR="00D06AA7" w:rsidRDefault="007F12B1">
            <w:pPr>
              <w:jc w:val="right"/>
            </w:pPr>
            <w:r>
              <w:rPr>
                <w:color w:val="000000"/>
                <w:sz w:val="24"/>
              </w:rPr>
              <w:t>3,063,000.00</w:t>
            </w:r>
          </w:p>
        </w:tc>
        <w:tc>
          <w:tcPr>
            <w:tcW w:w="1701" w:type="dxa"/>
            <w:vAlign w:val="center"/>
          </w:tcPr>
          <w:p w:rsidR="00D06AA7" w:rsidRDefault="007F12B1">
            <w:pPr>
              <w:jc w:val="right"/>
            </w:pPr>
            <w:r>
              <w:rPr>
                <w:color w:val="000000"/>
                <w:sz w:val="24"/>
              </w:rPr>
              <w:t>9.22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5,114.07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265.68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891,094.21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20,409.94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916,883.90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交银丰盈收益债券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122,348.85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27,161,445.45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交银丰盈收益债券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190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20,064.30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3,812,217.06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412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75,178.79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30,973,662.51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7F12B1">
        <w:trPr>
          <w:trHeight w:val="285"/>
        </w:trPr>
        <w:tc>
          <w:tcPr>
            <w:tcW w:w="2268" w:type="dxa"/>
            <w:noWrap/>
            <w:vAlign w:val="center"/>
          </w:tcPr>
          <w:p w:rsidR="00224B72" w:rsidRPr="00640CFF" w:rsidRDefault="00224B72" w:rsidP="007F12B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7F12B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7F12B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7F12B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7F12B1">
        <w:trPr>
          <w:trHeight w:val="285"/>
        </w:trPr>
        <w:tc>
          <w:tcPr>
            <w:tcW w:w="2268" w:type="dxa"/>
            <w:vMerge w:val="restart"/>
            <w:noWrap/>
            <w:vAlign w:val="center"/>
          </w:tcPr>
          <w:p w:rsidR="00224B72" w:rsidRPr="00D564C7" w:rsidRDefault="00224B72" w:rsidP="007F12B1">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7F12B1">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224B72" w:rsidRPr="006E3F38" w:rsidRDefault="00224B72" w:rsidP="007F12B1">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7F12B1">
            <w:pPr>
              <w:widowControl/>
              <w:spacing w:before="29" w:line="288" w:lineRule="auto"/>
              <w:jc w:val="right"/>
              <w:rPr>
                <w:color w:val="000000"/>
                <w:kern w:val="0"/>
                <w:sz w:val="24"/>
              </w:rPr>
            </w:pPr>
            <w:r w:rsidRPr="006E3F38">
              <w:rPr>
                <w:color w:val="000000"/>
                <w:kern w:val="0"/>
                <w:sz w:val="24"/>
              </w:rPr>
              <w:t>-</w:t>
            </w:r>
          </w:p>
        </w:tc>
      </w:tr>
      <w:tr w:rsidR="00224B72" w:rsidRPr="00D564C7" w:rsidTr="007F12B1">
        <w:trPr>
          <w:trHeight w:val="285"/>
        </w:trPr>
        <w:tc>
          <w:tcPr>
            <w:tcW w:w="2268" w:type="dxa"/>
            <w:vMerge/>
            <w:vAlign w:val="center"/>
          </w:tcPr>
          <w:p w:rsidR="00224B72" w:rsidRPr="00D564C7" w:rsidRDefault="00224B72" w:rsidP="007F12B1">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7F12B1">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224B72" w:rsidRPr="006E3F38" w:rsidRDefault="00224B72" w:rsidP="007F12B1">
            <w:pPr>
              <w:widowControl/>
              <w:spacing w:before="29" w:line="288" w:lineRule="auto"/>
              <w:jc w:val="right"/>
              <w:rPr>
                <w:color w:val="000000"/>
                <w:kern w:val="0"/>
                <w:sz w:val="24"/>
              </w:rPr>
            </w:pPr>
            <w:r w:rsidRPr="006E3F38">
              <w:rPr>
                <w:color w:val="000000"/>
                <w:kern w:val="0"/>
                <w:sz w:val="24"/>
              </w:rPr>
              <w:t>195.12</w:t>
            </w:r>
          </w:p>
        </w:tc>
        <w:tc>
          <w:tcPr>
            <w:tcW w:w="1910" w:type="dxa"/>
            <w:noWrap/>
            <w:vAlign w:val="center"/>
          </w:tcPr>
          <w:p w:rsidR="00224B72" w:rsidRPr="006E3F38" w:rsidRDefault="00224B72" w:rsidP="007F12B1">
            <w:pPr>
              <w:widowControl/>
              <w:spacing w:before="29" w:line="288" w:lineRule="auto"/>
              <w:jc w:val="right"/>
              <w:rPr>
                <w:color w:val="000000"/>
                <w:kern w:val="0"/>
                <w:sz w:val="24"/>
              </w:rPr>
            </w:pPr>
            <w:r w:rsidRPr="006E3F38">
              <w:rPr>
                <w:color w:val="000000"/>
                <w:kern w:val="0"/>
                <w:sz w:val="24"/>
              </w:rPr>
              <w:t>0.01%</w:t>
            </w:r>
          </w:p>
        </w:tc>
      </w:tr>
      <w:tr w:rsidR="00224B72" w:rsidRPr="00D564C7" w:rsidTr="007F12B1">
        <w:trPr>
          <w:trHeight w:val="285"/>
        </w:trPr>
        <w:tc>
          <w:tcPr>
            <w:tcW w:w="2268" w:type="dxa"/>
            <w:vMerge/>
            <w:vAlign w:val="center"/>
          </w:tcPr>
          <w:p w:rsidR="00224B72" w:rsidRPr="00D564C7" w:rsidRDefault="00224B72" w:rsidP="007F12B1">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7F12B1">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7F12B1">
            <w:pPr>
              <w:spacing w:before="29" w:line="288" w:lineRule="auto"/>
              <w:jc w:val="right"/>
              <w:rPr>
                <w:color w:val="000000"/>
                <w:kern w:val="0"/>
                <w:sz w:val="24"/>
              </w:rPr>
            </w:pPr>
            <w:r w:rsidRPr="006E3F38">
              <w:rPr>
                <w:color w:val="000000"/>
                <w:kern w:val="0"/>
                <w:sz w:val="24"/>
              </w:rPr>
              <w:t>195.12</w:t>
            </w:r>
          </w:p>
        </w:tc>
        <w:tc>
          <w:tcPr>
            <w:tcW w:w="1910" w:type="dxa"/>
            <w:noWrap/>
            <w:vAlign w:val="center"/>
          </w:tcPr>
          <w:p w:rsidR="00224B72" w:rsidRPr="006E3F38" w:rsidRDefault="00224B72" w:rsidP="007F12B1">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交银丰盈收益债券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交银丰盈收益债券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交银丰盈收益债券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8</w:t>
            </w:r>
            <w:r w:rsidRPr="009440E4">
              <w:rPr>
                <w:sz w:val="24"/>
              </w:rPr>
              <w:t>月</w:t>
            </w:r>
            <w:r w:rsidRPr="009440E4">
              <w:rPr>
                <w:sz w:val="24"/>
              </w:rPr>
              <w:t>11</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510,658,140.93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61,158,325.15</w:t>
            </w:r>
          </w:p>
        </w:tc>
        <w:tc>
          <w:tcPr>
            <w:tcW w:w="1615" w:type="pct"/>
            <w:vAlign w:val="bottom"/>
          </w:tcPr>
          <w:p w:rsidR="00703495" w:rsidRPr="009440E4" w:rsidRDefault="00703495" w:rsidP="009440E4">
            <w:pPr>
              <w:spacing w:before="29" w:line="288" w:lineRule="auto"/>
              <w:jc w:val="center"/>
              <w:rPr>
                <w:sz w:val="24"/>
              </w:rPr>
            </w:pPr>
            <w:r w:rsidRPr="009440E4">
              <w:rPr>
                <w:sz w:val="24"/>
              </w:rPr>
              <w:t>22,815.82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92,311.73</w:t>
            </w:r>
          </w:p>
        </w:tc>
        <w:tc>
          <w:tcPr>
            <w:tcW w:w="1615" w:type="pct"/>
            <w:vAlign w:val="bottom"/>
          </w:tcPr>
          <w:p w:rsidR="00703495" w:rsidRPr="009440E4" w:rsidRDefault="00703495" w:rsidP="009440E4">
            <w:pPr>
              <w:spacing w:before="29" w:line="288" w:lineRule="auto"/>
              <w:jc w:val="center"/>
              <w:rPr>
                <w:sz w:val="24"/>
              </w:rPr>
            </w:pPr>
            <w:r w:rsidRPr="009440E4">
              <w:rPr>
                <w:sz w:val="24"/>
              </w:rPr>
              <w:t>64,637,821.53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34,089,191.43</w:t>
            </w:r>
          </w:p>
        </w:tc>
        <w:tc>
          <w:tcPr>
            <w:tcW w:w="1615" w:type="pct"/>
            <w:vAlign w:val="bottom"/>
          </w:tcPr>
          <w:p w:rsidR="00703495" w:rsidRPr="009440E4" w:rsidRDefault="00703495" w:rsidP="009440E4">
            <w:pPr>
              <w:spacing w:before="29" w:line="288" w:lineRule="auto"/>
              <w:jc w:val="center"/>
              <w:rPr>
                <w:sz w:val="24"/>
              </w:rPr>
            </w:pPr>
            <w:r w:rsidRPr="009440E4">
              <w:rPr>
                <w:sz w:val="24"/>
              </w:rPr>
              <w:t>60,848,420.29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27,161,445.45</w:t>
            </w:r>
          </w:p>
        </w:tc>
        <w:tc>
          <w:tcPr>
            <w:tcW w:w="1615" w:type="pct"/>
            <w:vAlign w:val="center"/>
          </w:tcPr>
          <w:p w:rsidR="00703495" w:rsidRPr="009440E4" w:rsidRDefault="00703495" w:rsidP="009440E4">
            <w:pPr>
              <w:spacing w:before="29" w:line="288" w:lineRule="auto"/>
              <w:jc w:val="center"/>
              <w:rPr>
                <w:sz w:val="24"/>
              </w:rPr>
            </w:pPr>
            <w:r w:rsidRPr="009440E4">
              <w:rPr>
                <w:sz w:val="24"/>
              </w:rPr>
              <w:t>3,812,217.06</w:t>
            </w:r>
          </w:p>
        </w:tc>
      </w:tr>
    </w:tbl>
    <w:p w:rsidR="00D06AA7" w:rsidRDefault="007F12B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本基金管理人于</w:t>
      </w:r>
      <w:r w:rsidRPr="00FF415B">
        <w:rPr>
          <w:color w:val="000000"/>
          <w:sz w:val="24"/>
        </w:rPr>
        <w:t>2018</w:t>
      </w:r>
      <w:r w:rsidRPr="00FF415B">
        <w:rPr>
          <w:color w:val="000000"/>
          <w:sz w:val="24"/>
        </w:rPr>
        <w:t>年</w:t>
      </w:r>
      <w:r w:rsidRPr="00FF415B">
        <w:rPr>
          <w:color w:val="000000"/>
          <w:sz w:val="24"/>
        </w:rPr>
        <w:t>8</w:t>
      </w:r>
      <w:r w:rsidRPr="00FF415B">
        <w:rPr>
          <w:color w:val="000000"/>
          <w:sz w:val="24"/>
        </w:rPr>
        <w:t>月</w:t>
      </w:r>
      <w:r w:rsidRPr="00FF415B">
        <w:rPr>
          <w:color w:val="000000"/>
          <w:sz w:val="24"/>
        </w:rPr>
        <w:t>13</w:t>
      </w:r>
      <w:r w:rsidRPr="00FF415B">
        <w:rPr>
          <w:color w:val="000000"/>
          <w:sz w:val="24"/>
        </w:rPr>
        <w:t>日起至</w:t>
      </w:r>
      <w:r w:rsidRPr="00FF415B">
        <w:rPr>
          <w:color w:val="000000"/>
          <w:sz w:val="24"/>
        </w:rPr>
        <w:t>2018</w:t>
      </w:r>
      <w:r w:rsidRPr="00FF415B">
        <w:rPr>
          <w:color w:val="000000"/>
          <w:sz w:val="24"/>
        </w:rPr>
        <w:t>年</w:t>
      </w:r>
      <w:r w:rsidRPr="00FF415B">
        <w:rPr>
          <w:color w:val="000000"/>
          <w:sz w:val="24"/>
        </w:rPr>
        <w:t>9</w:t>
      </w:r>
      <w:r w:rsidRPr="00FF415B">
        <w:rPr>
          <w:color w:val="000000"/>
          <w:sz w:val="24"/>
        </w:rPr>
        <w:t>月</w:t>
      </w:r>
      <w:r w:rsidRPr="00FF415B">
        <w:rPr>
          <w:color w:val="000000"/>
          <w:sz w:val="24"/>
        </w:rPr>
        <w:t>12</w:t>
      </w:r>
      <w:r w:rsidRPr="00FF415B">
        <w:rPr>
          <w:color w:val="000000"/>
          <w:sz w:val="24"/>
        </w:rPr>
        <w:t>日</w:t>
      </w:r>
      <w:r w:rsidRPr="00FF415B">
        <w:rPr>
          <w:color w:val="000000"/>
          <w:sz w:val="24"/>
        </w:rPr>
        <w:t>17</w:t>
      </w:r>
      <w:r w:rsidRPr="00FF415B">
        <w:rPr>
          <w:color w:val="000000"/>
          <w:sz w:val="24"/>
        </w:rPr>
        <w:t>：</w:t>
      </w:r>
      <w:r w:rsidRPr="00FF415B">
        <w:rPr>
          <w:color w:val="000000"/>
          <w:sz w:val="24"/>
        </w:rPr>
        <w:t>00</w:t>
      </w:r>
      <w:r w:rsidRPr="00FF415B">
        <w:rPr>
          <w:color w:val="000000"/>
          <w:sz w:val="24"/>
        </w:rPr>
        <w:t>止以通讯方式召开本基金的基金份额持有人大会，就本基金基金合同修改有关事项的议案进行表决。本次基金份额持有人大会于</w:t>
      </w:r>
      <w:r w:rsidRPr="00FF415B">
        <w:rPr>
          <w:color w:val="000000"/>
          <w:sz w:val="24"/>
        </w:rPr>
        <w:t>2018</w:t>
      </w:r>
      <w:r w:rsidRPr="00FF415B">
        <w:rPr>
          <w:color w:val="000000"/>
          <w:sz w:val="24"/>
        </w:rPr>
        <w:t>年</w:t>
      </w:r>
      <w:r w:rsidRPr="00FF415B">
        <w:rPr>
          <w:color w:val="000000"/>
          <w:sz w:val="24"/>
        </w:rPr>
        <w:t>9</w:t>
      </w:r>
      <w:r w:rsidRPr="00FF415B">
        <w:rPr>
          <w:color w:val="000000"/>
          <w:sz w:val="24"/>
        </w:rPr>
        <w:t>月</w:t>
      </w:r>
      <w:r w:rsidRPr="00FF415B">
        <w:rPr>
          <w:color w:val="000000"/>
          <w:sz w:val="24"/>
        </w:rPr>
        <w:t>13</w:t>
      </w:r>
      <w:r w:rsidRPr="00FF415B">
        <w:rPr>
          <w:color w:val="000000"/>
          <w:sz w:val="24"/>
        </w:rPr>
        <w:t>日表决通过，新修订的《交银施罗德丰盈收益债券型证券投资基金基金合同》、《交银施罗德丰盈收益债券型证券投资基金托管协议》、《交银施罗德丰盈收益债券型证券投资基金招募说明书》于</w:t>
      </w:r>
      <w:r w:rsidRPr="00FF415B">
        <w:rPr>
          <w:color w:val="000000"/>
          <w:sz w:val="24"/>
        </w:rPr>
        <w:t>2018</w:t>
      </w:r>
      <w:r w:rsidRPr="00FF415B">
        <w:rPr>
          <w:color w:val="000000"/>
          <w:sz w:val="24"/>
        </w:rPr>
        <w:t>年</w:t>
      </w:r>
      <w:r w:rsidRPr="00FF415B">
        <w:rPr>
          <w:color w:val="000000"/>
          <w:sz w:val="24"/>
        </w:rPr>
        <w:t>9</w:t>
      </w:r>
      <w:r w:rsidRPr="00FF415B">
        <w:rPr>
          <w:color w:val="000000"/>
          <w:sz w:val="24"/>
        </w:rPr>
        <w:t>月</w:t>
      </w:r>
      <w:r w:rsidRPr="00FF415B">
        <w:rPr>
          <w:color w:val="000000"/>
          <w:sz w:val="24"/>
        </w:rPr>
        <w:t>14</w:t>
      </w:r>
      <w:r w:rsidRPr="00FF415B">
        <w:rPr>
          <w:color w:val="000000"/>
          <w:sz w:val="24"/>
        </w:rPr>
        <w:t>日起生效。详情请查阅本基金管理人于</w:t>
      </w:r>
      <w:r w:rsidRPr="00FF415B">
        <w:rPr>
          <w:color w:val="000000"/>
          <w:sz w:val="24"/>
        </w:rPr>
        <w:t>2018</w:t>
      </w:r>
      <w:r w:rsidRPr="00FF415B">
        <w:rPr>
          <w:color w:val="000000"/>
          <w:sz w:val="24"/>
        </w:rPr>
        <w:t>年</w:t>
      </w:r>
      <w:r w:rsidRPr="00FF415B">
        <w:rPr>
          <w:color w:val="000000"/>
          <w:sz w:val="24"/>
        </w:rPr>
        <w:t>9</w:t>
      </w:r>
      <w:r w:rsidRPr="00FF415B">
        <w:rPr>
          <w:color w:val="000000"/>
          <w:sz w:val="24"/>
        </w:rPr>
        <w:t>月</w:t>
      </w:r>
      <w:r w:rsidRPr="00FF415B">
        <w:rPr>
          <w:color w:val="000000"/>
          <w:sz w:val="24"/>
        </w:rPr>
        <w:t>14</w:t>
      </w:r>
      <w:r w:rsidRPr="00FF415B">
        <w:rPr>
          <w:color w:val="000000"/>
          <w:sz w:val="24"/>
        </w:rPr>
        <w:t>日发布的《交银施罗德基金管理有限公司关于交银施罗德丰盈收益债券型证券投资基金基金份额持有人大会表决结果暨决议生效的公告》。</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D06AA7" w:rsidRDefault="007F12B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06AA7" w:rsidRDefault="007F12B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06AA7" w:rsidRDefault="007F12B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50,000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D06AA7" w:rsidRDefault="007F12B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D06AA7" w:rsidRDefault="007F12B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D06AA7" w:rsidRDefault="007F12B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06AA7">
        <w:tc>
          <w:tcPr>
            <w:tcW w:w="1559" w:type="dxa"/>
            <w:vAlign w:val="center"/>
          </w:tcPr>
          <w:p w:rsidR="00D06AA7" w:rsidRDefault="007F12B1">
            <w:pPr>
              <w:jc w:val="left"/>
            </w:pPr>
            <w:r>
              <w:rPr>
                <w:color w:val="000000"/>
                <w:szCs w:val="21"/>
              </w:rPr>
              <w:t>安信证券股份有限公司</w:t>
            </w:r>
          </w:p>
        </w:tc>
        <w:tc>
          <w:tcPr>
            <w:tcW w:w="779" w:type="dxa"/>
            <w:vAlign w:val="center"/>
          </w:tcPr>
          <w:p w:rsidR="00D06AA7" w:rsidRDefault="007F12B1">
            <w:pPr>
              <w:jc w:val="right"/>
            </w:pPr>
            <w:r>
              <w:rPr>
                <w:color w:val="000000"/>
                <w:szCs w:val="21"/>
              </w:rPr>
              <w:t>2</w:t>
            </w:r>
          </w:p>
        </w:tc>
        <w:tc>
          <w:tcPr>
            <w:tcW w:w="180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62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080" w:type="dxa"/>
            <w:vAlign w:val="center"/>
          </w:tcPr>
          <w:p w:rsidR="00D06AA7" w:rsidRDefault="007F12B1">
            <w:pPr>
              <w:jc w:val="left"/>
            </w:pPr>
            <w:r>
              <w:rPr>
                <w:color w:val="000000"/>
                <w:szCs w:val="21"/>
              </w:rPr>
              <w:t>-</w:t>
            </w:r>
          </w:p>
        </w:tc>
      </w:tr>
      <w:tr w:rsidR="00D06AA7">
        <w:tc>
          <w:tcPr>
            <w:tcW w:w="1559" w:type="dxa"/>
            <w:vAlign w:val="center"/>
          </w:tcPr>
          <w:p w:rsidR="00D06AA7" w:rsidRDefault="007F12B1">
            <w:pPr>
              <w:jc w:val="left"/>
            </w:pPr>
            <w:r>
              <w:rPr>
                <w:color w:val="000000"/>
                <w:szCs w:val="21"/>
              </w:rPr>
              <w:t>中信证券股份有限公司</w:t>
            </w:r>
          </w:p>
        </w:tc>
        <w:tc>
          <w:tcPr>
            <w:tcW w:w="779" w:type="dxa"/>
            <w:vAlign w:val="center"/>
          </w:tcPr>
          <w:p w:rsidR="00D06AA7" w:rsidRDefault="007F12B1">
            <w:pPr>
              <w:jc w:val="right"/>
            </w:pPr>
            <w:r>
              <w:rPr>
                <w:color w:val="000000"/>
                <w:szCs w:val="21"/>
              </w:rPr>
              <w:t>1</w:t>
            </w:r>
          </w:p>
        </w:tc>
        <w:tc>
          <w:tcPr>
            <w:tcW w:w="180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62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080" w:type="dxa"/>
            <w:vAlign w:val="center"/>
          </w:tcPr>
          <w:p w:rsidR="00D06AA7" w:rsidRDefault="007F12B1">
            <w:pPr>
              <w:jc w:val="left"/>
            </w:pPr>
            <w:r>
              <w:rPr>
                <w:color w:val="000000"/>
                <w:szCs w:val="21"/>
              </w:rPr>
              <w:t>-</w:t>
            </w:r>
          </w:p>
        </w:tc>
      </w:tr>
      <w:tr w:rsidR="00D06AA7">
        <w:tc>
          <w:tcPr>
            <w:tcW w:w="1559" w:type="dxa"/>
            <w:vAlign w:val="center"/>
          </w:tcPr>
          <w:p w:rsidR="00D06AA7" w:rsidRDefault="007F12B1">
            <w:pPr>
              <w:jc w:val="left"/>
            </w:pPr>
            <w:r>
              <w:rPr>
                <w:color w:val="000000"/>
                <w:szCs w:val="21"/>
              </w:rPr>
              <w:t>国金证券股份有限公司</w:t>
            </w:r>
          </w:p>
        </w:tc>
        <w:tc>
          <w:tcPr>
            <w:tcW w:w="779" w:type="dxa"/>
            <w:vAlign w:val="center"/>
          </w:tcPr>
          <w:p w:rsidR="00D06AA7" w:rsidRDefault="007F12B1">
            <w:pPr>
              <w:jc w:val="right"/>
            </w:pPr>
            <w:r>
              <w:rPr>
                <w:color w:val="000000"/>
                <w:szCs w:val="21"/>
              </w:rPr>
              <w:t>2</w:t>
            </w:r>
          </w:p>
        </w:tc>
        <w:tc>
          <w:tcPr>
            <w:tcW w:w="180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62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080" w:type="dxa"/>
            <w:vAlign w:val="center"/>
          </w:tcPr>
          <w:p w:rsidR="00D06AA7" w:rsidRDefault="007F12B1">
            <w:pPr>
              <w:jc w:val="left"/>
            </w:pPr>
            <w:r>
              <w:rPr>
                <w:color w:val="000000"/>
                <w:szCs w:val="21"/>
              </w:rPr>
              <w:t>-</w:t>
            </w:r>
          </w:p>
        </w:tc>
      </w:tr>
      <w:tr w:rsidR="00D06AA7">
        <w:tc>
          <w:tcPr>
            <w:tcW w:w="1559" w:type="dxa"/>
            <w:vAlign w:val="center"/>
          </w:tcPr>
          <w:p w:rsidR="00D06AA7" w:rsidRDefault="007F12B1">
            <w:pPr>
              <w:jc w:val="left"/>
            </w:pPr>
            <w:r>
              <w:rPr>
                <w:color w:val="000000"/>
                <w:szCs w:val="21"/>
              </w:rPr>
              <w:t>中泰证券股份有限公司</w:t>
            </w:r>
          </w:p>
        </w:tc>
        <w:tc>
          <w:tcPr>
            <w:tcW w:w="779" w:type="dxa"/>
            <w:vAlign w:val="center"/>
          </w:tcPr>
          <w:p w:rsidR="00D06AA7" w:rsidRDefault="007F12B1">
            <w:pPr>
              <w:jc w:val="right"/>
            </w:pPr>
            <w:r>
              <w:rPr>
                <w:color w:val="000000"/>
                <w:szCs w:val="21"/>
              </w:rPr>
              <w:t>2</w:t>
            </w:r>
          </w:p>
        </w:tc>
        <w:tc>
          <w:tcPr>
            <w:tcW w:w="180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62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080" w:type="dxa"/>
            <w:vAlign w:val="center"/>
          </w:tcPr>
          <w:p w:rsidR="00D06AA7" w:rsidRDefault="007F12B1">
            <w:pPr>
              <w:jc w:val="left"/>
            </w:pPr>
            <w:r>
              <w:rPr>
                <w:color w:val="000000"/>
                <w:szCs w:val="21"/>
              </w:rPr>
              <w:t>-</w:t>
            </w:r>
          </w:p>
        </w:tc>
      </w:tr>
      <w:tr w:rsidR="00D06AA7">
        <w:tc>
          <w:tcPr>
            <w:tcW w:w="1559" w:type="dxa"/>
            <w:vAlign w:val="center"/>
          </w:tcPr>
          <w:p w:rsidR="00D06AA7" w:rsidRDefault="007F12B1">
            <w:pPr>
              <w:jc w:val="left"/>
            </w:pPr>
            <w:r>
              <w:rPr>
                <w:color w:val="000000"/>
                <w:szCs w:val="21"/>
              </w:rPr>
              <w:t>新时代证券股份有限公司</w:t>
            </w:r>
          </w:p>
        </w:tc>
        <w:tc>
          <w:tcPr>
            <w:tcW w:w="779" w:type="dxa"/>
            <w:vAlign w:val="center"/>
          </w:tcPr>
          <w:p w:rsidR="00D06AA7" w:rsidRDefault="007F12B1">
            <w:pPr>
              <w:jc w:val="right"/>
            </w:pPr>
            <w:r>
              <w:rPr>
                <w:color w:val="000000"/>
                <w:szCs w:val="21"/>
              </w:rPr>
              <w:t>1</w:t>
            </w:r>
          </w:p>
        </w:tc>
        <w:tc>
          <w:tcPr>
            <w:tcW w:w="180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620" w:type="dxa"/>
            <w:vAlign w:val="center"/>
          </w:tcPr>
          <w:p w:rsidR="00D06AA7" w:rsidRDefault="007F12B1">
            <w:pPr>
              <w:jc w:val="right"/>
            </w:pPr>
            <w:r>
              <w:rPr>
                <w:color w:val="000000"/>
                <w:szCs w:val="21"/>
              </w:rPr>
              <w:t>-</w:t>
            </w:r>
          </w:p>
        </w:tc>
        <w:tc>
          <w:tcPr>
            <w:tcW w:w="1080" w:type="dxa"/>
            <w:vAlign w:val="center"/>
          </w:tcPr>
          <w:p w:rsidR="00D06AA7" w:rsidRDefault="007F12B1">
            <w:pPr>
              <w:jc w:val="right"/>
            </w:pPr>
            <w:r>
              <w:rPr>
                <w:color w:val="000000"/>
                <w:szCs w:val="21"/>
              </w:rPr>
              <w:t>-</w:t>
            </w:r>
          </w:p>
        </w:tc>
        <w:tc>
          <w:tcPr>
            <w:tcW w:w="1080" w:type="dxa"/>
            <w:vAlign w:val="center"/>
          </w:tcPr>
          <w:p w:rsidR="00D06AA7" w:rsidRDefault="007F12B1">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D06AA7">
        <w:tc>
          <w:tcPr>
            <w:tcW w:w="1559" w:type="dxa"/>
            <w:vAlign w:val="center"/>
          </w:tcPr>
          <w:p w:rsidR="00D06AA7" w:rsidRDefault="007F12B1">
            <w:pPr>
              <w:jc w:val="left"/>
            </w:pPr>
            <w:r>
              <w:rPr>
                <w:szCs w:val="21"/>
              </w:rPr>
              <w:t>安信证券股份有限公司</w:t>
            </w:r>
          </w:p>
        </w:tc>
        <w:tc>
          <w:tcPr>
            <w:tcW w:w="1319" w:type="dxa"/>
            <w:vAlign w:val="center"/>
          </w:tcPr>
          <w:p w:rsidR="00D06AA7" w:rsidRDefault="007F12B1">
            <w:pPr>
              <w:jc w:val="right"/>
            </w:pPr>
            <w:r>
              <w:rPr>
                <w:szCs w:val="21"/>
              </w:rPr>
              <w:t>69,113,189.00</w:t>
            </w:r>
          </w:p>
        </w:tc>
        <w:tc>
          <w:tcPr>
            <w:tcW w:w="1080" w:type="dxa"/>
            <w:vAlign w:val="center"/>
          </w:tcPr>
          <w:p w:rsidR="00D06AA7" w:rsidRDefault="007F12B1">
            <w:pPr>
              <w:jc w:val="right"/>
            </w:pPr>
            <w:r>
              <w:rPr>
                <w:szCs w:val="21"/>
              </w:rPr>
              <w:t>100.00%</w:t>
            </w:r>
          </w:p>
        </w:tc>
        <w:tc>
          <w:tcPr>
            <w:tcW w:w="1080" w:type="dxa"/>
            <w:vAlign w:val="center"/>
          </w:tcPr>
          <w:p w:rsidR="00D06AA7" w:rsidRDefault="007F12B1">
            <w:pPr>
              <w:jc w:val="right"/>
            </w:pPr>
            <w:r>
              <w:rPr>
                <w:szCs w:val="21"/>
              </w:rPr>
              <w:t>821,000,000.00</w:t>
            </w:r>
          </w:p>
        </w:tc>
        <w:tc>
          <w:tcPr>
            <w:tcW w:w="1260" w:type="dxa"/>
            <w:vAlign w:val="center"/>
          </w:tcPr>
          <w:p w:rsidR="00D06AA7" w:rsidRDefault="007F12B1">
            <w:pPr>
              <w:jc w:val="right"/>
            </w:pPr>
            <w:r>
              <w:rPr>
                <w:szCs w:val="21"/>
              </w:rPr>
              <w:t>100.00%</w:t>
            </w:r>
          </w:p>
        </w:tc>
        <w:tc>
          <w:tcPr>
            <w:tcW w:w="1260" w:type="dxa"/>
            <w:vAlign w:val="center"/>
          </w:tcPr>
          <w:p w:rsidR="00D06AA7" w:rsidRDefault="007F12B1">
            <w:pPr>
              <w:jc w:val="right"/>
            </w:pPr>
            <w:r>
              <w:rPr>
                <w:szCs w:val="21"/>
              </w:rPr>
              <w:t>-</w:t>
            </w:r>
          </w:p>
        </w:tc>
        <w:tc>
          <w:tcPr>
            <w:tcW w:w="1440" w:type="dxa"/>
            <w:vAlign w:val="center"/>
          </w:tcPr>
          <w:p w:rsidR="00D06AA7" w:rsidRDefault="007F12B1">
            <w:pPr>
              <w:jc w:val="right"/>
            </w:pPr>
            <w:r>
              <w:rPr>
                <w:szCs w:val="21"/>
              </w:rPr>
              <w:t>-</w:t>
            </w:r>
          </w:p>
        </w:tc>
      </w:tr>
    </w:tbl>
    <w:p w:rsidR="00D06AA7" w:rsidRDefault="007F12B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D06AA7" w:rsidRDefault="007F12B1">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BA3DE2" w:rsidRDefault="005425E8" w:rsidP="00FB2916">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bookmarkStart w:id="97" w:name="_GoBack"/>
      <w:r w:rsidRPr="005425E8">
        <w:rPr>
          <w:rFonts w:hint="eastAsia"/>
          <w:b/>
          <w:bCs/>
          <w:szCs w:val="24"/>
          <w:lang w:val="en-US"/>
        </w:rPr>
        <w:t>§</w:t>
      </w:r>
      <w:bookmarkEnd w:id="97"/>
      <w:r w:rsidR="00A25C9D" w:rsidRPr="00BA3DE2">
        <w:rPr>
          <w:rFonts w:eastAsiaTheme="minorEastAsia"/>
          <w:b/>
          <w:bCs/>
          <w:szCs w:val="24"/>
          <w:lang w:val="en-US"/>
        </w:rPr>
        <w:t xml:space="preserve">12  </w:t>
      </w:r>
      <w:r w:rsidR="00A25C9D" w:rsidRPr="00BA3DE2">
        <w:rPr>
          <w:rFonts w:eastAsiaTheme="minorEastAsia" w:hint="eastAsia"/>
          <w:b/>
          <w:bCs/>
          <w:szCs w:val="24"/>
          <w:lang w:val="en-US"/>
        </w:rPr>
        <w:t>影响投资者决策的其他重要信息</w:t>
      </w:r>
      <w:bookmarkEnd w:id="96"/>
    </w:p>
    <w:p w:rsidR="00A25C9D" w:rsidRPr="00BA3DE2" w:rsidRDefault="00A25C9D" w:rsidP="00A25C9D">
      <w:pPr>
        <w:autoSpaceDE w:val="0"/>
        <w:autoSpaceDN w:val="0"/>
        <w:adjustRightInd w:val="0"/>
        <w:spacing w:line="360" w:lineRule="auto"/>
        <w:jc w:val="left"/>
        <w:rPr>
          <w:rFonts w:ascii="宋体" w:hAnsi="宋体"/>
          <w:b/>
          <w:bCs/>
          <w:color w:val="000000"/>
          <w:kern w:val="0"/>
          <w:sz w:val="24"/>
        </w:rPr>
      </w:pPr>
      <w:r w:rsidRPr="00BA3DE2">
        <w:rPr>
          <w:rFonts w:ascii="宋体" w:hAnsi="宋体"/>
          <w:b/>
          <w:bCs/>
          <w:color w:val="000000"/>
          <w:kern w:val="0"/>
          <w:sz w:val="24"/>
        </w:rPr>
        <w:t xml:space="preserve">12.1 </w:t>
      </w:r>
      <w:r w:rsidRPr="00BA3DE2">
        <w:rPr>
          <w:rFonts w:ascii="宋体" w:hAnsi="宋体" w:hint="eastAsia"/>
          <w:b/>
          <w:bCs/>
          <w:color w:val="000000"/>
          <w:kern w:val="0"/>
          <w:sz w:val="24"/>
        </w:rPr>
        <w:t>报告期内单一投资者持有基金份额比例达到或超过</w:t>
      </w:r>
      <w:r w:rsidRPr="00BA3DE2">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5425E8" w:rsidTr="007F12B1">
        <w:tc>
          <w:tcPr>
            <w:tcW w:w="993" w:type="dxa"/>
            <w:vMerge w:val="restart"/>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投资者类别</w:t>
            </w:r>
            <w:r w:rsidRPr="00BA3DE2">
              <w:rPr>
                <w:rFonts w:ascii="宋体" w:hAnsi="宋体"/>
                <w:color w:val="000000"/>
                <w:kern w:val="0"/>
                <w:sz w:val="24"/>
              </w:rPr>
              <w:t xml:space="preserve">  </w:t>
            </w:r>
          </w:p>
        </w:tc>
        <w:tc>
          <w:tcPr>
            <w:tcW w:w="5670" w:type="dxa"/>
            <w:gridSpan w:val="5"/>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报告期内持有基金份额变化情况</w:t>
            </w:r>
          </w:p>
        </w:tc>
        <w:tc>
          <w:tcPr>
            <w:tcW w:w="2549" w:type="dxa"/>
            <w:gridSpan w:val="2"/>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报告期末持有基金情况</w:t>
            </w:r>
          </w:p>
        </w:tc>
      </w:tr>
      <w:tr w:rsidR="00A25C9D" w:rsidRPr="005425E8" w:rsidTr="007F12B1">
        <w:tc>
          <w:tcPr>
            <w:tcW w:w="993" w:type="dxa"/>
            <w:vMerge/>
            <w:vAlign w:val="center"/>
          </w:tcPr>
          <w:p w:rsidR="00A25C9D" w:rsidRPr="00BA3DE2" w:rsidRDefault="00A25C9D" w:rsidP="007F12B1">
            <w:pPr>
              <w:autoSpaceDE w:val="0"/>
              <w:autoSpaceDN w:val="0"/>
              <w:adjustRightInd w:val="0"/>
              <w:jc w:val="center"/>
              <w:rPr>
                <w:rFonts w:ascii="宋体" w:hAnsi="宋体"/>
                <w:b/>
                <w:bCs/>
                <w:color w:val="000000"/>
                <w:kern w:val="0"/>
                <w:sz w:val="24"/>
              </w:rPr>
            </w:pPr>
          </w:p>
        </w:tc>
        <w:tc>
          <w:tcPr>
            <w:tcW w:w="992" w:type="dxa"/>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序号</w:t>
            </w:r>
          </w:p>
        </w:tc>
        <w:tc>
          <w:tcPr>
            <w:tcW w:w="1843" w:type="dxa"/>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持有基金份额比例达到或者超过</w:t>
            </w:r>
            <w:r w:rsidRPr="00BA3DE2">
              <w:rPr>
                <w:rFonts w:ascii="宋体" w:hAnsi="宋体"/>
                <w:color w:val="000000"/>
                <w:kern w:val="0"/>
                <w:sz w:val="24"/>
              </w:rPr>
              <w:t>20%的时间区间</w:t>
            </w:r>
          </w:p>
        </w:tc>
        <w:tc>
          <w:tcPr>
            <w:tcW w:w="851" w:type="dxa"/>
            <w:vAlign w:val="center"/>
          </w:tcPr>
          <w:p w:rsidR="00A25C9D" w:rsidRPr="00BA3DE2" w:rsidRDefault="00A25C9D" w:rsidP="007F12B1">
            <w:pPr>
              <w:widowControl/>
              <w:jc w:val="center"/>
              <w:rPr>
                <w:rFonts w:ascii="宋体" w:hAnsi="宋体"/>
                <w:b/>
                <w:bCs/>
                <w:color w:val="000000"/>
                <w:kern w:val="0"/>
                <w:sz w:val="24"/>
              </w:rPr>
            </w:pPr>
            <w:r w:rsidRPr="00BA3DE2">
              <w:rPr>
                <w:rFonts w:ascii="宋体" w:hAnsi="宋体" w:hint="eastAsia"/>
                <w:color w:val="000000"/>
                <w:kern w:val="0"/>
                <w:sz w:val="24"/>
              </w:rPr>
              <w:t>期初份额</w:t>
            </w:r>
          </w:p>
        </w:tc>
        <w:tc>
          <w:tcPr>
            <w:tcW w:w="850" w:type="dxa"/>
            <w:vAlign w:val="center"/>
          </w:tcPr>
          <w:p w:rsidR="00A25C9D" w:rsidRPr="00BA3DE2" w:rsidRDefault="00A25C9D" w:rsidP="007F12B1">
            <w:pPr>
              <w:widowControl/>
              <w:jc w:val="center"/>
              <w:rPr>
                <w:rFonts w:ascii="宋体" w:hAnsi="宋体"/>
                <w:b/>
                <w:bCs/>
                <w:color w:val="000000"/>
                <w:kern w:val="0"/>
                <w:sz w:val="24"/>
              </w:rPr>
            </w:pPr>
            <w:r w:rsidRPr="00BA3DE2">
              <w:rPr>
                <w:rFonts w:ascii="宋体" w:hAnsi="宋体" w:hint="eastAsia"/>
                <w:color w:val="000000"/>
                <w:kern w:val="0"/>
                <w:sz w:val="24"/>
              </w:rPr>
              <w:t>申购份额</w:t>
            </w:r>
          </w:p>
        </w:tc>
        <w:tc>
          <w:tcPr>
            <w:tcW w:w="1134" w:type="dxa"/>
            <w:vAlign w:val="center"/>
          </w:tcPr>
          <w:p w:rsidR="00A25C9D" w:rsidRPr="00BA3DE2" w:rsidRDefault="00A25C9D" w:rsidP="007F12B1">
            <w:pPr>
              <w:widowControl/>
              <w:jc w:val="center"/>
              <w:rPr>
                <w:rFonts w:ascii="宋体" w:hAnsi="宋体"/>
                <w:b/>
                <w:bCs/>
                <w:color w:val="000000"/>
                <w:kern w:val="0"/>
                <w:sz w:val="24"/>
              </w:rPr>
            </w:pPr>
            <w:r w:rsidRPr="00BA3DE2">
              <w:rPr>
                <w:rFonts w:ascii="宋体" w:hAnsi="宋体" w:hint="eastAsia"/>
                <w:color w:val="000000"/>
                <w:kern w:val="0"/>
                <w:sz w:val="24"/>
              </w:rPr>
              <w:t>赎回份额</w:t>
            </w:r>
          </w:p>
        </w:tc>
        <w:tc>
          <w:tcPr>
            <w:tcW w:w="1419" w:type="dxa"/>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持有份额</w:t>
            </w:r>
          </w:p>
        </w:tc>
        <w:tc>
          <w:tcPr>
            <w:tcW w:w="1130" w:type="dxa"/>
            <w:vAlign w:val="center"/>
          </w:tcPr>
          <w:p w:rsidR="00A25C9D" w:rsidRPr="00BA3DE2" w:rsidRDefault="00A25C9D" w:rsidP="007F12B1">
            <w:pPr>
              <w:autoSpaceDE w:val="0"/>
              <w:autoSpaceDN w:val="0"/>
              <w:adjustRightInd w:val="0"/>
              <w:jc w:val="center"/>
              <w:rPr>
                <w:rFonts w:ascii="宋体" w:hAnsi="宋体"/>
                <w:b/>
                <w:bCs/>
                <w:color w:val="000000"/>
                <w:kern w:val="0"/>
                <w:sz w:val="24"/>
              </w:rPr>
            </w:pPr>
            <w:r w:rsidRPr="00BA3DE2">
              <w:rPr>
                <w:rFonts w:ascii="宋体" w:hAnsi="宋体" w:hint="eastAsia"/>
                <w:color w:val="000000"/>
                <w:kern w:val="0"/>
                <w:sz w:val="24"/>
              </w:rPr>
              <w:t>份额占比</w:t>
            </w:r>
          </w:p>
        </w:tc>
      </w:tr>
      <w:tr w:rsidR="00D06AA7" w:rsidRPr="005425E8">
        <w:tc>
          <w:tcPr>
            <w:tcW w:w="993" w:type="dxa"/>
            <w:vMerge w:val="restart"/>
          </w:tcPr>
          <w:p w:rsidR="00D06AA7" w:rsidRPr="00BA3DE2" w:rsidRDefault="00D06AA7">
            <w:pPr>
              <w:rPr>
                <w:sz w:val="24"/>
              </w:rPr>
            </w:pPr>
          </w:p>
          <w:p w:rsidR="00D06AA7" w:rsidRPr="00BA3DE2" w:rsidRDefault="007F12B1">
            <w:pPr>
              <w:rPr>
                <w:sz w:val="24"/>
              </w:rPr>
            </w:pPr>
            <w:r w:rsidRPr="00BA3DE2">
              <w:rPr>
                <w:rFonts w:ascii="宋体" w:hAnsi="宋体" w:hint="eastAsia"/>
                <w:bCs/>
                <w:color w:val="000000"/>
                <w:kern w:val="0"/>
                <w:sz w:val="24"/>
              </w:rPr>
              <w:t>机构</w:t>
            </w:r>
          </w:p>
        </w:tc>
        <w:tc>
          <w:tcPr>
            <w:tcW w:w="992" w:type="dxa"/>
            <w:vAlign w:val="center"/>
          </w:tcPr>
          <w:p w:rsidR="00D06AA7" w:rsidRPr="00BA3DE2" w:rsidRDefault="007F12B1">
            <w:pPr>
              <w:jc w:val="center"/>
              <w:rPr>
                <w:sz w:val="24"/>
              </w:rPr>
            </w:pPr>
            <w:r w:rsidRPr="00BA3DE2">
              <w:rPr>
                <w:rFonts w:ascii="宋体" w:hAnsi="宋体"/>
                <w:color w:val="000000"/>
                <w:kern w:val="0"/>
                <w:sz w:val="24"/>
              </w:rPr>
              <w:t>1</w:t>
            </w:r>
          </w:p>
        </w:tc>
        <w:tc>
          <w:tcPr>
            <w:tcW w:w="1843" w:type="dxa"/>
            <w:vAlign w:val="center"/>
          </w:tcPr>
          <w:p w:rsidR="00D06AA7" w:rsidRPr="00BA3DE2" w:rsidRDefault="007F12B1">
            <w:pPr>
              <w:jc w:val="center"/>
              <w:rPr>
                <w:sz w:val="24"/>
              </w:rPr>
            </w:pPr>
            <w:r w:rsidRPr="00BA3DE2">
              <w:rPr>
                <w:rFonts w:ascii="宋体" w:hAnsi="宋体"/>
                <w:color w:val="000000"/>
                <w:kern w:val="0"/>
                <w:sz w:val="24"/>
              </w:rPr>
              <w:t>2018/1/1-2018/12/31</w:t>
            </w:r>
          </w:p>
        </w:tc>
        <w:tc>
          <w:tcPr>
            <w:tcW w:w="851" w:type="dxa"/>
            <w:vAlign w:val="center"/>
          </w:tcPr>
          <w:p w:rsidR="00D06AA7" w:rsidRPr="00BA3DE2" w:rsidRDefault="007F12B1">
            <w:pPr>
              <w:jc w:val="center"/>
              <w:rPr>
                <w:sz w:val="24"/>
              </w:rPr>
            </w:pPr>
            <w:r w:rsidRPr="00BA3DE2">
              <w:rPr>
                <w:rFonts w:ascii="宋体" w:hAnsi="宋体"/>
                <w:color w:val="000000"/>
                <w:kern w:val="0"/>
                <w:sz w:val="24"/>
              </w:rPr>
              <w:t>-</w:t>
            </w:r>
          </w:p>
        </w:tc>
        <w:tc>
          <w:tcPr>
            <w:tcW w:w="850" w:type="dxa"/>
            <w:vAlign w:val="center"/>
          </w:tcPr>
          <w:p w:rsidR="00D06AA7" w:rsidRPr="00BA3DE2" w:rsidRDefault="007F12B1">
            <w:pPr>
              <w:jc w:val="center"/>
              <w:rPr>
                <w:sz w:val="24"/>
              </w:rPr>
            </w:pPr>
            <w:r w:rsidRPr="00BA3DE2">
              <w:rPr>
                <w:rFonts w:ascii="宋体" w:hAnsi="宋体"/>
                <w:color w:val="000000"/>
                <w:kern w:val="0"/>
                <w:sz w:val="24"/>
              </w:rPr>
              <w:t>27,272,727.28</w:t>
            </w:r>
          </w:p>
        </w:tc>
        <w:tc>
          <w:tcPr>
            <w:tcW w:w="1134" w:type="dxa"/>
            <w:vAlign w:val="center"/>
          </w:tcPr>
          <w:p w:rsidR="00D06AA7" w:rsidRPr="00BA3DE2" w:rsidRDefault="007F12B1">
            <w:pPr>
              <w:jc w:val="center"/>
              <w:rPr>
                <w:sz w:val="24"/>
              </w:rPr>
            </w:pPr>
            <w:r w:rsidRPr="00BA3DE2">
              <w:rPr>
                <w:rFonts w:ascii="宋体" w:hAnsi="宋体"/>
                <w:color w:val="000000"/>
                <w:kern w:val="0"/>
                <w:sz w:val="24"/>
              </w:rPr>
              <w:t>27,272,727.28</w:t>
            </w:r>
          </w:p>
        </w:tc>
        <w:tc>
          <w:tcPr>
            <w:tcW w:w="1419" w:type="dxa"/>
            <w:vAlign w:val="center"/>
          </w:tcPr>
          <w:p w:rsidR="00D06AA7" w:rsidRPr="00BA3DE2" w:rsidRDefault="007F12B1">
            <w:pPr>
              <w:jc w:val="center"/>
              <w:rPr>
                <w:sz w:val="24"/>
              </w:rPr>
            </w:pPr>
            <w:r w:rsidRPr="00BA3DE2">
              <w:rPr>
                <w:rFonts w:ascii="宋体" w:hAnsi="宋体"/>
                <w:color w:val="000000"/>
                <w:kern w:val="0"/>
                <w:sz w:val="24"/>
              </w:rPr>
              <w:t>-</w:t>
            </w:r>
          </w:p>
        </w:tc>
        <w:tc>
          <w:tcPr>
            <w:tcW w:w="1130" w:type="dxa"/>
            <w:vAlign w:val="center"/>
          </w:tcPr>
          <w:p w:rsidR="00D06AA7" w:rsidRPr="00BA3DE2" w:rsidRDefault="007F12B1">
            <w:pPr>
              <w:jc w:val="center"/>
              <w:rPr>
                <w:sz w:val="24"/>
              </w:rPr>
            </w:pPr>
            <w:r w:rsidRPr="00BA3DE2">
              <w:rPr>
                <w:rFonts w:ascii="宋体" w:hAnsi="宋体"/>
                <w:color w:val="000000"/>
                <w:kern w:val="0"/>
                <w:sz w:val="24"/>
              </w:rPr>
              <w:t>-</w:t>
            </w:r>
          </w:p>
        </w:tc>
      </w:tr>
      <w:tr w:rsidR="00D06AA7" w:rsidRPr="005425E8">
        <w:tc>
          <w:tcPr>
            <w:tcW w:w="993" w:type="dxa"/>
            <w:vMerge/>
          </w:tcPr>
          <w:p w:rsidR="00D06AA7" w:rsidRPr="00BA3DE2" w:rsidRDefault="00D06AA7">
            <w:pPr>
              <w:rPr>
                <w:sz w:val="24"/>
              </w:rPr>
            </w:pPr>
          </w:p>
        </w:tc>
        <w:tc>
          <w:tcPr>
            <w:tcW w:w="992" w:type="dxa"/>
            <w:vAlign w:val="center"/>
          </w:tcPr>
          <w:p w:rsidR="00D06AA7" w:rsidRPr="00BA3DE2" w:rsidRDefault="007F12B1">
            <w:pPr>
              <w:jc w:val="center"/>
              <w:rPr>
                <w:sz w:val="24"/>
              </w:rPr>
            </w:pPr>
            <w:r w:rsidRPr="00BA3DE2">
              <w:rPr>
                <w:rFonts w:ascii="宋体" w:hAnsi="宋体"/>
                <w:color w:val="000000"/>
                <w:kern w:val="0"/>
                <w:sz w:val="24"/>
              </w:rPr>
              <w:t>2</w:t>
            </w:r>
          </w:p>
        </w:tc>
        <w:tc>
          <w:tcPr>
            <w:tcW w:w="1843" w:type="dxa"/>
            <w:vAlign w:val="center"/>
          </w:tcPr>
          <w:p w:rsidR="00D06AA7" w:rsidRPr="00BA3DE2" w:rsidRDefault="007F12B1">
            <w:pPr>
              <w:jc w:val="center"/>
              <w:rPr>
                <w:sz w:val="24"/>
              </w:rPr>
            </w:pPr>
            <w:r w:rsidRPr="00BA3DE2">
              <w:rPr>
                <w:rFonts w:ascii="宋体" w:hAnsi="宋体"/>
                <w:color w:val="000000"/>
                <w:kern w:val="0"/>
                <w:sz w:val="24"/>
              </w:rPr>
              <w:t>2018/1/1-2018/12/31</w:t>
            </w:r>
          </w:p>
        </w:tc>
        <w:tc>
          <w:tcPr>
            <w:tcW w:w="851" w:type="dxa"/>
            <w:vAlign w:val="center"/>
          </w:tcPr>
          <w:p w:rsidR="00D06AA7" w:rsidRPr="00BA3DE2" w:rsidRDefault="007F12B1">
            <w:pPr>
              <w:jc w:val="center"/>
              <w:rPr>
                <w:sz w:val="24"/>
              </w:rPr>
            </w:pPr>
            <w:r w:rsidRPr="00BA3DE2">
              <w:rPr>
                <w:rFonts w:ascii="宋体" w:hAnsi="宋体"/>
                <w:color w:val="000000"/>
                <w:kern w:val="0"/>
                <w:sz w:val="24"/>
              </w:rPr>
              <w:t>-</w:t>
            </w:r>
          </w:p>
        </w:tc>
        <w:tc>
          <w:tcPr>
            <w:tcW w:w="850" w:type="dxa"/>
            <w:vAlign w:val="center"/>
          </w:tcPr>
          <w:p w:rsidR="00D06AA7" w:rsidRPr="00BA3DE2" w:rsidRDefault="007F12B1">
            <w:pPr>
              <w:jc w:val="center"/>
              <w:rPr>
                <w:sz w:val="24"/>
              </w:rPr>
            </w:pPr>
            <w:r w:rsidRPr="00BA3DE2">
              <w:rPr>
                <w:rFonts w:ascii="宋体" w:hAnsi="宋体"/>
                <w:color w:val="000000"/>
                <w:kern w:val="0"/>
                <w:sz w:val="24"/>
              </w:rPr>
              <w:t>9,066,183.14</w:t>
            </w:r>
          </w:p>
        </w:tc>
        <w:tc>
          <w:tcPr>
            <w:tcW w:w="1134" w:type="dxa"/>
            <w:vAlign w:val="center"/>
          </w:tcPr>
          <w:p w:rsidR="00D06AA7" w:rsidRPr="00BA3DE2" w:rsidRDefault="007F12B1">
            <w:pPr>
              <w:jc w:val="center"/>
              <w:rPr>
                <w:sz w:val="24"/>
              </w:rPr>
            </w:pPr>
            <w:r w:rsidRPr="00BA3DE2">
              <w:rPr>
                <w:rFonts w:ascii="宋体" w:hAnsi="宋体"/>
                <w:color w:val="000000"/>
                <w:kern w:val="0"/>
                <w:sz w:val="24"/>
              </w:rPr>
              <w:t>9,066,183.14</w:t>
            </w:r>
          </w:p>
        </w:tc>
        <w:tc>
          <w:tcPr>
            <w:tcW w:w="1419" w:type="dxa"/>
            <w:vAlign w:val="center"/>
          </w:tcPr>
          <w:p w:rsidR="00D06AA7" w:rsidRPr="00BA3DE2" w:rsidRDefault="007F12B1">
            <w:pPr>
              <w:jc w:val="center"/>
              <w:rPr>
                <w:sz w:val="24"/>
              </w:rPr>
            </w:pPr>
            <w:r w:rsidRPr="00BA3DE2">
              <w:rPr>
                <w:rFonts w:ascii="宋体" w:hAnsi="宋体"/>
                <w:color w:val="000000"/>
                <w:kern w:val="0"/>
                <w:sz w:val="24"/>
              </w:rPr>
              <w:t>-</w:t>
            </w:r>
          </w:p>
        </w:tc>
        <w:tc>
          <w:tcPr>
            <w:tcW w:w="1130" w:type="dxa"/>
            <w:vAlign w:val="center"/>
          </w:tcPr>
          <w:p w:rsidR="00D06AA7" w:rsidRPr="00BA3DE2" w:rsidRDefault="007F12B1">
            <w:pPr>
              <w:jc w:val="center"/>
              <w:rPr>
                <w:sz w:val="24"/>
              </w:rPr>
            </w:pPr>
            <w:r w:rsidRPr="00BA3DE2">
              <w:rPr>
                <w:rFonts w:ascii="宋体" w:hAnsi="宋体"/>
                <w:color w:val="000000"/>
                <w:kern w:val="0"/>
                <w:sz w:val="24"/>
              </w:rPr>
              <w:t>-</w:t>
            </w:r>
          </w:p>
        </w:tc>
      </w:tr>
      <w:tr w:rsidR="00A25C9D" w:rsidRPr="005425E8" w:rsidTr="007F12B1">
        <w:tc>
          <w:tcPr>
            <w:tcW w:w="9212" w:type="dxa"/>
            <w:gridSpan w:val="8"/>
            <w:vAlign w:val="center"/>
          </w:tcPr>
          <w:p w:rsidR="00A25C9D" w:rsidRPr="00BA3DE2" w:rsidRDefault="00A25C9D" w:rsidP="007F12B1">
            <w:pPr>
              <w:autoSpaceDE w:val="0"/>
              <w:autoSpaceDN w:val="0"/>
              <w:adjustRightInd w:val="0"/>
              <w:jc w:val="center"/>
              <w:rPr>
                <w:rFonts w:ascii="宋体" w:hAnsi="宋体"/>
                <w:kern w:val="0"/>
                <w:sz w:val="24"/>
              </w:rPr>
            </w:pPr>
            <w:r w:rsidRPr="00BA3DE2">
              <w:rPr>
                <w:rFonts w:ascii="宋体" w:hAnsi="宋体"/>
                <w:color w:val="000000"/>
                <w:kern w:val="0"/>
                <w:sz w:val="24"/>
              </w:rPr>
              <w:t>产品特有风险</w:t>
            </w:r>
          </w:p>
        </w:tc>
      </w:tr>
      <w:tr w:rsidR="00A25C9D" w:rsidRPr="005425E8" w:rsidTr="007F12B1">
        <w:tc>
          <w:tcPr>
            <w:tcW w:w="9212" w:type="dxa"/>
            <w:gridSpan w:val="8"/>
            <w:vAlign w:val="center"/>
          </w:tcPr>
          <w:p w:rsidR="00A25C9D" w:rsidRPr="00BA3DE2" w:rsidRDefault="00A25C9D" w:rsidP="007F12B1">
            <w:pPr>
              <w:autoSpaceDE w:val="0"/>
              <w:autoSpaceDN w:val="0"/>
              <w:adjustRightInd w:val="0"/>
              <w:jc w:val="left"/>
              <w:rPr>
                <w:rFonts w:ascii="宋体" w:hAnsi="宋体"/>
                <w:kern w:val="0"/>
                <w:sz w:val="24"/>
              </w:rPr>
            </w:pPr>
            <w:r w:rsidRPr="00BA3DE2">
              <w:rPr>
                <w:rFonts w:ascii="宋体" w:hAnsi="宋体" w:hint="eastAsia"/>
                <w:kern w:val="0"/>
                <w:sz w:val="24"/>
              </w:rPr>
              <w:t>本基金本报告期内出现单一投资者持有基金份额比例超过基金总份额</w:t>
            </w:r>
            <w:r w:rsidRPr="00BA3DE2">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A25C9D" w:rsidRPr="00BA3DE2" w:rsidRDefault="00A25C9D" w:rsidP="00A25C9D">
      <w:pPr>
        <w:autoSpaceDE w:val="0"/>
        <w:autoSpaceDN w:val="0"/>
        <w:adjustRightInd w:val="0"/>
        <w:spacing w:line="360" w:lineRule="auto"/>
        <w:jc w:val="left"/>
        <w:rPr>
          <w:rFonts w:ascii="宋体" w:hAnsi="宋体"/>
          <w:b/>
          <w:bCs/>
          <w:color w:val="000000"/>
          <w:kern w:val="0"/>
          <w:sz w:val="24"/>
        </w:rPr>
      </w:pPr>
      <w:r w:rsidRPr="00BA3DE2">
        <w:rPr>
          <w:rFonts w:ascii="宋体" w:hAnsi="宋体"/>
          <w:b/>
          <w:bCs/>
          <w:color w:val="000000"/>
          <w:kern w:val="0"/>
          <w:sz w:val="24"/>
        </w:rPr>
        <w:t xml:space="preserve">12.2 </w:t>
      </w:r>
      <w:r w:rsidRPr="00BA3DE2">
        <w:rPr>
          <w:rFonts w:ascii="宋体" w:hAnsi="宋体" w:hint="eastAsia"/>
          <w:b/>
          <w:bCs/>
          <w:color w:val="000000"/>
          <w:kern w:val="0"/>
          <w:sz w:val="24"/>
        </w:rPr>
        <w:t>影响投资者决策的其他重要信息</w:t>
      </w:r>
    </w:p>
    <w:p w:rsidR="00D06AA7" w:rsidRPr="00BA3DE2" w:rsidRDefault="007F12B1">
      <w:pPr>
        <w:spacing w:line="360" w:lineRule="auto"/>
        <w:ind w:firstLineChars="200" w:firstLine="480"/>
        <w:rPr>
          <w:rFonts w:ascii="宋体" w:hAnsi="宋体"/>
          <w:color w:val="000000"/>
          <w:sz w:val="24"/>
        </w:rPr>
      </w:pPr>
      <w:r w:rsidRPr="00BA3DE2">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D06AA7" w:rsidRPr="00BA3DE2" w:rsidRDefault="007F12B1">
      <w:pPr>
        <w:spacing w:line="360" w:lineRule="auto"/>
        <w:ind w:firstLineChars="200" w:firstLine="480"/>
        <w:rPr>
          <w:rFonts w:ascii="宋体" w:hAnsi="宋体"/>
          <w:color w:val="000000"/>
          <w:sz w:val="24"/>
        </w:rPr>
      </w:pPr>
      <w:r w:rsidRPr="00BA3DE2">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25C9D" w:rsidRPr="00BA3DE2" w:rsidRDefault="00A25C9D" w:rsidP="00A25C9D">
      <w:pPr>
        <w:spacing w:line="360" w:lineRule="auto"/>
        <w:ind w:firstLineChars="200" w:firstLine="480"/>
        <w:rPr>
          <w:rFonts w:ascii="宋体" w:hAnsi="宋体"/>
          <w:color w:val="000000"/>
          <w:sz w:val="24"/>
        </w:rPr>
      </w:pPr>
      <w:r w:rsidRPr="00BA3DE2">
        <w:rPr>
          <w:rFonts w:ascii="宋体" w:hAnsi="宋体"/>
          <w:color w:val="000000"/>
          <w:sz w:val="24"/>
        </w:rPr>
        <w:t>3、本基金管理人于2018年8月13日起至2018年9月12日17：00止以通讯方式召开本基金的基金份额持有人大会，就本基金基金合同修改有关事项的议案进行表决。本次基金份额持有人大会于2018年9月13日表决通过，新修订的《交银施罗德丰盈收益债券型证券投资基金基金合同》、《交银施罗德丰盈收益债券型证券投资基金托管协议》、《交银施罗德丰盈收益债券型证券投资基金招募说明书》于2018年9月14日起生效。详情请查阅本基金管理人于2018年9月14日发布的《交银施罗德基金管理有限公司关于交银施罗德丰盈收益债券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B1" w:rsidRDefault="007F12B1">
      <w:r>
        <w:separator/>
      </w:r>
    </w:p>
  </w:endnote>
  <w:endnote w:type="continuationSeparator" w:id="0">
    <w:p w:rsidR="007F12B1" w:rsidRDefault="007F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12B1" w:rsidRDefault="007F12B1"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3DE2">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A3DE2">
      <w:rPr>
        <w:noProof/>
        <w:kern w:val="0"/>
        <w:szCs w:val="21"/>
      </w:rPr>
      <w:t>35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B1" w:rsidRDefault="007F12B1">
      <w:r>
        <w:separator/>
      </w:r>
    </w:p>
  </w:footnote>
  <w:footnote w:type="continuationSeparator" w:id="0">
    <w:p w:rsidR="007F12B1" w:rsidRDefault="007F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Pr="00FB2916" w:rsidRDefault="007F12B1" w:rsidP="00C2542B">
    <w:pPr>
      <w:pStyle w:val="aa"/>
      <w:pBdr>
        <w:bottom w:val="single" w:sz="6" w:space="0" w:color="auto"/>
      </w:pBdr>
      <w:jc w:val="right"/>
      <w:rPr>
        <w:sz w:val="24"/>
        <w:szCs w:val="24"/>
      </w:rPr>
    </w:pPr>
    <w:r w:rsidRPr="00FB2916">
      <w:rPr>
        <w:sz w:val="24"/>
        <w:szCs w:val="24"/>
      </w:rPr>
      <w:t>交银施罗德丰盈收益债券型证券投资基金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B1" w:rsidRDefault="007F12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5E8"/>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B93"/>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2B1"/>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DE2"/>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AA7"/>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6D8789B-BC4B-443C-B316-67CC05B7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35</Pages>
  <Words>3761</Words>
  <Characters>21440</Characters>
  <Application>Microsoft Office Word</Application>
  <DocSecurity>0</DocSecurity>
  <Lines>178</Lines>
  <Paragraphs>50</Paragraphs>
  <ScaleCrop>false</ScaleCrop>
  <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628</cp:revision>
  <cp:lastPrinted>2007-07-19T00:46:00Z</cp:lastPrinted>
  <dcterms:created xsi:type="dcterms:W3CDTF">2013-08-19T02:39:00Z</dcterms:created>
  <dcterms:modified xsi:type="dcterms:W3CDTF">2019-03-26T08:08:00Z</dcterms:modified>
</cp:coreProperties>
</file>