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交银施罗德货币市场证券投资基金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基金托管人：中国农业银行股份有限公司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二〇一九年三月二十七日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rsidSect="00713CB1">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中国农业银行股份有限公司</w:t>
      </w:r>
      <w:r w:rsidR="002813BD">
        <w:rPr>
          <w:rFonts w:hint="eastAsia"/>
          <w:color w:val="000000"/>
          <w:sz w:val="24"/>
        </w:rPr>
        <w:t>(</w:t>
      </w:r>
      <w:r w:rsidR="002813BD">
        <w:rPr>
          <w:rFonts w:hint="eastAsia"/>
          <w:color w:val="000000"/>
          <w:sz w:val="24"/>
        </w:rPr>
        <w:t>以下简称“中国农业银行”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2019</w:t>
      </w:r>
      <w:r w:rsidRPr="00F834A5">
        <w:rPr>
          <w:color w:val="000000"/>
          <w:sz w:val="24"/>
        </w:rPr>
        <w:t>年</w:t>
      </w:r>
      <w:r w:rsidRPr="00F834A5">
        <w:rPr>
          <w:color w:val="000000"/>
          <w:sz w:val="24"/>
        </w:rPr>
        <w:t>3</w:t>
      </w:r>
      <w:r w:rsidRPr="00F834A5">
        <w:rPr>
          <w:color w:val="000000"/>
          <w:sz w:val="24"/>
        </w:rPr>
        <w:t>月</w:t>
      </w:r>
      <w:r w:rsidRPr="00F834A5">
        <w:rPr>
          <w:color w:val="000000"/>
          <w:sz w:val="24"/>
        </w:rPr>
        <w:t>26</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2018</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519588</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2006</w:t>
            </w:r>
            <w:r w:rsidRPr="004C79A3">
              <w:rPr>
                <w:sz w:val="24"/>
              </w:rPr>
              <w:t>年</w:t>
            </w:r>
            <w:r w:rsidRPr="004C79A3">
              <w:rPr>
                <w:sz w:val="24"/>
              </w:rPr>
              <w:t>1</w:t>
            </w:r>
            <w:r w:rsidRPr="004C79A3">
              <w:rPr>
                <w:sz w:val="24"/>
              </w:rPr>
              <w:t>月</w:t>
            </w:r>
            <w:r w:rsidRPr="004C79A3">
              <w:rPr>
                <w:sz w:val="24"/>
              </w:rPr>
              <w:t>20</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中国农业银行股份有限公司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1,301,869,672.59</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交银货币</w:t>
            </w:r>
            <w:r>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519588</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519589</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344,115,922.75</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957,753,749.84</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本基金属于货币市场基金，投资目标是在力求本金稳妥和资产充分流动性的前提下，追求超过业绩比较基准的投资收益。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六个月银行定期存款利率（税后）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本基金是具有较低风险、中低收益、流动性强的证券投资基金品种。</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中国农业银行股份有限公司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贺倩</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010-66060069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tgxxpl@abchina.com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95599</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010-68121816</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2018</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2017</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交银货币</w:t>
            </w:r>
            <w:r>
              <w:rPr>
                <w:rFonts w:hint="eastAsia"/>
                <w:szCs w:val="21"/>
              </w:rPr>
              <w:t>B</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交银货币</w:t>
            </w:r>
            <w:r>
              <w:rPr>
                <w:rFonts w:hint="eastAsia"/>
                <w:szCs w:val="21"/>
              </w:rPr>
              <w:t>B</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交银货币</w:t>
            </w:r>
            <w:r>
              <w:rPr>
                <w:rFonts w:hint="eastAsia"/>
                <w:szCs w:val="21"/>
              </w:rPr>
              <w:t>B</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13,732,489.60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219,631,611.09</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15,894,823.72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227,456,065.50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16,409,600.96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599,801,071.85</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13,732,489.60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219,631,611.09</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15,894,823.72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227,456,065.50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16,409,600.96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599,801,071.85</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2.98%</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3.23%</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3.33%</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3.58%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2.47%</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2.72%</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2018</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2017</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交银货币</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交银货币</w:t>
            </w:r>
            <w:r>
              <w:rPr>
                <w:rFonts w:hint="eastAsia"/>
                <w:szCs w:val="21"/>
              </w:rPr>
              <w:t>B</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344,115,922.75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957,753,749.84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518,102,679.96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9,342,703,661.09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991,001,158.11</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37,295,358,314.46</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r>
    </w:tbl>
    <w:p w:rsidR="00A57986" w:rsidRDefault="00701A6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A57986" w:rsidRDefault="00701A6B">
      <w:pPr>
        <w:spacing w:before="29" w:line="288" w:lineRule="auto"/>
        <w:jc w:val="left"/>
        <w:rPr>
          <w:kern w:val="0"/>
          <w:sz w:val="24"/>
        </w:rPr>
      </w:pPr>
      <w:r>
        <w:rPr>
          <w:rFonts w:hint="eastAsia"/>
          <w:kern w:val="0"/>
          <w:sz w:val="24"/>
        </w:rPr>
        <w:t xml:space="preserve">    2</w:t>
      </w:r>
      <w:r>
        <w:rPr>
          <w:rFonts w:hint="eastAsia"/>
          <w:kern w:val="0"/>
          <w:sz w:val="24"/>
        </w:rPr>
        <w:t>、本基金收益分配按月结转份额。</w:t>
      </w:r>
    </w:p>
    <w:p w:rsidR="00A57986" w:rsidRDefault="00701A6B">
      <w:pPr>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日起，本基金实行销售服务费分级收费方式，分设两级基金份额：</w:t>
      </w:r>
      <w:r>
        <w:rPr>
          <w:rFonts w:hint="eastAsia"/>
          <w:kern w:val="0"/>
          <w:sz w:val="24"/>
        </w:rPr>
        <w:t>A</w:t>
      </w:r>
      <w:r>
        <w:rPr>
          <w:rFonts w:hint="eastAsia"/>
          <w:kern w:val="0"/>
          <w:sz w:val="24"/>
        </w:rPr>
        <w:t>级基金份额和</w:t>
      </w:r>
      <w:r>
        <w:rPr>
          <w:rFonts w:hint="eastAsia"/>
          <w:kern w:val="0"/>
          <w:sz w:val="24"/>
        </w:rPr>
        <w:t>B</w:t>
      </w:r>
      <w:r>
        <w:rPr>
          <w:rFonts w:hint="eastAsia"/>
          <w:kern w:val="0"/>
          <w:sz w:val="24"/>
        </w:rPr>
        <w:t>级基金份额。</w:t>
      </w:r>
      <w:r>
        <w:rPr>
          <w:rFonts w:hint="eastAsia"/>
          <w:kern w:val="0"/>
          <w:sz w:val="24"/>
        </w:rPr>
        <w:t>A</w:t>
      </w:r>
      <w:r>
        <w:rPr>
          <w:rFonts w:hint="eastAsia"/>
          <w:kern w:val="0"/>
          <w:sz w:val="24"/>
        </w:rPr>
        <w:t>级基金份额与</w:t>
      </w:r>
      <w:r>
        <w:rPr>
          <w:rFonts w:hint="eastAsia"/>
          <w:kern w:val="0"/>
          <w:sz w:val="24"/>
        </w:rPr>
        <w:t>B</w:t>
      </w:r>
      <w:r>
        <w:rPr>
          <w:rFonts w:hint="eastAsia"/>
          <w:kern w:val="0"/>
          <w:sz w:val="24"/>
        </w:rPr>
        <w:t>级基金份额的管理费、托管费相同，</w:t>
      </w:r>
      <w:r>
        <w:rPr>
          <w:rFonts w:hint="eastAsia"/>
          <w:kern w:val="0"/>
          <w:sz w:val="24"/>
        </w:rPr>
        <w:t>A</w:t>
      </w:r>
      <w:r>
        <w:rPr>
          <w:rFonts w:hint="eastAsia"/>
          <w:kern w:val="0"/>
          <w:sz w:val="24"/>
        </w:rPr>
        <w:t>级基金份额按照</w:t>
      </w:r>
      <w:r>
        <w:rPr>
          <w:rFonts w:hint="eastAsia"/>
          <w:kern w:val="0"/>
          <w:sz w:val="24"/>
        </w:rPr>
        <w:t>0.25%</w:t>
      </w:r>
      <w:r>
        <w:rPr>
          <w:rFonts w:hint="eastAsia"/>
          <w:kern w:val="0"/>
          <w:sz w:val="24"/>
        </w:rPr>
        <w:t>的年费率计提销售服务费，</w:t>
      </w:r>
      <w:r>
        <w:rPr>
          <w:rFonts w:hint="eastAsia"/>
          <w:kern w:val="0"/>
          <w:sz w:val="24"/>
        </w:rPr>
        <w:t>B</w:t>
      </w:r>
      <w:r>
        <w:rPr>
          <w:rFonts w:hint="eastAsia"/>
          <w:kern w:val="0"/>
          <w:sz w:val="24"/>
        </w:rPr>
        <w:t>级基金份额按照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级基金份额与分级前基金连续计算，</w:t>
      </w:r>
      <w:r>
        <w:rPr>
          <w:rFonts w:hint="eastAsia"/>
          <w:kern w:val="0"/>
          <w:sz w:val="24"/>
        </w:rPr>
        <w:t>B</w:t>
      </w:r>
      <w:r>
        <w:rPr>
          <w:rFonts w:hint="eastAsia"/>
          <w:kern w:val="0"/>
          <w:sz w:val="24"/>
        </w:rPr>
        <w:t>级基金份额按新设基金计算。</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A57986">
        <w:tc>
          <w:tcPr>
            <w:tcW w:w="1286" w:type="dxa"/>
            <w:vAlign w:val="center"/>
          </w:tcPr>
          <w:p w:rsidR="00A57986" w:rsidRDefault="00701A6B">
            <w:pPr>
              <w:jc w:val="left"/>
            </w:pPr>
            <w:r>
              <w:rPr>
                <w:sz w:val="24"/>
              </w:rPr>
              <w:t>过去三个月</w:t>
            </w:r>
          </w:p>
        </w:tc>
        <w:tc>
          <w:tcPr>
            <w:tcW w:w="1286" w:type="dxa"/>
            <w:vAlign w:val="center"/>
          </w:tcPr>
          <w:p w:rsidR="00A57986" w:rsidRDefault="00701A6B">
            <w:pPr>
              <w:jc w:val="center"/>
            </w:pPr>
            <w:r>
              <w:rPr>
                <w:sz w:val="24"/>
              </w:rPr>
              <w:t>0.5341%</w:t>
            </w:r>
          </w:p>
        </w:tc>
        <w:tc>
          <w:tcPr>
            <w:tcW w:w="1286" w:type="dxa"/>
            <w:vAlign w:val="center"/>
          </w:tcPr>
          <w:p w:rsidR="00A57986" w:rsidRDefault="00701A6B">
            <w:pPr>
              <w:jc w:val="center"/>
            </w:pPr>
            <w:r>
              <w:rPr>
                <w:sz w:val="24"/>
              </w:rPr>
              <w:t>0.0011%</w:t>
            </w:r>
          </w:p>
        </w:tc>
        <w:tc>
          <w:tcPr>
            <w:tcW w:w="1285" w:type="dxa"/>
            <w:vAlign w:val="center"/>
          </w:tcPr>
          <w:p w:rsidR="00A57986" w:rsidRDefault="00701A6B">
            <w:pPr>
              <w:jc w:val="center"/>
            </w:pPr>
            <w:r>
              <w:rPr>
                <w:sz w:val="24"/>
              </w:rPr>
              <w:t>0.3277%</w:t>
            </w:r>
          </w:p>
        </w:tc>
        <w:tc>
          <w:tcPr>
            <w:tcW w:w="1285" w:type="dxa"/>
            <w:vAlign w:val="center"/>
          </w:tcPr>
          <w:p w:rsidR="00A57986" w:rsidRDefault="00701A6B">
            <w:pPr>
              <w:jc w:val="center"/>
            </w:pPr>
            <w:r>
              <w:rPr>
                <w:sz w:val="24"/>
              </w:rPr>
              <w:t>0.0000%</w:t>
            </w:r>
          </w:p>
        </w:tc>
        <w:tc>
          <w:tcPr>
            <w:tcW w:w="1285" w:type="dxa"/>
            <w:vAlign w:val="center"/>
          </w:tcPr>
          <w:p w:rsidR="00A57986" w:rsidRDefault="00701A6B">
            <w:pPr>
              <w:jc w:val="center"/>
            </w:pPr>
            <w:r>
              <w:rPr>
                <w:sz w:val="24"/>
              </w:rPr>
              <w:t>0.2064%</w:t>
            </w:r>
          </w:p>
        </w:tc>
        <w:tc>
          <w:tcPr>
            <w:tcW w:w="1285" w:type="dxa"/>
            <w:vAlign w:val="center"/>
          </w:tcPr>
          <w:p w:rsidR="00A57986" w:rsidRDefault="00701A6B">
            <w:pPr>
              <w:jc w:val="center"/>
            </w:pPr>
            <w:r>
              <w:rPr>
                <w:sz w:val="24"/>
              </w:rPr>
              <w:t>0.0011%</w:t>
            </w:r>
          </w:p>
        </w:tc>
      </w:tr>
      <w:tr w:rsidR="00A57986">
        <w:tc>
          <w:tcPr>
            <w:tcW w:w="1286" w:type="dxa"/>
            <w:vAlign w:val="center"/>
          </w:tcPr>
          <w:p w:rsidR="00A57986" w:rsidRDefault="00701A6B">
            <w:pPr>
              <w:jc w:val="left"/>
            </w:pPr>
            <w:r>
              <w:rPr>
                <w:sz w:val="24"/>
              </w:rPr>
              <w:t>过去六个月</w:t>
            </w:r>
          </w:p>
        </w:tc>
        <w:tc>
          <w:tcPr>
            <w:tcW w:w="1286" w:type="dxa"/>
            <w:vAlign w:val="center"/>
          </w:tcPr>
          <w:p w:rsidR="00A57986" w:rsidRDefault="00701A6B">
            <w:pPr>
              <w:jc w:val="center"/>
            </w:pPr>
            <w:r>
              <w:rPr>
                <w:sz w:val="24"/>
              </w:rPr>
              <w:t>1.1842%</w:t>
            </w:r>
          </w:p>
        </w:tc>
        <w:tc>
          <w:tcPr>
            <w:tcW w:w="1286" w:type="dxa"/>
            <w:vAlign w:val="center"/>
          </w:tcPr>
          <w:p w:rsidR="00A57986" w:rsidRDefault="00701A6B">
            <w:pPr>
              <w:jc w:val="center"/>
            </w:pPr>
            <w:r>
              <w:rPr>
                <w:sz w:val="24"/>
              </w:rPr>
              <w:t>0.0020%</w:t>
            </w:r>
          </w:p>
        </w:tc>
        <w:tc>
          <w:tcPr>
            <w:tcW w:w="1285" w:type="dxa"/>
            <w:vAlign w:val="center"/>
          </w:tcPr>
          <w:p w:rsidR="00A57986" w:rsidRDefault="00701A6B">
            <w:pPr>
              <w:jc w:val="center"/>
            </w:pPr>
            <w:r>
              <w:rPr>
                <w:sz w:val="24"/>
              </w:rPr>
              <w:t>0.6553%</w:t>
            </w:r>
          </w:p>
        </w:tc>
        <w:tc>
          <w:tcPr>
            <w:tcW w:w="1285" w:type="dxa"/>
            <w:vAlign w:val="center"/>
          </w:tcPr>
          <w:p w:rsidR="00A57986" w:rsidRDefault="00701A6B">
            <w:pPr>
              <w:jc w:val="center"/>
            </w:pPr>
            <w:r>
              <w:rPr>
                <w:sz w:val="24"/>
              </w:rPr>
              <w:t>0.0000%</w:t>
            </w:r>
          </w:p>
        </w:tc>
        <w:tc>
          <w:tcPr>
            <w:tcW w:w="1285" w:type="dxa"/>
            <w:vAlign w:val="center"/>
          </w:tcPr>
          <w:p w:rsidR="00A57986" w:rsidRDefault="00701A6B">
            <w:pPr>
              <w:jc w:val="center"/>
            </w:pPr>
            <w:r>
              <w:rPr>
                <w:sz w:val="24"/>
              </w:rPr>
              <w:t>0.5289%</w:t>
            </w:r>
          </w:p>
        </w:tc>
        <w:tc>
          <w:tcPr>
            <w:tcW w:w="1285" w:type="dxa"/>
            <w:vAlign w:val="center"/>
          </w:tcPr>
          <w:p w:rsidR="00A57986" w:rsidRDefault="00701A6B">
            <w:pPr>
              <w:jc w:val="center"/>
            </w:pPr>
            <w:r>
              <w:rPr>
                <w:sz w:val="24"/>
              </w:rPr>
              <w:t>0.0020%</w:t>
            </w:r>
          </w:p>
        </w:tc>
      </w:tr>
      <w:tr w:rsidR="00A57986">
        <w:tc>
          <w:tcPr>
            <w:tcW w:w="1286" w:type="dxa"/>
            <w:vAlign w:val="center"/>
          </w:tcPr>
          <w:p w:rsidR="00A57986" w:rsidRDefault="00701A6B">
            <w:pPr>
              <w:jc w:val="left"/>
            </w:pPr>
            <w:r>
              <w:rPr>
                <w:sz w:val="24"/>
              </w:rPr>
              <w:t>过去一年</w:t>
            </w:r>
          </w:p>
        </w:tc>
        <w:tc>
          <w:tcPr>
            <w:tcW w:w="1286" w:type="dxa"/>
            <w:vAlign w:val="center"/>
          </w:tcPr>
          <w:p w:rsidR="00A57986" w:rsidRDefault="00701A6B">
            <w:pPr>
              <w:jc w:val="center"/>
            </w:pPr>
            <w:r>
              <w:rPr>
                <w:sz w:val="24"/>
              </w:rPr>
              <w:t>2.9844%</w:t>
            </w:r>
          </w:p>
        </w:tc>
        <w:tc>
          <w:tcPr>
            <w:tcW w:w="1286" w:type="dxa"/>
            <w:vAlign w:val="center"/>
          </w:tcPr>
          <w:p w:rsidR="00A57986" w:rsidRDefault="00701A6B">
            <w:pPr>
              <w:jc w:val="center"/>
            </w:pPr>
            <w:r>
              <w:rPr>
                <w:sz w:val="24"/>
              </w:rPr>
              <w:t>0.0032%</w:t>
            </w:r>
          </w:p>
        </w:tc>
        <w:tc>
          <w:tcPr>
            <w:tcW w:w="1285" w:type="dxa"/>
            <w:vAlign w:val="center"/>
          </w:tcPr>
          <w:p w:rsidR="00A57986" w:rsidRDefault="00701A6B">
            <w:pPr>
              <w:jc w:val="center"/>
            </w:pPr>
            <w:r>
              <w:rPr>
                <w:sz w:val="24"/>
              </w:rPr>
              <w:t>1.3000%</w:t>
            </w:r>
          </w:p>
        </w:tc>
        <w:tc>
          <w:tcPr>
            <w:tcW w:w="1285" w:type="dxa"/>
            <w:vAlign w:val="center"/>
          </w:tcPr>
          <w:p w:rsidR="00A57986" w:rsidRDefault="00701A6B">
            <w:pPr>
              <w:jc w:val="center"/>
            </w:pPr>
            <w:r>
              <w:rPr>
                <w:sz w:val="24"/>
              </w:rPr>
              <w:t>0.0000%</w:t>
            </w:r>
          </w:p>
        </w:tc>
        <w:tc>
          <w:tcPr>
            <w:tcW w:w="1285" w:type="dxa"/>
            <w:vAlign w:val="center"/>
          </w:tcPr>
          <w:p w:rsidR="00A57986" w:rsidRDefault="00701A6B">
            <w:pPr>
              <w:jc w:val="center"/>
            </w:pPr>
            <w:r>
              <w:rPr>
                <w:sz w:val="24"/>
              </w:rPr>
              <w:t>1.6844%</w:t>
            </w:r>
          </w:p>
        </w:tc>
        <w:tc>
          <w:tcPr>
            <w:tcW w:w="1285" w:type="dxa"/>
            <w:vAlign w:val="center"/>
          </w:tcPr>
          <w:p w:rsidR="00A57986" w:rsidRDefault="00701A6B">
            <w:pPr>
              <w:jc w:val="center"/>
            </w:pPr>
            <w:r>
              <w:rPr>
                <w:sz w:val="24"/>
              </w:rPr>
              <w:t>0.0032%</w:t>
            </w:r>
          </w:p>
        </w:tc>
      </w:tr>
      <w:tr w:rsidR="00A57986">
        <w:tc>
          <w:tcPr>
            <w:tcW w:w="1286" w:type="dxa"/>
            <w:vAlign w:val="center"/>
          </w:tcPr>
          <w:p w:rsidR="00A57986" w:rsidRDefault="00701A6B">
            <w:pPr>
              <w:jc w:val="left"/>
            </w:pPr>
            <w:r>
              <w:rPr>
                <w:sz w:val="24"/>
              </w:rPr>
              <w:t>过去三年</w:t>
            </w:r>
          </w:p>
        </w:tc>
        <w:tc>
          <w:tcPr>
            <w:tcW w:w="1286" w:type="dxa"/>
            <w:vAlign w:val="center"/>
          </w:tcPr>
          <w:p w:rsidR="00A57986" w:rsidRDefault="00701A6B">
            <w:pPr>
              <w:jc w:val="center"/>
            </w:pPr>
            <w:r>
              <w:rPr>
                <w:sz w:val="24"/>
              </w:rPr>
              <w:t>9.0477%</w:t>
            </w:r>
          </w:p>
        </w:tc>
        <w:tc>
          <w:tcPr>
            <w:tcW w:w="1286" w:type="dxa"/>
            <w:vAlign w:val="center"/>
          </w:tcPr>
          <w:p w:rsidR="00A57986" w:rsidRDefault="00701A6B">
            <w:pPr>
              <w:jc w:val="center"/>
            </w:pPr>
            <w:r>
              <w:rPr>
                <w:sz w:val="24"/>
              </w:rPr>
              <w:t>0.0025%</w:t>
            </w:r>
          </w:p>
        </w:tc>
        <w:tc>
          <w:tcPr>
            <w:tcW w:w="1285" w:type="dxa"/>
            <w:vAlign w:val="center"/>
          </w:tcPr>
          <w:p w:rsidR="00A57986" w:rsidRDefault="00701A6B">
            <w:pPr>
              <w:jc w:val="center"/>
            </w:pPr>
            <w:r>
              <w:rPr>
                <w:sz w:val="24"/>
              </w:rPr>
              <w:t>3.9036%</w:t>
            </w:r>
          </w:p>
        </w:tc>
        <w:tc>
          <w:tcPr>
            <w:tcW w:w="1285" w:type="dxa"/>
            <w:vAlign w:val="center"/>
          </w:tcPr>
          <w:p w:rsidR="00A57986" w:rsidRDefault="00701A6B">
            <w:pPr>
              <w:jc w:val="center"/>
            </w:pPr>
            <w:r>
              <w:rPr>
                <w:sz w:val="24"/>
              </w:rPr>
              <w:t>0.0000%</w:t>
            </w:r>
          </w:p>
        </w:tc>
        <w:tc>
          <w:tcPr>
            <w:tcW w:w="1285" w:type="dxa"/>
            <w:vAlign w:val="center"/>
          </w:tcPr>
          <w:p w:rsidR="00A57986" w:rsidRDefault="00701A6B">
            <w:pPr>
              <w:jc w:val="center"/>
            </w:pPr>
            <w:r>
              <w:rPr>
                <w:sz w:val="24"/>
              </w:rPr>
              <w:t>5.1441%</w:t>
            </w:r>
          </w:p>
        </w:tc>
        <w:tc>
          <w:tcPr>
            <w:tcW w:w="1285" w:type="dxa"/>
            <w:vAlign w:val="center"/>
          </w:tcPr>
          <w:p w:rsidR="00A57986" w:rsidRDefault="00701A6B">
            <w:pPr>
              <w:jc w:val="center"/>
            </w:pPr>
            <w:r>
              <w:rPr>
                <w:sz w:val="24"/>
              </w:rPr>
              <w:t>0.0025%</w:t>
            </w:r>
          </w:p>
        </w:tc>
      </w:tr>
      <w:tr w:rsidR="00A57986">
        <w:tc>
          <w:tcPr>
            <w:tcW w:w="1286" w:type="dxa"/>
            <w:vAlign w:val="center"/>
          </w:tcPr>
          <w:p w:rsidR="00A57986" w:rsidRDefault="00701A6B">
            <w:pPr>
              <w:jc w:val="left"/>
            </w:pPr>
            <w:r>
              <w:rPr>
                <w:sz w:val="24"/>
              </w:rPr>
              <w:t>过去五年</w:t>
            </w:r>
          </w:p>
        </w:tc>
        <w:tc>
          <w:tcPr>
            <w:tcW w:w="1286" w:type="dxa"/>
            <w:vAlign w:val="center"/>
          </w:tcPr>
          <w:p w:rsidR="00A57986" w:rsidRDefault="00701A6B">
            <w:pPr>
              <w:jc w:val="center"/>
            </w:pPr>
            <w:r>
              <w:rPr>
                <w:sz w:val="24"/>
              </w:rPr>
              <w:t>17.5101%</w:t>
            </w:r>
          </w:p>
        </w:tc>
        <w:tc>
          <w:tcPr>
            <w:tcW w:w="1286" w:type="dxa"/>
            <w:vAlign w:val="center"/>
          </w:tcPr>
          <w:p w:rsidR="00A57986" w:rsidRDefault="00701A6B">
            <w:pPr>
              <w:jc w:val="center"/>
            </w:pPr>
            <w:r>
              <w:rPr>
                <w:sz w:val="24"/>
              </w:rPr>
              <w:t>0.0040%</w:t>
            </w:r>
          </w:p>
        </w:tc>
        <w:tc>
          <w:tcPr>
            <w:tcW w:w="1285" w:type="dxa"/>
            <w:vAlign w:val="center"/>
          </w:tcPr>
          <w:p w:rsidR="00A57986" w:rsidRDefault="00701A6B">
            <w:pPr>
              <w:jc w:val="center"/>
            </w:pPr>
            <w:r>
              <w:rPr>
                <w:sz w:val="24"/>
              </w:rPr>
              <w:t>8.5926%</w:t>
            </w:r>
          </w:p>
        </w:tc>
        <w:tc>
          <w:tcPr>
            <w:tcW w:w="1285" w:type="dxa"/>
            <w:vAlign w:val="center"/>
          </w:tcPr>
          <w:p w:rsidR="00A57986" w:rsidRDefault="00701A6B">
            <w:pPr>
              <w:jc w:val="center"/>
            </w:pPr>
            <w:r>
              <w:rPr>
                <w:sz w:val="24"/>
              </w:rPr>
              <w:t>0.0017%</w:t>
            </w:r>
          </w:p>
        </w:tc>
        <w:tc>
          <w:tcPr>
            <w:tcW w:w="1285" w:type="dxa"/>
            <w:vAlign w:val="center"/>
          </w:tcPr>
          <w:p w:rsidR="00A57986" w:rsidRDefault="00701A6B">
            <w:pPr>
              <w:jc w:val="center"/>
            </w:pPr>
            <w:r>
              <w:rPr>
                <w:sz w:val="24"/>
              </w:rPr>
              <w:t>8.9175%</w:t>
            </w:r>
          </w:p>
        </w:tc>
        <w:tc>
          <w:tcPr>
            <w:tcW w:w="1285" w:type="dxa"/>
            <w:vAlign w:val="center"/>
          </w:tcPr>
          <w:p w:rsidR="00A57986" w:rsidRDefault="00701A6B">
            <w:pPr>
              <w:jc w:val="center"/>
            </w:pPr>
            <w:r>
              <w:rPr>
                <w:sz w:val="24"/>
              </w:rPr>
              <w:t>0.0023%</w:t>
            </w:r>
          </w:p>
        </w:tc>
      </w:tr>
      <w:tr w:rsidR="00A57986">
        <w:tc>
          <w:tcPr>
            <w:tcW w:w="1286" w:type="dxa"/>
            <w:vAlign w:val="center"/>
          </w:tcPr>
          <w:p w:rsidR="00A57986" w:rsidRDefault="00701A6B">
            <w:pPr>
              <w:jc w:val="left"/>
            </w:pPr>
            <w:r>
              <w:rPr>
                <w:sz w:val="24"/>
              </w:rPr>
              <w:t>自基金合同生效起至今</w:t>
            </w:r>
          </w:p>
        </w:tc>
        <w:tc>
          <w:tcPr>
            <w:tcW w:w="1286" w:type="dxa"/>
            <w:vAlign w:val="center"/>
          </w:tcPr>
          <w:p w:rsidR="00A57986" w:rsidRDefault="00701A6B">
            <w:pPr>
              <w:jc w:val="center"/>
            </w:pPr>
            <w:r>
              <w:rPr>
                <w:sz w:val="24"/>
              </w:rPr>
              <w:t>45.5237%</w:t>
            </w:r>
          </w:p>
        </w:tc>
        <w:tc>
          <w:tcPr>
            <w:tcW w:w="1286" w:type="dxa"/>
            <w:vAlign w:val="center"/>
          </w:tcPr>
          <w:p w:rsidR="00A57986" w:rsidRDefault="00701A6B">
            <w:pPr>
              <w:jc w:val="center"/>
            </w:pPr>
            <w:r>
              <w:rPr>
                <w:sz w:val="24"/>
              </w:rPr>
              <w:t>0.0049%</w:t>
            </w:r>
          </w:p>
        </w:tc>
        <w:tc>
          <w:tcPr>
            <w:tcW w:w="1285" w:type="dxa"/>
            <w:vAlign w:val="center"/>
          </w:tcPr>
          <w:p w:rsidR="00A57986" w:rsidRDefault="00701A6B">
            <w:pPr>
              <w:jc w:val="center"/>
            </w:pPr>
            <w:r>
              <w:rPr>
                <w:sz w:val="24"/>
              </w:rPr>
              <w:t>29.0222%</w:t>
            </w:r>
          </w:p>
        </w:tc>
        <w:tc>
          <w:tcPr>
            <w:tcW w:w="1285" w:type="dxa"/>
            <w:vAlign w:val="center"/>
          </w:tcPr>
          <w:p w:rsidR="00A57986" w:rsidRDefault="00701A6B">
            <w:pPr>
              <w:jc w:val="center"/>
            </w:pPr>
            <w:r>
              <w:rPr>
                <w:sz w:val="24"/>
              </w:rPr>
              <w:t>0.0021%</w:t>
            </w:r>
          </w:p>
        </w:tc>
        <w:tc>
          <w:tcPr>
            <w:tcW w:w="1285" w:type="dxa"/>
            <w:vAlign w:val="center"/>
          </w:tcPr>
          <w:p w:rsidR="00A57986" w:rsidRDefault="00701A6B">
            <w:pPr>
              <w:jc w:val="center"/>
            </w:pPr>
            <w:r>
              <w:rPr>
                <w:sz w:val="24"/>
              </w:rPr>
              <w:t>16.5015%</w:t>
            </w:r>
          </w:p>
        </w:tc>
        <w:tc>
          <w:tcPr>
            <w:tcW w:w="1285" w:type="dxa"/>
            <w:vAlign w:val="center"/>
          </w:tcPr>
          <w:p w:rsidR="00A57986" w:rsidRDefault="00701A6B">
            <w:pPr>
              <w:jc w:val="center"/>
            </w:pPr>
            <w:r>
              <w:rPr>
                <w:sz w:val="24"/>
              </w:rPr>
              <w:t>0.0028%</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注：本基金的业绩比较基准为六个月银行定期存款利率（税后）。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交银货币</w:t>
      </w:r>
      <w:r w:rsidR="004E65B4">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A57986">
        <w:tc>
          <w:tcPr>
            <w:tcW w:w="1286" w:type="dxa"/>
            <w:vAlign w:val="center"/>
          </w:tcPr>
          <w:p w:rsidR="00A57986" w:rsidRDefault="00701A6B">
            <w:pPr>
              <w:jc w:val="left"/>
            </w:pPr>
            <w:r>
              <w:rPr>
                <w:sz w:val="24"/>
              </w:rPr>
              <w:t>过去三个月</w:t>
            </w:r>
          </w:p>
        </w:tc>
        <w:tc>
          <w:tcPr>
            <w:tcW w:w="1286" w:type="dxa"/>
            <w:vAlign w:val="center"/>
          </w:tcPr>
          <w:p w:rsidR="00A57986" w:rsidRDefault="00701A6B">
            <w:pPr>
              <w:jc w:val="center"/>
            </w:pPr>
            <w:r>
              <w:rPr>
                <w:sz w:val="24"/>
              </w:rPr>
              <w:t>0.5949%</w:t>
            </w:r>
          </w:p>
        </w:tc>
        <w:tc>
          <w:tcPr>
            <w:tcW w:w="1286" w:type="dxa"/>
            <w:vAlign w:val="center"/>
          </w:tcPr>
          <w:p w:rsidR="00A57986" w:rsidRDefault="00701A6B">
            <w:pPr>
              <w:jc w:val="center"/>
            </w:pPr>
            <w:r>
              <w:rPr>
                <w:sz w:val="24"/>
              </w:rPr>
              <w:t>0.0011%</w:t>
            </w:r>
          </w:p>
        </w:tc>
        <w:tc>
          <w:tcPr>
            <w:tcW w:w="1285" w:type="dxa"/>
            <w:vAlign w:val="center"/>
          </w:tcPr>
          <w:p w:rsidR="00A57986" w:rsidRDefault="00701A6B">
            <w:pPr>
              <w:jc w:val="center"/>
            </w:pPr>
            <w:r>
              <w:rPr>
                <w:sz w:val="24"/>
              </w:rPr>
              <w:t>0.3277%</w:t>
            </w:r>
          </w:p>
        </w:tc>
        <w:tc>
          <w:tcPr>
            <w:tcW w:w="1285" w:type="dxa"/>
            <w:vAlign w:val="center"/>
          </w:tcPr>
          <w:p w:rsidR="00A57986" w:rsidRDefault="00701A6B">
            <w:pPr>
              <w:jc w:val="center"/>
            </w:pPr>
            <w:r>
              <w:rPr>
                <w:sz w:val="24"/>
              </w:rPr>
              <w:t>0.0000%</w:t>
            </w:r>
          </w:p>
        </w:tc>
        <w:tc>
          <w:tcPr>
            <w:tcW w:w="1285" w:type="dxa"/>
            <w:vAlign w:val="center"/>
          </w:tcPr>
          <w:p w:rsidR="00A57986" w:rsidRDefault="00701A6B">
            <w:pPr>
              <w:jc w:val="center"/>
            </w:pPr>
            <w:r>
              <w:rPr>
                <w:sz w:val="24"/>
              </w:rPr>
              <w:t>0.2672%</w:t>
            </w:r>
          </w:p>
        </w:tc>
        <w:tc>
          <w:tcPr>
            <w:tcW w:w="1285" w:type="dxa"/>
            <w:vAlign w:val="center"/>
          </w:tcPr>
          <w:p w:rsidR="00A57986" w:rsidRDefault="00701A6B">
            <w:pPr>
              <w:jc w:val="center"/>
            </w:pPr>
            <w:r>
              <w:rPr>
                <w:sz w:val="24"/>
              </w:rPr>
              <w:t>0.0011%</w:t>
            </w:r>
          </w:p>
        </w:tc>
      </w:tr>
      <w:tr w:rsidR="00A57986">
        <w:tc>
          <w:tcPr>
            <w:tcW w:w="1286" w:type="dxa"/>
            <w:vAlign w:val="center"/>
          </w:tcPr>
          <w:p w:rsidR="00A57986" w:rsidRDefault="00701A6B">
            <w:pPr>
              <w:jc w:val="left"/>
            </w:pPr>
            <w:r>
              <w:rPr>
                <w:sz w:val="24"/>
              </w:rPr>
              <w:t>过去六个月</w:t>
            </w:r>
          </w:p>
        </w:tc>
        <w:tc>
          <w:tcPr>
            <w:tcW w:w="1286" w:type="dxa"/>
            <w:vAlign w:val="center"/>
          </w:tcPr>
          <w:p w:rsidR="00A57986" w:rsidRDefault="00701A6B">
            <w:pPr>
              <w:jc w:val="center"/>
            </w:pPr>
            <w:r>
              <w:rPr>
                <w:sz w:val="24"/>
              </w:rPr>
              <w:t>1.3066%</w:t>
            </w:r>
          </w:p>
        </w:tc>
        <w:tc>
          <w:tcPr>
            <w:tcW w:w="1286" w:type="dxa"/>
            <w:vAlign w:val="center"/>
          </w:tcPr>
          <w:p w:rsidR="00A57986" w:rsidRDefault="00701A6B">
            <w:pPr>
              <w:jc w:val="center"/>
            </w:pPr>
            <w:r>
              <w:rPr>
                <w:sz w:val="24"/>
              </w:rPr>
              <w:t>0.0020%</w:t>
            </w:r>
          </w:p>
        </w:tc>
        <w:tc>
          <w:tcPr>
            <w:tcW w:w="1285" w:type="dxa"/>
            <w:vAlign w:val="center"/>
          </w:tcPr>
          <w:p w:rsidR="00A57986" w:rsidRDefault="00701A6B">
            <w:pPr>
              <w:jc w:val="center"/>
            </w:pPr>
            <w:r>
              <w:rPr>
                <w:sz w:val="24"/>
              </w:rPr>
              <w:t>0.6553%</w:t>
            </w:r>
          </w:p>
        </w:tc>
        <w:tc>
          <w:tcPr>
            <w:tcW w:w="1285" w:type="dxa"/>
            <w:vAlign w:val="center"/>
          </w:tcPr>
          <w:p w:rsidR="00A57986" w:rsidRDefault="00701A6B">
            <w:pPr>
              <w:jc w:val="center"/>
            </w:pPr>
            <w:r>
              <w:rPr>
                <w:sz w:val="24"/>
              </w:rPr>
              <w:t>0.0000%</w:t>
            </w:r>
          </w:p>
        </w:tc>
        <w:tc>
          <w:tcPr>
            <w:tcW w:w="1285" w:type="dxa"/>
            <w:vAlign w:val="center"/>
          </w:tcPr>
          <w:p w:rsidR="00A57986" w:rsidRDefault="00701A6B">
            <w:pPr>
              <w:jc w:val="center"/>
            </w:pPr>
            <w:r>
              <w:rPr>
                <w:sz w:val="24"/>
              </w:rPr>
              <w:t>0.6513%</w:t>
            </w:r>
          </w:p>
        </w:tc>
        <w:tc>
          <w:tcPr>
            <w:tcW w:w="1285" w:type="dxa"/>
            <w:vAlign w:val="center"/>
          </w:tcPr>
          <w:p w:rsidR="00A57986" w:rsidRDefault="00701A6B">
            <w:pPr>
              <w:jc w:val="center"/>
            </w:pPr>
            <w:r>
              <w:rPr>
                <w:sz w:val="24"/>
              </w:rPr>
              <w:t>0.0020%</w:t>
            </w:r>
          </w:p>
        </w:tc>
      </w:tr>
      <w:tr w:rsidR="00A57986">
        <w:tc>
          <w:tcPr>
            <w:tcW w:w="1286" w:type="dxa"/>
            <w:vAlign w:val="center"/>
          </w:tcPr>
          <w:p w:rsidR="00A57986" w:rsidRDefault="00701A6B">
            <w:pPr>
              <w:jc w:val="left"/>
            </w:pPr>
            <w:r>
              <w:rPr>
                <w:sz w:val="24"/>
              </w:rPr>
              <w:t>过去一年</w:t>
            </w:r>
          </w:p>
        </w:tc>
        <w:tc>
          <w:tcPr>
            <w:tcW w:w="1286" w:type="dxa"/>
            <w:vAlign w:val="center"/>
          </w:tcPr>
          <w:p w:rsidR="00A57986" w:rsidRDefault="00701A6B">
            <w:pPr>
              <w:jc w:val="center"/>
            </w:pPr>
            <w:r>
              <w:rPr>
                <w:sz w:val="24"/>
              </w:rPr>
              <w:t>3.2314%</w:t>
            </w:r>
          </w:p>
        </w:tc>
        <w:tc>
          <w:tcPr>
            <w:tcW w:w="1286" w:type="dxa"/>
            <w:vAlign w:val="center"/>
          </w:tcPr>
          <w:p w:rsidR="00A57986" w:rsidRDefault="00701A6B">
            <w:pPr>
              <w:jc w:val="center"/>
            </w:pPr>
            <w:r>
              <w:rPr>
                <w:sz w:val="24"/>
              </w:rPr>
              <w:t>0.0032%</w:t>
            </w:r>
          </w:p>
        </w:tc>
        <w:tc>
          <w:tcPr>
            <w:tcW w:w="1285" w:type="dxa"/>
            <w:vAlign w:val="center"/>
          </w:tcPr>
          <w:p w:rsidR="00A57986" w:rsidRDefault="00701A6B">
            <w:pPr>
              <w:jc w:val="center"/>
            </w:pPr>
            <w:r>
              <w:rPr>
                <w:sz w:val="24"/>
              </w:rPr>
              <w:t>1.3000%</w:t>
            </w:r>
          </w:p>
        </w:tc>
        <w:tc>
          <w:tcPr>
            <w:tcW w:w="1285" w:type="dxa"/>
            <w:vAlign w:val="center"/>
          </w:tcPr>
          <w:p w:rsidR="00A57986" w:rsidRDefault="00701A6B">
            <w:pPr>
              <w:jc w:val="center"/>
            </w:pPr>
            <w:r>
              <w:rPr>
                <w:sz w:val="24"/>
              </w:rPr>
              <w:t>0.0000%</w:t>
            </w:r>
          </w:p>
        </w:tc>
        <w:tc>
          <w:tcPr>
            <w:tcW w:w="1285" w:type="dxa"/>
            <w:vAlign w:val="center"/>
          </w:tcPr>
          <w:p w:rsidR="00A57986" w:rsidRDefault="00701A6B">
            <w:pPr>
              <w:jc w:val="center"/>
            </w:pPr>
            <w:r>
              <w:rPr>
                <w:sz w:val="24"/>
              </w:rPr>
              <w:t>1.9314%</w:t>
            </w:r>
          </w:p>
        </w:tc>
        <w:tc>
          <w:tcPr>
            <w:tcW w:w="1285" w:type="dxa"/>
            <w:vAlign w:val="center"/>
          </w:tcPr>
          <w:p w:rsidR="00A57986" w:rsidRDefault="00701A6B">
            <w:pPr>
              <w:jc w:val="center"/>
            </w:pPr>
            <w:r>
              <w:rPr>
                <w:sz w:val="24"/>
              </w:rPr>
              <w:t>0.0032%</w:t>
            </w:r>
          </w:p>
        </w:tc>
      </w:tr>
      <w:tr w:rsidR="00A57986">
        <w:tc>
          <w:tcPr>
            <w:tcW w:w="1286" w:type="dxa"/>
            <w:vAlign w:val="center"/>
          </w:tcPr>
          <w:p w:rsidR="00A57986" w:rsidRDefault="00701A6B">
            <w:pPr>
              <w:jc w:val="left"/>
            </w:pPr>
            <w:r>
              <w:rPr>
                <w:sz w:val="24"/>
              </w:rPr>
              <w:t>过去三年</w:t>
            </w:r>
          </w:p>
        </w:tc>
        <w:tc>
          <w:tcPr>
            <w:tcW w:w="1286" w:type="dxa"/>
            <w:vAlign w:val="center"/>
          </w:tcPr>
          <w:p w:rsidR="00A57986" w:rsidRDefault="00701A6B">
            <w:pPr>
              <w:jc w:val="center"/>
            </w:pPr>
            <w:r>
              <w:rPr>
                <w:sz w:val="24"/>
              </w:rPr>
              <w:t>9.8346%</w:t>
            </w:r>
          </w:p>
        </w:tc>
        <w:tc>
          <w:tcPr>
            <w:tcW w:w="1286" w:type="dxa"/>
            <w:vAlign w:val="center"/>
          </w:tcPr>
          <w:p w:rsidR="00A57986" w:rsidRDefault="00701A6B">
            <w:pPr>
              <w:jc w:val="center"/>
            </w:pPr>
            <w:r>
              <w:rPr>
                <w:sz w:val="24"/>
              </w:rPr>
              <w:t>0.0025%</w:t>
            </w:r>
          </w:p>
        </w:tc>
        <w:tc>
          <w:tcPr>
            <w:tcW w:w="1285" w:type="dxa"/>
            <w:vAlign w:val="center"/>
          </w:tcPr>
          <w:p w:rsidR="00A57986" w:rsidRDefault="00701A6B">
            <w:pPr>
              <w:jc w:val="center"/>
            </w:pPr>
            <w:r>
              <w:rPr>
                <w:sz w:val="24"/>
              </w:rPr>
              <w:t>3.9036%</w:t>
            </w:r>
          </w:p>
        </w:tc>
        <w:tc>
          <w:tcPr>
            <w:tcW w:w="1285" w:type="dxa"/>
            <w:vAlign w:val="center"/>
          </w:tcPr>
          <w:p w:rsidR="00A57986" w:rsidRDefault="00701A6B">
            <w:pPr>
              <w:jc w:val="center"/>
            </w:pPr>
            <w:r>
              <w:rPr>
                <w:sz w:val="24"/>
              </w:rPr>
              <w:t>0.0000%</w:t>
            </w:r>
          </w:p>
        </w:tc>
        <w:tc>
          <w:tcPr>
            <w:tcW w:w="1285" w:type="dxa"/>
            <w:vAlign w:val="center"/>
          </w:tcPr>
          <w:p w:rsidR="00A57986" w:rsidRDefault="00701A6B">
            <w:pPr>
              <w:jc w:val="center"/>
            </w:pPr>
            <w:r>
              <w:rPr>
                <w:sz w:val="24"/>
              </w:rPr>
              <w:t>5.9310%</w:t>
            </w:r>
          </w:p>
        </w:tc>
        <w:tc>
          <w:tcPr>
            <w:tcW w:w="1285" w:type="dxa"/>
            <w:vAlign w:val="center"/>
          </w:tcPr>
          <w:p w:rsidR="00A57986" w:rsidRDefault="00701A6B">
            <w:pPr>
              <w:jc w:val="center"/>
            </w:pPr>
            <w:r>
              <w:rPr>
                <w:sz w:val="24"/>
              </w:rPr>
              <w:t>0.0025%</w:t>
            </w:r>
          </w:p>
        </w:tc>
      </w:tr>
      <w:tr w:rsidR="00A57986">
        <w:tc>
          <w:tcPr>
            <w:tcW w:w="1286" w:type="dxa"/>
            <w:vAlign w:val="center"/>
          </w:tcPr>
          <w:p w:rsidR="00A57986" w:rsidRDefault="00701A6B">
            <w:pPr>
              <w:jc w:val="left"/>
            </w:pPr>
            <w:r>
              <w:rPr>
                <w:sz w:val="24"/>
              </w:rPr>
              <w:t>过去五年</w:t>
            </w:r>
          </w:p>
        </w:tc>
        <w:tc>
          <w:tcPr>
            <w:tcW w:w="1286" w:type="dxa"/>
            <w:vAlign w:val="center"/>
          </w:tcPr>
          <w:p w:rsidR="00A57986" w:rsidRDefault="00701A6B">
            <w:pPr>
              <w:jc w:val="center"/>
            </w:pPr>
            <w:r>
              <w:rPr>
                <w:sz w:val="24"/>
              </w:rPr>
              <w:t>18.9262%</w:t>
            </w:r>
          </w:p>
        </w:tc>
        <w:tc>
          <w:tcPr>
            <w:tcW w:w="1286" w:type="dxa"/>
            <w:vAlign w:val="center"/>
          </w:tcPr>
          <w:p w:rsidR="00A57986" w:rsidRDefault="00701A6B">
            <w:pPr>
              <w:jc w:val="center"/>
            </w:pPr>
            <w:r>
              <w:rPr>
                <w:sz w:val="24"/>
              </w:rPr>
              <w:t>0.0040%</w:t>
            </w:r>
          </w:p>
        </w:tc>
        <w:tc>
          <w:tcPr>
            <w:tcW w:w="1285" w:type="dxa"/>
            <w:vAlign w:val="center"/>
          </w:tcPr>
          <w:p w:rsidR="00A57986" w:rsidRDefault="00701A6B">
            <w:pPr>
              <w:jc w:val="center"/>
            </w:pPr>
            <w:r>
              <w:rPr>
                <w:sz w:val="24"/>
              </w:rPr>
              <w:t>8.5926%</w:t>
            </w:r>
          </w:p>
        </w:tc>
        <w:tc>
          <w:tcPr>
            <w:tcW w:w="1285" w:type="dxa"/>
            <w:vAlign w:val="center"/>
          </w:tcPr>
          <w:p w:rsidR="00A57986" w:rsidRDefault="00701A6B">
            <w:pPr>
              <w:jc w:val="center"/>
            </w:pPr>
            <w:r>
              <w:rPr>
                <w:sz w:val="24"/>
              </w:rPr>
              <w:t>0.0017%</w:t>
            </w:r>
          </w:p>
        </w:tc>
        <w:tc>
          <w:tcPr>
            <w:tcW w:w="1285" w:type="dxa"/>
            <w:vAlign w:val="center"/>
          </w:tcPr>
          <w:p w:rsidR="00A57986" w:rsidRDefault="00701A6B">
            <w:pPr>
              <w:jc w:val="center"/>
            </w:pPr>
            <w:r>
              <w:rPr>
                <w:sz w:val="24"/>
              </w:rPr>
              <w:t>10.3336%</w:t>
            </w:r>
          </w:p>
        </w:tc>
        <w:tc>
          <w:tcPr>
            <w:tcW w:w="1285" w:type="dxa"/>
            <w:vAlign w:val="center"/>
          </w:tcPr>
          <w:p w:rsidR="00A57986" w:rsidRDefault="00701A6B">
            <w:pPr>
              <w:jc w:val="center"/>
            </w:pPr>
            <w:r>
              <w:rPr>
                <w:sz w:val="24"/>
              </w:rPr>
              <w:t>0.0023%</w:t>
            </w:r>
          </w:p>
        </w:tc>
      </w:tr>
      <w:tr w:rsidR="00A57986">
        <w:tc>
          <w:tcPr>
            <w:tcW w:w="1286" w:type="dxa"/>
            <w:vAlign w:val="center"/>
          </w:tcPr>
          <w:p w:rsidR="00A57986" w:rsidRDefault="00701A6B">
            <w:pPr>
              <w:jc w:val="left"/>
            </w:pPr>
            <w:r>
              <w:rPr>
                <w:sz w:val="24"/>
              </w:rPr>
              <w:t>自基金分级日起至今</w:t>
            </w:r>
          </w:p>
        </w:tc>
        <w:tc>
          <w:tcPr>
            <w:tcW w:w="1286" w:type="dxa"/>
            <w:vAlign w:val="center"/>
          </w:tcPr>
          <w:p w:rsidR="00A57986" w:rsidRDefault="00701A6B">
            <w:pPr>
              <w:jc w:val="center"/>
            </w:pPr>
            <w:r>
              <w:rPr>
                <w:sz w:val="24"/>
              </w:rPr>
              <w:t>45.4388%</w:t>
            </w:r>
          </w:p>
        </w:tc>
        <w:tc>
          <w:tcPr>
            <w:tcW w:w="1286" w:type="dxa"/>
            <w:vAlign w:val="center"/>
          </w:tcPr>
          <w:p w:rsidR="00A57986" w:rsidRDefault="00701A6B">
            <w:pPr>
              <w:jc w:val="center"/>
            </w:pPr>
            <w:r>
              <w:rPr>
                <w:sz w:val="24"/>
              </w:rPr>
              <w:t>0.0050%</w:t>
            </w:r>
          </w:p>
        </w:tc>
        <w:tc>
          <w:tcPr>
            <w:tcW w:w="1285" w:type="dxa"/>
            <w:vAlign w:val="center"/>
          </w:tcPr>
          <w:p w:rsidR="00A57986" w:rsidRDefault="00701A6B">
            <w:pPr>
              <w:jc w:val="center"/>
            </w:pPr>
            <w:r>
              <w:rPr>
                <w:sz w:val="24"/>
              </w:rPr>
              <w:t>26.4996%</w:t>
            </w:r>
          </w:p>
        </w:tc>
        <w:tc>
          <w:tcPr>
            <w:tcW w:w="1285" w:type="dxa"/>
            <w:vAlign w:val="center"/>
          </w:tcPr>
          <w:p w:rsidR="00A57986" w:rsidRDefault="00701A6B">
            <w:pPr>
              <w:jc w:val="center"/>
            </w:pPr>
            <w:r>
              <w:rPr>
                <w:sz w:val="24"/>
              </w:rPr>
              <w:t>0.0021%</w:t>
            </w:r>
          </w:p>
        </w:tc>
        <w:tc>
          <w:tcPr>
            <w:tcW w:w="1285" w:type="dxa"/>
            <w:vAlign w:val="center"/>
          </w:tcPr>
          <w:p w:rsidR="00A57986" w:rsidRDefault="00701A6B">
            <w:pPr>
              <w:jc w:val="center"/>
            </w:pPr>
            <w:r>
              <w:rPr>
                <w:sz w:val="24"/>
              </w:rPr>
              <w:t>18.9392%</w:t>
            </w:r>
          </w:p>
        </w:tc>
        <w:tc>
          <w:tcPr>
            <w:tcW w:w="1285" w:type="dxa"/>
            <w:vAlign w:val="center"/>
          </w:tcPr>
          <w:p w:rsidR="00A57986" w:rsidRDefault="00701A6B">
            <w:pPr>
              <w:jc w:val="center"/>
            </w:pPr>
            <w:r>
              <w:rPr>
                <w:sz w:val="24"/>
              </w:rPr>
              <w:t>0.0029%</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注：本基金的业绩比较基准为六个月银行定期存款利率（税后）。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2006</w:t>
      </w:r>
      <w:r w:rsidRPr="007D254C">
        <w:rPr>
          <w:rFonts w:hint="eastAsia"/>
          <w:kern w:val="0"/>
          <w:sz w:val="24"/>
        </w:rPr>
        <w:t>年</w:t>
      </w:r>
      <w:r w:rsidRPr="007D254C">
        <w:rPr>
          <w:rFonts w:hint="eastAsia"/>
          <w:kern w:val="0"/>
          <w:sz w:val="24"/>
        </w:rPr>
        <w:t>1</w:t>
      </w:r>
      <w:r w:rsidRPr="007D254C">
        <w:rPr>
          <w:rFonts w:hint="eastAsia"/>
          <w:kern w:val="0"/>
          <w:sz w:val="24"/>
        </w:rPr>
        <w:t>月</w:t>
      </w:r>
      <w:r w:rsidRPr="007D254C">
        <w:rPr>
          <w:rFonts w:hint="eastAsia"/>
          <w:kern w:val="0"/>
          <w:sz w:val="24"/>
        </w:rPr>
        <w:t>20</w:t>
      </w:r>
      <w:r w:rsidRPr="007D254C">
        <w:rPr>
          <w:rFonts w:hint="eastAsia"/>
          <w:kern w:val="0"/>
          <w:sz w:val="24"/>
        </w:rPr>
        <w:t>日至</w:t>
      </w:r>
      <w:r w:rsidRPr="007D254C">
        <w:rPr>
          <w:rFonts w:hint="eastAsia"/>
          <w:kern w:val="0"/>
          <w:sz w:val="24"/>
        </w:rPr>
        <w:t>2018</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交银货币</w:t>
      </w:r>
      <w:r w:rsidR="004E65B4">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日至</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过去五年</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交银货币</w:t>
      </w:r>
      <w:r w:rsidR="004E65B4">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A57986">
        <w:tc>
          <w:tcPr>
            <w:tcW w:w="1499" w:type="dxa"/>
            <w:vAlign w:val="center"/>
          </w:tcPr>
          <w:p w:rsidR="00A57986" w:rsidRDefault="00701A6B">
            <w:pPr>
              <w:jc w:val="center"/>
            </w:pPr>
            <w:r>
              <w:rPr>
                <w:rFonts w:hint="eastAsia"/>
                <w:color w:val="000000"/>
                <w:sz w:val="24"/>
              </w:rPr>
              <w:t>2018</w:t>
            </w:r>
            <w:r>
              <w:rPr>
                <w:rFonts w:hint="eastAsia"/>
                <w:color w:val="000000"/>
                <w:sz w:val="24"/>
              </w:rPr>
              <w:t>年</w:t>
            </w:r>
          </w:p>
        </w:tc>
        <w:tc>
          <w:tcPr>
            <w:tcW w:w="1499" w:type="dxa"/>
            <w:vAlign w:val="center"/>
          </w:tcPr>
          <w:p w:rsidR="00A57986" w:rsidRDefault="00701A6B">
            <w:pPr>
              <w:jc w:val="right"/>
            </w:pPr>
            <w:r>
              <w:rPr>
                <w:rFonts w:hint="eastAsia"/>
                <w:color w:val="000000"/>
                <w:sz w:val="24"/>
              </w:rPr>
              <w:t>12,964,775.79</w:t>
            </w:r>
          </w:p>
        </w:tc>
        <w:tc>
          <w:tcPr>
            <w:tcW w:w="1500" w:type="dxa"/>
            <w:vAlign w:val="center"/>
          </w:tcPr>
          <w:p w:rsidR="00A57986" w:rsidRDefault="00701A6B">
            <w:pPr>
              <w:jc w:val="right"/>
            </w:pPr>
            <w:r>
              <w:rPr>
                <w:rFonts w:hint="eastAsia"/>
                <w:color w:val="000000"/>
                <w:sz w:val="24"/>
              </w:rPr>
              <w:t>1,480,597.88</w:t>
            </w:r>
          </w:p>
        </w:tc>
        <w:tc>
          <w:tcPr>
            <w:tcW w:w="1500" w:type="dxa"/>
            <w:vAlign w:val="center"/>
          </w:tcPr>
          <w:p w:rsidR="00A57986" w:rsidRDefault="00701A6B">
            <w:pPr>
              <w:jc w:val="center"/>
            </w:pPr>
            <w:r>
              <w:rPr>
                <w:rFonts w:hint="eastAsia"/>
                <w:color w:val="000000"/>
                <w:sz w:val="24"/>
              </w:rPr>
              <w:t>-712,884.07</w:t>
            </w:r>
          </w:p>
        </w:tc>
        <w:tc>
          <w:tcPr>
            <w:tcW w:w="1500" w:type="dxa"/>
            <w:vAlign w:val="center"/>
          </w:tcPr>
          <w:p w:rsidR="00A57986" w:rsidRDefault="00701A6B">
            <w:pPr>
              <w:jc w:val="right"/>
            </w:pPr>
            <w:r>
              <w:rPr>
                <w:rFonts w:hint="eastAsia"/>
                <w:color w:val="000000"/>
                <w:sz w:val="24"/>
              </w:rPr>
              <w:t>13,732,489.60</w:t>
            </w:r>
          </w:p>
        </w:tc>
        <w:tc>
          <w:tcPr>
            <w:tcW w:w="1500" w:type="dxa"/>
            <w:vAlign w:val="center"/>
          </w:tcPr>
          <w:p w:rsidR="00A57986" w:rsidRDefault="00701A6B">
            <w:pPr>
              <w:jc w:val="left"/>
            </w:pPr>
            <w:r>
              <w:rPr>
                <w:rFonts w:hint="eastAsia"/>
                <w:color w:val="000000"/>
                <w:sz w:val="24"/>
              </w:rPr>
              <w:t>-</w:t>
            </w:r>
          </w:p>
        </w:tc>
      </w:tr>
      <w:tr w:rsidR="00A57986">
        <w:tc>
          <w:tcPr>
            <w:tcW w:w="1499" w:type="dxa"/>
            <w:vAlign w:val="center"/>
          </w:tcPr>
          <w:p w:rsidR="00A57986" w:rsidRDefault="00701A6B">
            <w:pPr>
              <w:jc w:val="center"/>
            </w:pPr>
            <w:r>
              <w:rPr>
                <w:rFonts w:hint="eastAsia"/>
                <w:color w:val="000000"/>
                <w:sz w:val="24"/>
              </w:rPr>
              <w:t>2017</w:t>
            </w:r>
            <w:r>
              <w:rPr>
                <w:rFonts w:hint="eastAsia"/>
                <w:color w:val="000000"/>
                <w:sz w:val="24"/>
              </w:rPr>
              <w:t>年</w:t>
            </w:r>
          </w:p>
        </w:tc>
        <w:tc>
          <w:tcPr>
            <w:tcW w:w="1499" w:type="dxa"/>
            <w:vAlign w:val="center"/>
          </w:tcPr>
          <w:p w:rsidR="00A57986" w:rsidRDefault="00701A6B">
            <w:pPr>
              <w:jc w:val="right"/>
            </w:pPr>
            <w:r>
              <w:rPr>
                <w:rFonts w:hint="eastAsia"/>
                <w:color w:val="000000"/>
                <w:sz w:val="24"/>
              </w:rPr>
              <w:t>14,124,773.52</w:t>
            </w:r>
          </w:p>
        </w:tc>
        <w:tc>
          <w:tcPr>
            <w:tcW w:w="1500" w:type="dxa"/>
            <w:vAlign w:val="center"/>
          </w:tcPr>
          <w:p w:rsidR="00A57986" w:rsidRDefault="00701A6B">
            <w:pPr>
              <w:jc w:val="right"/>
            </w:pPr>
            <w:r>
              <w:rPr>
                <w:rFonts w:hint="eastAsia"/>
                <w:color w:val="000000"/>
                <w:sz w:val="24"/>
              </w:rPr>
              <w:t>1,587,121.50</w:t>
            </w:r>
          </w:p>
        </w:tc>
        <w:tc>
          <w:tcPr>
            <w:tcW w:w="1500" w:type="dxa"/>
            <w:vAlign w:val="center"/>
          </w:tcPr>
          <w:p w:rsidR="00A57986" w:rsidRDefault="00701A6B">
            <w:pPr>
              <w:jc w:val="center"/>
            </w:pPr>
            <w:r>
              <w:rPr>
                <w:rFonts w:hint="eastAsia"/>
                <w:color w:val="000000"/>
                <w:sz w:val="24"/>
              </w:rPr>
              <w:t>182,928.70</w:t>
            </w:r>
          </w:p>
        </w:tc>
        <w:tc>
          <w:tcPr>
            <w:tcW w:w="1500" w:type="dxa"/>
            <w:vAlign w:val="center"/>
          </w:tcPr>
          <w:p w:rsidR="00A57986" w:rsidRDefault="00701A6B">
            <w:pPr>
              <w:jc w:val="right"/>
            </w:pPr>
            <w:r>
              <w:rPr>
                <w:rFonts w:hint="eastAsia"/>
                <w:color w:val="000000"/>
                <w:sz w:val="24"/>
              </w:rPr>
              <w:t>15,894,823.72</w:t>
            </w:r>
          </w:p>
        </w:tc>
        <w:tc>
          <w:tcPr>
            <w:tcW w:w="1500" w:type="dxa"/>
            <w:vAlign w:val="center"/>
          </w:tcPr>
          <w:p w:rsidR="00A57986" w:rsidRDefault="00701A6B">
            <w:pPr>
              <w:jc w:val="left"/>
            </w:pPr>
            <w:r>
              <w:rPr>
                <w:rFonts w:hint="eastAsia"/>
                <w:color w:val="000000"/>
                <w:sz w:val="24"/>
              </w:rPr>
              <w:t>-</w:t>
            </w:r>
          </w:p>
        </w:tc>
      </w:tr>
      <w:tr w:rsidR="00A57986">
        <w:tc>
          <w:tcPr>
            <w:tcW w:w="1499" w:type="dxa"/>
            <w:vAlign w:val="center"/>
          </w:tcPr>
          <w:p w:rsidR="00A57986" w:rsidRDefault="00701A6B">
            <w:pPr>
              <w:jc w:val="center"/>
            </w:pPr>
            <w:r>
              <w:rPr>
                <w:rFonts w:hint="eastAsia"/>
                <w:color w:val="000000"/>
                <w:sz w:val="24"/>
              </w:rPr>
              <w:t>2016</w:t>
            </w:r>
            <w:r>
              <w:rPr>
                <w:rFonts w:hint="eastAsia"/>
                <w:color w:val="000000"/>
                <w:sz w:val="24"/>
              </w:rPr>
              <w:t>年</w:t>
            </w:r>
          </w:p>
        </w:tc>
        <w:tc>
          <w:tcPr>
            <w:tcW w:w="1499" w:type="dxa"/>
            <w:vAlign w:val="center"/>
          </w:tcPr>
          <w:p w:rsidR="00A57986" w:rsidRDefault="00701A6B">
            <w:pPr>
              <w:jc w:val="right"/>
            </w:pPr>
            <w:r>
              <w:rPr>
                <w:rFonts w:hint="eastAsia"/>
                <w:color w:val="000000"/>
                <w:sz w:val="24"/>
              </w:rPr>
              <w:t>15,359,118.16</w:t>
            </w:r>
          </w:p>
        </w:tc>
        <w:tc>
          <w:tcPr>
            <w:tcW w:w="1500" w:type="dxa"/>
            <w:vAlign w:val="center"/>
          </w:tcPr>
          <w:p w:rsidR="00A57986" w:rsidRDefault="00701A6B">
            <w:pPr>
              <w:jc w:val="right"/>
            </w:pPr>
            <w:r>
              <w:rPr>
                <w:rFonts w:hint="eastAsia"/>
                <w:color w:val="000000"/>
                <w:sz w:val="24"/>
              </w:rPr>
              <w:t>1,557,478.00</w:t>
            </w:r>
          </w:p>
        </w:tc>
        <w:tc>
          <w:tcPr>
            <w:tcW w:w="1500" w:type="dxa"/>
            <w:vAlign w:val="center"/>
          </w:tcPr>
          <w:p w:rsidR="00A57986" w:rsidRDefault="00701A6B">
            <w:pPr>
              <w:jc w:val="center"/>
            </w:pPr>
            <w:r>
              <w:rPr>
                <w:rFonts w:hint="eastAsia"/>
                <w:color w:val="000000"/>
                <w:sz w:val="24"/>
              </w:rPr>
              <w:t>-506,995.20</w:t>
            </w:r>
          </w:p>
        </w:tc>
        <w:tc>
          <w:tcPr>
            <w:tcW w:w="1500" w:type="dxa"/>
            <w:vAlign w:val="center"/>
          </w:tcPr>
          <w:p w:rsidR="00A57986" w:rsidRDefault="00701A6B">
            <w:pPr>
              <w:jc w:val="right"/>
            </w:pPr>
            <w:r>
              <w:rPr>
                <w:rFonts w:hint="eastAsia"/>
                <w:color w:val="000000"/>
                <w:sz w:val="24"/>
              </w:rPr>
              <w:t>16,409,600.96</w:t>
            </w:r>
          </w:p>
        </w:tc>
        <w:tc>
          <w:tcPr>
            <w:tcW w:w="1500" w:type="dxa"/>
            <w:vAlign w:val="center"/>
          </w:tcPr>
          <w:p w:rsidR="00A57986" w:rsidRDefault="00701A6B">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42,448,667.47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4,625,197.38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-1,036,950.57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46,036,914.28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交银货币</w:t>
      </w:r>
      <w:r>
        <w:rPr>
          <w:rFonts w:hint="eastAsia"/>
          <w:color w:val="000000"/>
          <w:sz w:val="24"/>
        </w:rPr>
        <w:t>B</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A57986">
        <w:tc>
          <w:tcPr>
            <w:tcW w:w="1499" w:type="dxa"/>
            <w:vAlign w:val="center"/>
          </w:tcPr>
          <w:p w:rsidR="00A57986" w:rsidRDefault="00701A6B">
            <w:pPr>
              <w:jc w:val="center"/>
            </w:pPr>
            <w:r>
              <w:rPr>
                <w:rFonts w:hint="eastAsia"/>
                <w:color w:val="000000"/>
                <w:sz w:val="24"/>
              </w:rPr>
              <w:t>2018</w:t>
            </w:r>
            <w:r>
              <w:rPr>
                <w:rFonts w:hint="eastAsia"/>
                <w:color w:val="000000"/>
                <w:sz w:val="24"/>
              </w:rPr>
              <w:t>年</w:t>
            </w:r>
          </w:p>
        </w:tc>
        <w:tc>
          <w:tcPr>
            <w:tcW w:w="1499" w:type="dxa"/>
            <w:vAlign w:val="center"/>
          </w:tcPr>
          <w:p w:rsidR="00A57986" w:rsidRDefault="00701A6B">
            <w:pPr>
              <w:jc w:val="right"/>
            </w:pPr>
            <w:r>
              <w:rPr>
                <w:rFonts w:hint="eastAsia"/>
                <w:color w:val="000000"/>
                <w:sz w:val="24"/>
              </w:rPr>
              <w:t>153,786,247.97</w:t>
            </w:r>
          </w:p>
        </w:tc>
        <w:tc>
          <w:tcPr>
            <w:tcW w:w="1500" w:type="dxa"/>
            <w:vAlign w:val="center"/>
          </w:tcPr>
          <w:p w:rsidR="00A57986" w:rsidRDefault="00701A6B">
            <w:pPr>
              <w:jc w:val="right"/>
            </w:pPr>
            <w:r>
              <w:rPr>
                <w:rFonts w:hint="eastAsia"/>
                <w:color w:val="000000"/>
                <w:sz w:val="24"/>
              </w:rPr>
              <w:t>83,497,316.54</w:t>
            </w:r>
          </w:p>
        </w:tc>
        <w:tc>
          <w:tcPr>
            <w:tcW w:w="1500" w:type="dxa"/>
            <w:vAlign w:val="center"/>
          </w:tcPr>
          <w:p w:rsidR="00A57986" w:rsidRDefault="00701A6B">
            <w:pPr>
              <w:jc w:val="center"/>
            </w:pPr>
            <w:r>
              <w:rPr>
                <w:rFonts w:hint="eastAsia"/>
                <w:color w:val="000000"/>
                <w:sz w:val="24"/>
              </w:rPr>
              <w:t>-17,651,953.42</w:t>
            </w:r>
          </w:p>
        </w:tc>
        <w:tc>
          <w:tcPr>
            <w:tcW w:w="1500" w:type="dxa"/>
            <w:vAlign w:val="center"/>
          </w:tcPr>
          <w:p w:rsidR="00A57986" w:rsidRDefault="00701A6B">
            <w:pPr>
              <w:jc w:val="right"/>
            </w:pPr>
            <w:r>
              <w:rPr>
                <w:rFonts w:hint="eastAsia"/>
                <w:color w:val="000000"/>
                <w:sz w:val="24"/>
              </w:rPr>
              <w:t>219,631,611.09</w:t>
            </w:r>
          </w:p>
        </w:tc>
        <w:tc>
          <w:tcPr>
            <w:tcW w:w="1500" w:type="dxa"/>
            <w:vAlign w:val="center"/>
          </w:tcPr>
          <w:p w:rsidR="00A57986" w:rsidRDefault="00701A6B">
            <w:pPr>
              <w:jc w:val="left"/>
            </w:pPr>
            <w:r>
              <w:rPr>
                <w:rFonts w:hint="eastAsia"/>
                <w:color w:val="000000"/>
                <w:sz w:val="24"/>
              </w:rPr>
              <w:t>-</w:t>
            </w:r>
          </w:p>
        </w:tc>
      </w:tr>
      <w:tr w:rsidR="00A57986">
        <w:tc>
          <w:tcPr>
            <w:tcW w:w="1499" w:type="dxa"/>
            <w:vAlign w:val="center"/>
          </w:tcPr>
          <w:p w:rsidR="00A57986" w:rsidRDefault="00701A6B">
            <w:pPr>
              <w:jc w:val="center"/>
            </w:pPr>
            <w:r>
              <w:rPr>
                <w:rFonts w:hint="eastAsia"/>
                <w:color w:val="000000"/>
                <w:sz w:val="24"/>
              </w:rPr>
              <w:t>2017</w:t>
            </w:r>
            <w:r>
              <w:rPr>
                <w:rFonts w:hint="eastAsia"/>
                <w:color w:val="000000"/>
                <w:sz w:val="24"/>
              </w:rPr>
              <w:t>年</w:t>
            </w:r>
          </w:p>
        </w:tc>
        <w:tc>
          <w:tcPr>
            <w:tcW w:w="1499" w:type="dxa"/>
            <w:vAlign w:val="center"/>
          </w:tcPr>
          <w:p w:rsidR="00A57986" w:rsidRDefault="00701A6B">
            <w:pPr>
              <w:jc w:val="right"/>
            </w:pPr>
            <w:r>
              <w:rPr>
                <w:rFonts w:hint="eastAsia"/>
                <w:color w:val="000000"/>
                <w:sz w:val="24"/>
              </w:rPr>
              <w:t>163,456,464.02</w:t>
            </w:r>
          </w:p>
        </w:tc>
        <w:tc>
          <w:tcPr>
            <w:tcW w:w="1500" w:type="dxa"/>
            <w:vAlign w:val="center"/>
          </w:tcPr>
          <w:p w:rsidR="00A57986" w:rsidRDefault="00701A6B">
            <w:pPr>
              <w:jc w:val="right"/>
            </w:pPr>
            <w:r>
              <w:rPr>
                <w:rFonts w:hint="eastAsia"/>
                <w:color w:val="000000"/>
                <w:sz w:val="24"/>
              </w:rPr>
              <w:t>76,367,205.49</w:t>
            </w:r>
          </w:p>
        </w:tc>
        <w:tc>
          <w:tcPr>
            <w:tcW w:w="1500" w:type="dxa"/>
            <w:vAlign w:val="center"/>
          </w:tcPr>
          <w:p w:rsidR="00A57986" w:rsidRDefault="00701A6B">
            <w:pPr>
              <w:jc w:val="center"/>
            </w:pPr>
            <w:r>
              <w:rPr>
                <w:rFonts w:hint="eastAsia"/>
                <w:color w:val="000000"/>
                <w:sz w:val="24"/>
              </w:rPr>
              <w:t>-12,367,604.01</w:t>
            </w:r>
          </w:p>
        </w:tc>
        <w:tc>
          <w:tcPr>
            <w:tcW w:w="1500" w:type="dxa"/>
            <w:vAlign w:val="center"/>
          </w:tcPr>
          <w:p w:rsidR="00A57986" w:rsidRDefault="00701A6B">
            <w:pPr>
              <w:jc w:val="right"/>
            </w:pPr>
            <w:r>
              <w:rPr>
                <w:rFonts w:hint="eastAsia"/>
                <w:color w:val="000000"/>
                <w:sz w:val="24"/>
              </w:rPr>
              <w:t>227,456,065.50</w:t>
            </w:r>
          </w:p>
        </w:tc>
        <w:tc>
          <w:tcPr>
            <w:tcW w:w="1500" w:type="dxa"/>
            <w:vAlign w:val="center"/>
          </w:tcPr>
          <w:p w:rsidR="00A57986" w:rsidRDefault="00701A6B">
            <w:pPr>
              <w:jc w:val="left"/>
            </w:pPr>
            <w:r>
              <w:rPr>
                <w:rFonts w:hint="eastAsia"/>
                <w:color w:val="000000"/>
                <w:sz w:val="24"/>
              </w:rPr>
              <w:t>-</w:t>
            </w:r>
          </w:p>
        </w:tc>
      </w:tr>
      <w:tr w:rsidR="00A57986">
        <w:tc>
          <w:tcPr>
            <w:tcW w:w="1499" w:type="dxa"/>
            <w:vAlign w:val="center"/>
          </w:tcPr>
          <w:p w:rsidR="00A57986" w:rsidRDefault="00701A6B">
            <w:pPr>
              <w:jc w:val="center"/>
            </w:pPr>
            <w:r>
              <w:rPr>
                <w:rFonts w:hint="eastAsia"/>
                <w:color w:val="000000"/>
                <w:sz w:val="24"/>
              </w:rPr>
              <w:t>2016</w:t>
            </w:r>
            <w:r>
              <w:rPr>
                <w:rFonts w:hint="eastAsia"/>
                <w:color w:val="000000"/>
                <w:sz w:val="24"/>
              </w:rPr>
              <w:t>年</w:t>
            </w:r>
          </w:p>
        </w:tc>
        <w:tc>
          <w:tcPr>
            <w:tcW w:w="1499" w:type="dxa"/>
            <w:vAlign w:val="center"/>
          </w:tcPr>
          <w:p w:rsidR="00A57986" w:rsidRDefault="00701A6B">
            <w:pPr>
              <w:jc w:val="right"/>
            </w:pPr>
            <w:r>
              <w:rPr>
                <w:rFonts w:hint="eastAsia"/>
                <w:color w:val="000000"/>
                <w:sz w:val="24"/>
              </w:rPr>
              <w:t>465,065,239.65</w:t>
            </w:r>
          </w:p>
        </w:tc>
        <w:tc>
          <w:tcPr>
            <w:tcW w:w="1500" w:type="dxa"/>
            <w:vAlign w:val="center"/>
          </w:tcPr>
          <w:p w:rsidR="00A57986" w:rsidRDefault="00701A6B">
            <w:pPr>
              <w:jc w:val="right"/>
            </w:pPr>
            <w:r>
              <w:rPr>
                <w:rFonts w:hint="eastAsia"/>
                <w:color w:val="000000"/>
                <w:sz w:val="24"/>
              </w:rPr>
              <w:t>136,359,837.77</w:t>
            </w:r>
          </w:p>
        </w:tc>
        <w:tc>
          <w:tcPr>
            <w:tcW w:w="1500" w:type="dxa"/>
            <w:vAlign w:val="center"/>
          </w:tcPr>
          <w:p w:rsidR="00A57986" w:rsidRDefault="00701A6B">
            <w:pPr>
              <w:jc w:val="center"/>
            </w:pPr>
            <w:r>
              <w:rPr>
                <w:rFonts w:hint="eastAsia"/>
                <w:color w:val="000000"/>
                <w:sz w:val="24"/>
              </w:rPr>
              <w:t>-1,624,005.57</w:t>
            </w:r>
          </w:p>
        </w:tc>
        <w:tc>
          <w:tcPr>
            <w:tcW w:w="1500" w:type="dxa"/>
            <w:vAlign w:val="center"/>
          </w:tcPr>
          <w:p w:rsidR="00A57986" w:rsidRDefault="00701A6B">
            <w:pPr>
              <w:jc w:val="right"/>
            </w:pPr>
            <w:r>
              <w:rPr>
                <w:rFonts w:hint="eastAsia"/>
                <w:color w:val="000000"/>
                <w:sz w:val="24"/>
              </w:rPr>
              <w:t>599,801,071.85</w:t>
            </w:r>
          </w:p>
        </w:tc>
        <w:tc>
          <w:tcPr>
            <w:tcW w:w="1500" w:type="dxa"/>
            <w:vAlign w:val="center"/>
          </w:tcPr>
          <w:p w:rsidR="00A57986" w:rsidRDefault="00701A6B">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782,307,951.64</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296,224,359.80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-31,643,563.00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1,046,888,748.44</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A57986" w:rsidRDefault="00701A6B">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A57986">
        <w:tc>
          <w:tcPr>
            <w:tcW w:w="1134" w:type="dxa"/>
            <w:vAlign w:val="center"/>
          </w:tcPr>
          <w:p w:rsidR="00A57986" w:rsidRDefault="00701A6B">
            <w:pPr>
              <w:jc w:val="center"/>
            </w:pPr>
            <w:r>
              <w:rPr>
                <w:rFonts w:hint="eastAsia"/>
                <w:sz w:val="24"/>
              </w:rPr>
              <w:t>黄莹洁</w:t>
            </w:r>
          </w:p>
        </w:tc>
        <w:tc>
          <w:tcPr>
            <w:tcW w:w="1134" w:type="dxa"/>
            <w:vAlign w:val="center"/>
          </w:tcPr>
          <w:p w:rsidR="00A57986" w:rsidRDefault="00701A6B">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701" w:type="dxa"/>
            <w:vAlign w:val="center"/>
          </w:tcPr>
          <w:p w:rsidR="00A57986" w:rsidRDefault="00701A6B">
            <w:pPr>
              <w:jc w:val="center"/>
            </w:pPr>
            <w:r>
              <w:rPr>
                <w:rFonts w:hint="eastAsia"/>
                <w:sz w:val="24"/>
              </w:rPr>
              <w:t>2015-05-27</w:t>
            </w:r>
          </w:p>
        </w:tc>
        <w:tc>
          <w:tcPr>
            <w:tcW w:w="1560" w:type="dxa"/>
            <w:vAlign w:val="center"/>
          </w:tcPr>
          <w:p w:rsidR="00A57986" w:rsidRDefault="00701A6B">
            <w:pPr>
              <w:jc w:val="center"/>
            </w:pPr>
            <w:r>
              <w:rPr>
                <w:rFonts w:hint="eastAsia"/>
                <w:sz w:val="24"/>
              </w:rPr>
              <w:t>-</w:t>
            </w:r>
          </w:p>
        </w:tc>
        <w:tc>
          <w:tcPr>
            <w:tcW w:w="992" w:type="dxa"/>
            <w:vAlign w:val="center"/>
          </w:tcPr>
          <w:p w:rsidR="00A57986" w:rsidRDefault="00701A6B">
            <w:pPr>
              <w:jc w:val="center"/>
            </w:pPr>
            <w:r>
              <w:rPr>
                <w:rFonts w:hint="eastAsia"/>
                <w:sz w:val="24"/>
              </w:rPr>
              <w:t>10</w:t>
            </w:r>
            <w:r>
              <w:rPr>
                <w:rFonts w:hint="eastAsia"/>
                <w:sz w:val="24"/>
              </w:rPr>
              <w:t>年</w:t>
            </w:r>
          </w:p>
        </w:tc>
        <w:tc>
          <w:tcPr>
            <w:tcW w:w="2477" w:type="dxa"/>
            <w:vAlign w:val="center"/>
          </w:tcPr>
          <w:p w:rsidR="00A57986" w:rsidRDefault="00701A6B">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tc>
      </w:tr>
      <w:tr w:rsidR="00A57986">
        <w:tc>
          <w:tcPr>
            <w:tcW w:w="1134" w:type="dxa"/>
            <w:vAlign w:val="center"/>
          </w:tcPr>
          <w:p w:rsidR="00A57986" w:rsidRDefault="00701A6B">
            <w:pPr>
              <w:jc w:val="center"/>
            </w:pPr>
            <w:r>
              <w:rPr>
                <w:rFonts w:hint="eastAsia"/>
                <w:sz w:val="24"/>
              </w:rPr>
              <w:t>连端清</w:t>
            </w:r>
          </w:p>
        </w:tc>
        <w:tc>
          <w:tcPr>
            <w:tcW w:w="1134" w:type="dxa"/>
            <w:vAlign w:val="center"/>
          </w:tcPr>
          <w:p w:rsidR="00A57986" w:rsidRDefault="00701A6B">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701" w:type="dxa"/>
            <w:vAlign w:val="center"/>
          </w:tcPr>
          <w:p w:rsidR="00A57986" w:rsidRDefault="00701A6B">
            <w:pPr>
              <w:jc w:val="center"/>
            </w:pPr>
            <w:r>
              <w:rPr>
                <w:rFonts w:hint="eastAsia"/>
                <w:sz w:val="24"/>
              </w:rPr>
              <w:t>2015-10-16</w:t>
            </w:r>
          </w:p>
        </w:tc>
        <w:tc>
          <w:tcPr>
            <w:tcW w:w="1560" w:type="dxa"/>
            <w:vAlign w:val="center"/>
          </w:tcPr>
          <w:p w:rsidR="00A57986" w:rsidRDefault="00701A6B">
            <w:pPr>
              <w:jc w:val="center"/>
            </w:pPr>
            <w:r>
              <w:rPr>
                <w:rFonts w:hint="eastAsia"/>
                <w:sz w:val="24"/>
              </w:rPr>
              <w:t>-</w:t>
            </w:r>
          </w:p>
        </w:tc>
        <w:tc>
          <w:tcPr>
            <w:tcW w:w="992" w:type="dxa"/>
            <w:vAlign w:val="center"/>
          </w:tcPr>
          <w:p w:rsidR="00A57986" w:rsidRDefault="00701A6B">
            <w:pPr>
              <w:jc w:val="center"/>
            </w:pPr>
            <w:r>
              <w:rPr>
                <w:rFonts w:hint="eastAsia"/>
                <w:sz w:val="24"/>
              </w:rPr>
              <w:t>5</w:t>
            </w:r>
            <w:r>
              <w:rPr>
                <w:rFonts w:hint="eastAsia"/>
                <w:sz w:val="24"/>
              </w:rPr>
              <w:t>年</w:t>
            </w:r>
          </w:p>
        </w:tc>
        <w:tc>
          <w:tcPr>
            <w:tcW w:w="2477" w:type="dxa"/>
            <w:vAlign w:val="center"/>
          </w:tcPr>
          <w:p w:rsidR="00A57986" w:rsidRDefault="00701A6B">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A57986">
        <w:tc>
          <w:tcPr>
            <w:tcW w:w="1134" w:type="dxa"/>
            <w:vAlign w:val="center"/>
          </w:tcPr>
          <w:p w:rsidR="00A57986" w:rsidRDefault="00701A6B">
            <w:pPr>
              <w:jc w:val="center"/>
            </w:pPr>
            <w:r>
              <w:rPr>
                <w:rFonts w:hint="eastAsia"/>
                <w:sz w:val="24"/>
              </w:rPr>
              <w:t>季参平</w:t>
            </w:r>
          </w:p>
        </w:tc>
        <w:tc>
          <w:tcPr>
            <w:tcW w:w="1134" w:type="dxa"/>
            <w:vAlign w:val="center"/>
          </w:tcPr>
          <w:p w:rsidR="00A57986" w:rsidRDefault="00701A6B">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701" w:type="dxa"/>
            <w:vAlign w:val="center"/>
          </w:tcPr>
          <w:p w:rsidR="00A57986" w:rsidRDefault="00701A6B">
            <w:pPr>
              <w:jc w:val="center"/>
            </w:pPr>
            <w:r>
              <w:rPr>
                <w:rFonts w:hint="eastAsia"/>
                <w:sz w:val="24"/>
              </w:rPr>
              <w:t>2017-09-19</w:t>
            </w:r>
          </w:p>
        </w:tc>
        <w:tc>
          <w:tcPr>
            <w:tcW w:w="1560" w:type="dxa"/>
            <w:vAlign w:val="center"/>
          </w:tcPr>
          <w:p w:rsidR="00A57986" w:rsidRDefault="00701A6B">
            <w:pPr>
              <w:jc w:val="center"/>
            </w:pPr>
            <w:r>
              <w:rPr>
                <w:rFonts w:hint="eastAsia"/>
                <w:sz w:val="24"/>
              </w:rPr>
              <w:t>-</w:t>
            </w:r>
          </w:p>
        </w:tc>
        <w:tc>
          <w:tcPr>
            <w:tcW w:w="992" w:type="dxa"/>
            <w:vAlign w:val="center"/>
          </w:tcPr>
          <w:p w:rsidR="00A57986" w:rsidRDefault="00701A6B">
            <w:pPr>
              <w:jc w:val="center"/>
            </w:pPr>
            <w:r>
              <w:rPr>
                <w:rFonts w:hint="eastAsia"/>
                <w:sz w:val="24"/>
              </w:rPr>
              <w:t>6</w:t>
            </w:r>
            <w:r>
              <w:rPr>
                <w:rFonts w:hint="eastAsia"/>
                <w:sz w:val="24"/>
              </w:rPr>
              <w:t>年</w:t>
            </w:r>
          </w:p>
        </w:tc>
        <w:tc>
          <w:tcPr>
            <w:tcW w:w="2477" w:type="dxa"/>
            <w:vAlign w:val="center"/>
          </w:tcPr>
          <w:p w:rsidR="00A57986" w:rsidRDefault="00701A6B">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A57986" w:rsidRDefault="00701A6B">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A57986" w:rsidRDefault="00701A6B">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A57986" w:rsidRDefault="00701A6B">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57986" w:rsidRDefault="00701A6B">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A57986" w:rsidRDefault="00701A6B">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A57986" w:rsidRDefault="00701A6B">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A57986" w:rsidRDefault="00701A6B">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A57986" w:rsidRDefault="00701A6B">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57986" w:rsidRDefault="00701A6B">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A57986" w:rsidRDefault="00701A6B">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报告期内本公司严格执行公平交易制度，公平对待旗下各投资组合，未发现任何违反公平交易的行为。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A57986" w:rsidRDefault="00701A6B">
      <w:pPr>
        <w:spacing w:before="29" w:line="288" w:lineRule="auto"/>
        <w:ind w:firstLineChars="200" w:firstLine="480"/>
        <w:rPr>
          <w:color w:val="000000"/>
          <w:sz w:val="24"/>
        </w:rPr>
      </w:pPr>
      <w:r>
        <w:rPr>
          <w:rFonts w:hint="eastAsia"/>
          <w:color w:val="000000"/>
          <w:sz w:val="24"/>
        </w:rPr>
        <w:t>本报告期内，在“宽货币紧信用”的环境下，</w:t>
      </w:r>
      <w:r>
        <w:rPr>
          <w:rFonts w:hint="eastAsia"/>
          <w:color w:val="000000"/>
          <w:sz w:val="24"/>
        </w:rPr>
        <w:t>GDP</w:t>
      </w:r>
      <w:r>
        <w:rPr>
          <w:rFonts w:hint="eastAsia"/>
          <w:color w:val="000000"/>
          <w:sz w:val="24"/>
        </w:rPr>
        <w:t>名义增速明显回落，带动国债收益率从</w:t>
      </w:r>
      <w:r>
        <w:rPr>
          <w:rFonts w:hint="eastAsia"/>
          <w:color w:val="000000"/>
          <w:sz w:val="24"/>
        </w:rPr>
        <w:t>3.88%</w:t>
      </w:r>
      <w:r>
        <w:rPr>
          <w:rFonts w:hint="eastAsia"/>
          <w:color w:val="000000"/>
          <w:sz w:val="24"/>
        </w:rPr>
        <w:t>回落到</w:t>
      </w:r>
      <w:r>
        <w:rPr>
          <w:rFonts w:hint="eastAsia"/>
          <w:color w:val="000000"/>
          <w:sz w:val="24"/>
        </w:rPr>
        <w:t>3.22%</w:t>
      </w:r>
      <w:r>
        <w:rPr>
          <w:rFonts w:hint="eastAsia"/>
          <w:color w:val="000000"/>
          <w:sz w:val="24"/>
        </w:rPr>
        <w:t>，债券牛市格局确立。经济增长放缓得到确认、通胀预期的消弭、风险资产价格的下行以及全球货币政策偏宽松等因素成为债券市场收益率变动的主要原因。</w:t>
      </w:r>
    </w:p>
    <w:p w:rsidR="00A57986" w:rsidRDefault="00701A6B">
      <w:pPr>
        <w:spacing w:before="29" w:line="288" w:lineRule="auto"/>
        <w:ind w:firstLineChars="200" w:firstLine="480"/>
        <w:rPr>
          <w:color w:val="000000"/>
          <w:sz w:val="24"/>
        </w:rPr>
      </w:pPr>
      <w:r>
        <w:rPr>
          <w:rFonts w:hint="eastAsia"/>
          <w:color w:val="000000"/>
          <w:sz w:val="24"/>
        </w:rPr>
        <w:t>流动性方面，</w:t>
      </w:r>
      <w:r>
        <w:rPr>
          <w:rFonts w:hint="eastAsia"/>
          <w:color w:val="000000"/>
          <w:sz w:val="24"/>
        </w:rPr>
        <w:t>2018</w:t>
      </w:r>
      <w:r>
        <w:rPr>
          <w:rFonts w:hint="eastAsia"/>
          <w:color w:val="00000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rFonts w:hint="eastAsia"/>
          <w:color w:val="000000"/>
          <w:sz w:val="24"/>
        </w:rPr>
        <w:t>2015</w:t>
      </w:r>
      <w:r>
        <w:rPr>
          <w:rFonts w:hint="eastAsia"/>
          <w:color w:val="000000"/>
          <w:sz w:val="24"/>
        </w:rPr>
        <w:t>年末之后开始使用，且隔夜资金回购利率长期维持在</w:t>
      </w:r>
      <w:r>
        <w:rPr>
          <w:rFonts w:hint="eastAsia"/>
          <w:color w:val="000000"/>
          <w:sz w:val="24"/>
        </w:rPr>
        <w:t>2%</w:t>
      </w:r>
      <w:r>
        <w:rPr>
          <w:rFonts w:hint="eastAsia"/>
          <w:color w:val="000000"/>
          <w:sz w:val="24"/>
        </w:rPr>
        <w:t>附近，预计本次定调短期不会变化，短端利率将维持低位。</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基金操作方面，我们仍旧维持低杠杆、短久期的操作思路，多投资于估值波动较小的银行存款存单与回购等，组合整体流动性良好。在</w:t>
      </w:r>
      <w:r w:rsidRPr="00C64C58">
        <w:rPr>
          <w:rFonts w:hint="eastAsia"/>
          <w:color w:val="000000"/>
          <w:sz w:val="24"/>
        </w:rPr>
        <w:t>2018</w:t>
      </w:r>
      <w:r w:rsidRPr="00C64C58">
        <w:rPr>
          <w:rFonts w:hint="eastAsia"/>
          <w:color w:val="000000"/>
          <w:sz w:val="24"/>
        </w:rPr>
        <w:t>年末资产收益有一定幅度的上行，我们视组合流动性情况适当拉长久期，增配了部分高评级的同业存单、短期融资券等资产，提高了组合收益。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本基金（各类）份额净值及业绩表现请见“</w:t>
      </w:r>
      <w:r w:rsidRPr="00C64C58">
        <w:rPr>
          <w:rFonts w:hint="eastAsia"/>
          <w:color w:val="000000"/>
          <w:sz w:val="24"/>
        </w:rPr>
        <w:t>3.1</w:t>
      </w:r>
      <w:r w:rsidRPr="00C64C58">
        <w:rPr>
          <w:rFonts w:hint="eastAsia"/>
          <w:color w:val="000000"/>
          <w:sz w:val="24"/>
        </w:rPr>
        <w:t>主要会计数据和财务指标”</w:t>
      </w:r>
      <w:r w:rsidRPr="00C64C58">
        <w:rPr>
          <w:rFonts w:hint="eastAsia"/>
          <w:color w:val="000000"/>
          <w:sz w:val="24"/>
        </w:rPr>
        <w:t xml:space="preserve"> </w:t>
      </w:r>
      <w:r w:rsidRPr="00C64C58">
        <w:rPr>
          <w:rFonts w:hint="eastAsia"/>
          <w:color w:val="000000"/>
          <w:sz w:val="24"/>
        </w:rPr>
        <w:t>及“</w:t>
      </w:r>
      <w:r w:rsidRPr="00C64C58">
        <w:rPr>
          <w:rFonts w:hint="eastAsia"/>
          <w:color w:val="000000"/>
          <w:sz w:val="24"/>
        </w:rPr>
        <w:t>3.2.1</w:t>
      </w:r>
      <w:r w:rsidRPr="00C64C58">
        <w:rPr>
          <w:rFonts w:hint="eastAsia"/>
          <w:color w:val="000000"/>
          <w:sz w:val="24"/>
        </w:rPr>
        <w:t>基金份额净值增长率及其与同期业绩比较基准收益率的比较”部分披露。</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A57986" w:rsidRDefault="00701A6B">
      <w:pPr>
        <w:spacing w:before="29" w:line="288" w:lineRule="auto"/>
        <w:ind w:firstLineChars="200" w:firstLine="480"/>
        <w:rPr>
          <w:color w:val="000000"/>
          <w:sz w:val="24"/>
        </w:rPr>
      </w:pPr>
      <w:r>
        <w:rPr>
          <w:rFonts w:hint="eastAsia"/>
          <w:color w:val="000000"/>
          <w:sz w:val="24"/>
        </w:rPr>
        <w:t>展望</w:t>
      </w:r>
      <w:r>
        <w:rPr>
          <w:rFonts w:hint="eastAsia"/>
          <w:color w:val="000000"/>
          <w:sz w:val="24"/>
        </w:rPr>
        <w:t>2019</w:t>
      </w:r>
      <w:r>
        <w:rPr>
          <w:rFonts w:hint="eastAsia"/>
          <w:color w:val="000000"/>
          <w:sz w:val="24"/>
        </w:rPr>
        <w:t>年，我们认为受净出口回落、地产投资下滑影响，经济基本面仍有下行的压力。通胀方面预期在</w:t>
      </w:r>
      <w:r>
        <w:rPr>
          <w:rFonts w:hint="eastAsia"/>
          <w:color w:val="000000"/>
          <w:sz w:val="24"/>
        </w:rPr>
        <w:t>2019</w:t>
      </w:r>
      <w:r>
        <w:rPr>
          <w:rFonts w:hint="eastAsia"/>
          <w:color w:val="00000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A57986" w:rsidRDefault="00701A6B">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57986" w:rsidRDefault="00701A6B">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E33F0" w:rsidP="00C64C58">
      <w:pPr>
        <w:spacing w:before="29" w:line="288" w:lineRule="auto"/>
        <w:ind w:firstLineChars="200" w:firstLine="480"/>
        <w:rPr>
          <w:color w:val="000000"/>
          <w:sz w:val="24"/>
        </w:rPr>
      </w:pPr>
      <w:r w:rsidRPr="001E33F0">
        <w:rPr>
          <w:rFonts w:hint="eastAsia"/>
          <w:color w:val="000000"/>
          <w:sz w:val="24"/>
        </w:rPr>
        <w:t>遵照法律法规及基金合同的约定，本基金每日分配收益，按月结转份额。本基金本报告期内利润分配情况参见年度报告正文</w:t>
      </w:r>
      <w:r w:rsidRPr="001E33F0">
        <w:rPr>
          <w:rFonts w:hint="eastAsia"/>
          <w:color w:val="000000"/>
          <w:sz w:val="24"/>
        </w:rPr>
        <w:t>7.4.7.10</w:t>
      </w:r>
      <w:r w:rsidRPr="001E33F0">
        <w:rPr>
          <w:rFonts w:hint="eastAsia"/>
          <w:color w:val="000000"/>
          <w:sz w:val="24"/>
        </w:rPr>
        <w:t>。</w:t>
      </w:r>
      <w:bookmarkStart w:id="8" w:name="_GoBack"/>
      <w:bookmarkEnd w:id="8"/>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C64C58">
        <w:rPr>
          <w:rFonts w:hint="eastAsia"/>
          <w:color w:val="000000"/>
          <w:sz w:val="24"/>
        </w:rPr>
        <w:t xml:space="preserve"> 2018 </w:t>
      </w:r>
      <w:r w:rsidRPr="00C64C58">
        <w:rPr>
          <w:rFonts w:hint="eastAsia"/>
          <w:color w:val="000000"/>
          <w:sz w:val="24"/>
        </w:rPr>
        <w:t>年</w:t>
      </w:r>
      <w:r w:rsidRPr="00C64C58">
        <w:rPr>
          <w:rFonts w:hint="eastAsia"/>
          <w:color w:val="000000"/>
          <w:sz w:val="24"/>
        </w:rPr>
        <w:t xml:space="preserve"> 1 </w:t>
      </w:r>
      <w:r w:rsidRPr="00C64C58">
        <w:rPr>
          <w:rFonts w:hint="eastAsia"/>
          <w:color w:val="000000"/>
          <w:sz w:val="24"/>
        </w:rPr>
        <w:t>月</w:t>
      </w:r>
      <w:r w:rsidRPr="00C64C58">
        <w:rPr>
          <w:rFonts w:hint="eastAsia"/>
          <w:color w:val="000000"/>
          <w:sz w:val="24"/>
        </w:rPr>
        <w:t xml:space="preserve"> 1 </w:t>
      </w:r>
      <w:r w:rsidRPr="00C64C58">
        <w:rPr>
          <w:rFonts w:hint="eastAsia"/>
          <w:color w:val="000000"/>
          <w:sz w:val="24"/>
        </w:rPr>
        <w:t>日至</w:t>
      </w:r>
      <w:r w:rsidRPr="00C64C58">
        <w:rPr>
          <w:rFonts w:hint="eastAsia"/>
          <w:color w:val="000000"/>
          <w:sz w:val="24"/>
        </w:rPr>
        <w:t xml:space="preserve"> 2018</w:t>
      </w:r>
      <w:r w:rsidRPr="00C64C58">
        <w:rPr>
          <w:rFonts w:hint="eastAsia"/>
          <w:color w:val="000000"/>
          <w:sz w:val="24"/>
        </w:rPr>
        <w:t>年</w:t>
      </w:r>
      <w:r w:rsidRPr="00C64C58">
        <w:rPr>
          <w:rFonts w:hint="eastAsia"/>
          <w:color w:val="000000"/>
          <w:sz w:val="24"/>
        </w:rPr>
        <w:t>12</w:t>
      </w:r>
      <w:r w:rsidRPr="00C64C58">
        <w:rPr>
          <w:rFonts w:hint="eastAsia"/>
          <w:color w:val="000000"/>
          <w:sz w:val="24"/>
        </w:rPr>
        <w:t>月</w:t>
      </w:r>
      <w:r w:rsidRPr="00C64C58">
        <w:rPr>
          <w:rFonts w:hint="eastAsia"/>
          <w:color w:val="000000"/>
          <w:sz w:val="24"/>
        </w:rPr>
        <w:t>31</w:t>
      </w:r>
      <w:r w:rsidRPr="00C64C58">
        <w:rPr>
          <w:rFonts w:hint="eastAsia"/>
          <w:color w:val="000000"/>
          <w:sz w:val="24"/>
        </w:rPr>
        <w:t>日基金的投资运作，进行了认真、独立的会计核算和必要的投资监督，认真履行了托管人的义务，没有从事任何损害基金份额持有人利益的行为。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w:t>
      </w:r>
      <w:r w:rsidRPr="00C64C58">
        <w:rPr>
          <w:rFonts w:hint="eastAsia"/>
          <w:color w:val="000000"/>
          <w:sz w:val="24"/>
        </w:rPr>
        <w:t xml:space="preserve">, </w:t>
      </w:r>
      <w:r w:rsidRPr="00C64C58">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德勤华永会计师事务所（特殊普通合伙）</w:t>
      </w:r>
      <w:r w:rsidRPr="00A009EE">
        <w:rPr>
          <w:rFonts w:hint="eastAsia"/>
          <w:color w:val="000000"/>
          <w:sz w:val="24"/>
        </w:rPr>
        <w:t>对</w:t>
      </w:r>
      <w:r w:rsidRPr="003C6BFD">
        <w:rPr>
          <w:color w:val="000000"/>
          <w:sz w:val="24"/>
        </w:rPr>
        <w:t>交银施罗德货币市场证券投资基金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德师报</w:t>
      </w:r>
      <w:r w:rsidRPr="001F3653">
        <w:rPr>
          <w:color w:val="000000"/>
          <w:sz w:val="24"/>
        </w:rPr>
        <w:t>(</w:t>
      </w:r>
      <w:r w:rsidRPr="001F3653">
        <w:rPr>
          <w:color w:val="000000"/>
          <w:sz w:val="24"/>
        </w:rPr>
        <w:t>审</w:t>
      </w:r>
      <w:r w:rsidRPr="001F3653">
        <w:rPr>
          <w:color w:val="000000"/>
          <w:sz w:val="24"/>
        </w:rPr>
        <w:t>)</w:t>
      </w:r>
      <w:r w:rsidRPr="001F3653">
        <w:rPr>
          <w:color w:val="000000"/>
          <w:sz w:val="24"/>
        </w:rPr>
        <w:t>字</w:t>
      </w:r>
      <w:r w:rsidRPr="001F3653">
        <w:rPr>
          <w:color w:val="000000"/>
          <w:sz w:val="24"/>
        </w:rPr>
        <w:t>(19)</w:t>
      </w:r>
      <w:r w:rsidRPr="001F3653">
        <w:rPr>
          <w:color w:val="000000"/>
          <w:sz w:val="24"/>
        </w:rPr>
        <w:t>第</w:t>
      </w:r>
      <w:r w:rsidRPr="001F3653">
        <w:rPr>
          <w:color w:val="000000"/>
          <w:sz w:val="24"/>
        </w:rPr>
        <w:t>P01163</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会计主体：交银施罗德货币市场证券投资基金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2018</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2018</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2017</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353,896,457.51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3,328,772,381.30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4,670.79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4,295.89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429,050,640.58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3,000,704,764.61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429,050,640.58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2,943,534,764.61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57,170,000.00</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518,987,418.49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3,442,016,163.02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2,664,708.03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34,717,990.31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1,005,120.63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135,108,812.11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1,305,609,016.03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9,941,324,407.24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2018</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2017</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55,733,410.25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158,799.53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291,915.14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394,896.74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2,257,947.73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119,665.66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684,226.56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85,590.77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162,870.62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34,391.19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62,729.02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303,744.75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258,904.11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15,269.40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2,461,221.79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20,826,059.28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181,033.01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224,734.08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3,739,343.44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80,518,066.19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1,301,869,672.59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9,860,806,341.05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1,301,869,672.59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9,860,806,341.05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1,305,609,016.03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9,941,324,407.24</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2018</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1,301,869,672.59</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344,115,922.75</w:t>
      </w:r>
      <w:r w:rsidR="00223DFB" w:rsidRPr="005124D4">
        <w:rPr>
          <w:rFonts w:hint="eastAsia"/>
          <w:kern w:val="0"/>
          <w:sz w:val="24"/>
        </w:rPr>
        <w:t>份，</w:t>
      </w:r>
      <w:r w:rsidR="00223DFB" w:rsidRPr="005124D4">
        <w:rPr>
          <w:rFonts w:hint="eastAsia"/>
          <w:kern w:val="0"/>
          <w:sz w:val="24"/>
        </w:rPr>
        <w:t>B</w:t>
      </w:r>
      <w:r w:rsidR="00223DFB" w:rsidRPr="005124D4">
        <w:rPr>
          <w:rFonts w:hint="eastAsia"/>
          <w:kern w:val="0"/>
          <w:sz w:val="24"/>
        </w:rPr>
        <w:t>类基金份额</w:t>
      </w:r>
      <w:r w:rsidR="00223DFB" w:rsidRPr="005124D4">
        <w:rPr>
          <w:rFonts w:hint="eastAsia"/>
          <w:kern w:val="0"/>
          <w:sz w:val="24"/>
        </w:rPr>
        <w:t>957,753,749.84</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会计主体：交银施罗德货币市场证券投资基金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2018</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2018</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267,553,816.96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284,966,611.39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265,212,194.05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289,935,017.76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101,755,567.22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138,256,496.62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110,044,357.37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105,849,839.75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1,493,152.82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1,490,335.76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51,919,116.64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44,338,345.63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2,331,622.91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-4,980,767.48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2,331,622.91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-4,980,767.48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10,000.00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12,361.11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34,189,716.27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41,615,722.17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22,599,897.24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24,420,348.18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6,848,453.54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7,400,105.52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1,782,192.69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1,923,333.58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2,433,710.43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7,495,851.44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2,433,710.43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7,495,851.44</w:t>
            </w:r>
          </w:p>
        </w:tc>
      </w:tr>
      <w:tr w:rsidR="00F360A0" w:rsidRPr="00CB1276" w:rsidTr="00FB106F">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2D33D4" w:rsidRDefault="00F360A0" w:rsidP="00492C4B">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4F6A57">
              <w:rPr>
                <w:rFonts w:hint="eastAsia"/>
                <w:color w:val="000000"/>
                <w:sz w:val="24"/>
              </w:rPr>
              <w:t>税金及附加</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2D33D4" w:rsidRDefault="00F360A0" w:rsidP="00492C4B">
            <w:pPr>
              <w:pStyle w:val="af6"/>
              <w:jc w:val="center"/>
              <w:rPr>
                <w:rFonts w:ascii="Times New Roman" w:eastAsiaTheme="minorEastAsia"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171,502.65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Pr>
                <w:rFonts w:hint="eastAsia"/>
                <w:color w:val="000000"/>
                <w:sz w:val="24"/>
              </w:rPr>
              <w:t>7</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353,959.72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376,083.45</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三、利润总额（亏损总额以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233,364,100.69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243,350,889.22</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四、净利润（净亏损以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233,364,100.69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243,350,889.22</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会计主体：交银施罗德货币市场证券投资基金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2018</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2018</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9,860,806,341.05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9,860,806,341.05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233,364,100.69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233,364,100.69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-8,558,936,668.46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-8,558,936,668.46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52,666,363,630.08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52,666,363,630.08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-61,225,300,298.54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-61,225,300,298.54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-233,364,100.69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-233,364,100.69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1,301,869,672.59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1,301,869,672.59</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38,286,359,472.57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38,286,359,472.57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243,350,889.22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243,350,889.22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-28,425,553,131.52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-28,425,553,131.52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50,621,531,240.24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50,621,531,240.24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-79,047,084,371.76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-79,047,084,371.76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-243,350,889.22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-243,350,889.22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9,860,806,341.05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9,860,806,341.05</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负责人：谢卫，主管会计工作负责人：夏华龙，会计机构负责人：单江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A57986" w:rsidRDefault="00701A6B">
      <w:pPr>
        <w:spacing w:before="29" w:line="288" w:lineRule="auto"/>
        <w:ind w:firstLineChars="200" w:firstLine="480"/>
        <w:rPr>
          <w:color w:val="000000"/>
          <w:sz w:val="24"/>
        </w:rPr>
      </w:pPr>
      <w:r>
        <w:rPr>
          <w:rFonts w:hint="eastAsia"/>
          <w:color w:val="000000"/>
          <w:sz w:val="24"/>
        </w:rPr>
        <w:t>交银施罗德货币市场证券投资基金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系由基金管理人交银施罗德基金管理有限公司依照《中华人民共和国证券投资基金法》、《交银施罗德货币市场证券投资基金基金合同》及其他有关法律法规的规定，经中国证券监督管理委员会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以证监基金字</w:t>
      </w:r>
      <w:r>
        <w:rPr>
          <w:rFonts w:hint="eastAsia"/>
          <w:color w:val="000000"/>
          <w:sz w:val="24"/>
        </w:rPr>
        <w:t>[2005]204</w:t>
      </w:r>
      <w:r>
        <w:rPr>
          <w:rFonts w:hint="eastAsia"/>
          <w:color w:val="000000"/>
          <w:sz w:val="24"/>
        </w:rPr>
        <w:t>号文批准公开募集。本基金为契约型开放式基金，存续期限不定，首次设立募集基金份额为</w:t>
      </w:r>
      <w:r>
        <w:rPr>
          <w:rFonts w:hint="eastAsia"/>
          <w:color w:val="000000"/>
          <w:sz w:val="24"/>
        </w:rPr>
        <w:t>4,741,255,133.16</w:t>
      </w:r>
      <w:r>
        <w:rPr>
          <w:rFonts w:hint="eastAsia"/>
          <w:color w:val="000000"/>
          <w:sz w:val="24"/>
        </w:rPr>
        <w:t>份，经德勤华永会计师事务所有限公司验证，并出具了编号为德师报</w:t>
      </w:r>
      <w:r>
        <w:rPr>
          <w:rFonts w:hint="eastAsia"/>
          <w:color w:val="000000"/>
          <w:sz w:val="24"/>
        </w:rPr>
        <w:t>(</w:t>
      </w:r>
      <w:r>
        <w:rPr>
          <w:rFonts w:hint="eastAsia"/>
          <w:color w:val="000000"/>
          <w:sz w:val="24"/>
        </w:rPr>
        <w:t>验</w:t>
      </w:r>
      <w:r>
        <w:rPr>
          <w:rFonts w:hint="eastAsia"/>
          <w:color w:val="000000"/>
          <w:sz w:val="24"/>
        </w:rPr>
        <w:t>)</w:t>
      </w:r>
      <w:r>
        <w:rPr>
          <w:rFonts w:hint="eastAsia"/>
          <w:color w:val="000000"/>
          <w:sz w:val="24"/>
        </w:rPr>
        <w:t>字</w:t>
      </w:r>
      <w:r>
        <w:rPr>
          <w:rFonts w:hint="eastAsia"/>
          <w:color w:val="000000"/>
          <w:sz w:val="24"/>
        </w:rPr>
        <w:t>(06)</w:t>
      </w:r>
      <w:r>
        <w:rPr>
          <w:rFonts w:hint="eastAsia"/>
          <w:color w:val="000000"/>
          <w:sz w:val="24"/>
        </w:rPr>
        <w:t>第</w:t>
      </w:r>
      <w:r>
        <w:rPr>
          <w:rFonts w:hint="eastAsia"/>
          <w:color w:val="000000"/>
          <w:sz w:val="24"/>
        </w:rPr>
        <w:t>0003</w:t>
      </w:r>
      <w:r>
        <w:rPr>
          <w:rFonts w:hint="eastAsia"/>
          <w:color w:val="000000"/>
          <w:sz w:val="24"/>
        </w:rPr>
        <w:t>号验资报告。《交银施罗德货币市场证券投资基金基金合同》</w:t>
      </w:r>
      <w:r>
        <w:rPr>
          <w:rFonts w:hint="eastAsia"/>
          <w:color w:val="000000"/>
          <w:sz w:val="24"/>
        </w:rPr>
        <w:t>(</w:t>
      </w:r>
      <w:r>
        <w:rPr>
          <w:rFonts w:hint="eastAsia"/>
          <w:color w:val="000000"/>
          <w:sz w:val="24"/>
        </w:rPr>
        <w:t>以下简称“原基金合同”</w:t>
      </w:r>
      <w:r>
        <w:rPr>
          <w:rFonts w:hint="eastAsia"/>
          <w:color w:val="000000"/>
          <w:sz w:val="24"/>
        </w:rPr>
        <w:t>)</w:t>
      </w:r>
      <w:r>
        <w:rPr>
          <w:rFonts w:hint="eastAsia"/>
          <w:color w:val="000000"/>
          <w:sz w:val="24"/>
        </w:rPr>
        <w:t>于</w:t>
      </w:r>
      <w:r>
        <w:rPr>
          <w:rFonts w:hint="eastAsia"/>
          <w:color w:val="000000"/>
          <w:sz w:val="24"/>
        </w:rPr>
        <w:t>2006</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20</w:t>
      </w:r>
      <w:r>
        <w:rPr>
          <w:rFonts w:hint="eastAsia"/>
          <w:color w:val="000000"/>
          <w:sz w:val="24"/>
        </w:rPr>
        <w:t>日正式生效。本基金因自</w:t>
      </w:r>
      <w:r>
        <w:rPr>
          <w:rFonts w:hint="eastAsia"/>
          <w:color w:val="000000"/>
          <w:sz w:val="24"/>
        </w:rPr>
        <w:t>2007</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日起执行财政部于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日颁布的企业会计准则及相关规定</w:t>
      </w:r>
      <w:r>
        <w:rPr>
          <w:rFonts w:hint="eastAsia"/>
          <w:color w:val="000000"/>
          <w:sz w:val="24"/>
        </w:rPr>
        <w:t>(</w:t>
      </w:r>
      <w:r>
        <w:rPr>
          <w:rFonts w:hint="eastAsia"/>
          <w:color w:val="000000"/>
          <w:sz w:val="24"/>
        </w:rPr>
        <w:t>以下简称“企业会计准则”</w:t>
      </w:r>
      <w:r>
        <w:rPr>
          <w:rFonts w:hint="eastAsia"/>
          <w:color w:val="000000"/>
          <w:sz w:val="24"/>
        </w:rPr>
        <w:t>)</w:t>
      </w:r>
      <w:r>
        <w:rPr>
          <w:rFonts w:hint="eastAsia"/>
          <w:color w:val="000000"/>
          <w:sz w:val="24"/>
        </w:rPr>
        <w:t>，于</w:t>
      </w:r>
      <w:r>
        <w:rPr>
          <w:rFonts w:hint="eastAsia"/>
          <w:color w:val="000000"/>
          <w:sz w:val="24"/>
        </w:rPr>
        <w:t>2007</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29</w:t>
      </w:r>
      <w:r>
        <w:rPr>
          <w:rFonts w:hint="eastAsia"/>
          <w:color w:val="000000"/>
          <w:sz w:val="24"/>
        </w:rPr>
        <w:t>日公告了修改后的基金合同</w:t>
      </w:r>
      <w:r>
        <w:rPr>
          <w:rFonts w:hint="eastAsia"/>
          <w:color w:val="000000"/>
          <w:sz w:val="24"/>
        </w:rPr>
        <w:t>(</w:t>
      </w:r>
      <w:r>
        <w:rPr>
          <w:rFonts w:hint="eastAsia"/>
          <w:color w:val="000000"/>
          <w:sz w:val="24"/>
        </w:rPr>
        <w:t>以下简称“修改后的基金合同”</w:t>
      </w:r>
      <w:r>
        <w:rPr>
          <w:rFonts w:hint="eastAsia"/>
          <w:color w:val="000000"/>
          <w:sz w:val="24"/>
        </w:rPr>
        <w:t>)</w:t>
      </w:r>
      <w:r>
        <w:rPr>
          <w:rFonts w:hint="eastAsia"/>
          <w:color w:val="000000"/>
          <w:sz w:val="24"/>
        </w:rPr>
        <w:t>。本基金的管理人为交银施罗德基金管理有限公司，托管人为中国农业银行股份有限公司</w:t>
      </w:r>
      <w:r>
        <w:rPr>
          <w:rFonts w:hint="eastAsia"/>
          <w:color w:val="000000"/>
          <w:sz w:val="24"/>
        </w:rPr>
        <w:t>(</w:t>
      </w:r>
      <w:r>
        <w:rPr>
          <w:rFonts w:hint="eastAsia"/>
          <w:color w:val="000000"/>
          <w:sz w:val="24"/>
        </w:rPr>
        <w:t>以下简称“中国农业银行”</w:t>
      </w:r>
      <w:r>
        <w:rPr>
          <w:rFonts w:hint="eastAsia"/>
          <w:color w:val="000000"/>
          <w:sz w:val="24"/>
        </w:rPr>
        <w:t>)</w:t>
      </w:r>
      <w:r>
        <w:rPr>
          <w:rFonts w:hint="eastAsia"/>
          <w:color w:val="000000"/>
          <w:sz w:val="24"/>
        </w:rPr>
        <w:t>。</w:t>
      </w:r>
    </w:p>
    <w:p w:rsidR="00A57986" w:rsidRDefault="00701A6B">
      <w:pPr>
        <w:spacing w:before="29" w:line="288" w:lineRule="auto"/>
        <w:ind w:firstLineChars="200" w:firstLine="480"/>
        <w:rPr>
          <w:color w:val="000000"/>
          <w:sz w:val="24"/>
        </w:rPr>
      </w:pPr>
      <w:r>
        <w:rPr>
          <w:rFonts w:hint="eastAsia"/>
          <w:color w:val="000000"/>
          <w:sz w:val="24"/>
        </w:rPr>
        <w:t>根据《中华人民共和国证券投资基金法》、修改后的基金合同和定期更新的本基金招募说明书的有关规定，本基金的投资范围为现金、通知存款、一年以内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的银行定期存款或大额存单、剩余期限在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的债券回购、剩余期限在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的资产支持证券以及中国证监会、中国人民银行认可的其他具有良好流动性的货币市场工具。本基金的业绩比较基准采用：六个月银行定期存款利率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2019</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本基金的财务报表按照财政部颁布的企业会计准则以及相关规定</w:t>
      </w:r>
      <w:r w:rsidRPr="00FE0F8A">
        <w:rPr>
          <w:rFonts w:hint="eastAsia"/>
          <w:color w:val="000000"/>
          <w:sz w:val="24"/>
        </w:rPr>
        <w:t>(</w:t>
      </w:r>
      <w:r w:rsidRPr="00FE0F8A">
        <w:rPr>
          <w:rFonts w:hint="eastAsia"/>
          <w:color w:val="000000"/>
          <w:sz w:val="24"/>
        </w:rPr>
        <w:t>以下合称“企业会计准则”</w:t>
      </w:r>
      <w:r w:rsidRPr="00FE0F8A">
        <w:rPr>
          <w:rFonts w:hint="eastAsia"/>
          <w:color w:val="000000"/>
          <w:sz w:val="24"/>
        </w:rPr>
        <w:t>)</w:t>
      </w:r>
      <w:r w:rsidRPr="00FE0F8A">
        <w:rPr>
          <w:rFonts w:hint="eastAsia"/>
          <w:color w:val="000000"/>
          <w:sz w:val="24"/>
        </w:rPr>
        <w:t>、中国证监会颁布的《证券投资基金信息披露</w:t>
      </w:r>
      <w:r w:rsidRPr="00FE0F8A">
        <w:rPr>
          <w:rFonts w:hint="eastAsia"/>
          <w:color w:val="000000"/>
          <w:sz w:val="24"/>
        </w:rPr>
        <w:t>XBRL</w:t>
      </w:r>
      <w:r w:rsidRPr="00FE0F8A">
        <w:rPr>
          <w:rFonts w:hint="eastAsia"/>
          <w:color w:val="000000"/>
          <w:sz w:val="24"/>
        </w:rPr>
        <w:t>模板第</w:t>
      </w:r>
      <w:r w:rsidRPr="00FE0F8A">
        <w:rPr>
          <w:rFonts w:hint="eastAsia"/>
          <w:color w:val="000000"/>
          <w:sz w:val="24"/>
        </w:rPr>
        <w:t>3</w:t>
      </w:r>
      <w:r w:rsidRPr="00FE0F8A">
        <w:rPr>
          <w:rFonts w:hint="eastAsia"/>
          <w:color w:val="000000"/>
          <w:sz w:val="24"/>
        </w:rPr>
        <w:t>号</w:t>
      </w:r>
      <w:r w:rsidRPr="00FE0F8A">
        <w:rPr>
          <w:rFonts w:hint="eastAsia"/>
          <w:color w:val="000000"/>
          <w:sz w:val="24"/>
        </w:rPr>
        <w:t>&lt;</w:t>
      </w:r>
      <w:r w:rsidRPr="00FE0F8A">
        <w:rPr>
          <w:rFonts w:hint="eastAsia"/>
          <w:color w:val="000000"/>
          <w:sz w:val="24"/>
        </w:rPr>
        <w:t>年度报告和半年度报告</w:t>
      </w:r>
      <w:r w:rsidRPr="00FE0F8A">
        <w:rPr>
          <w:rFonts w:hint="eastAsia"/>
          <w:color w:val="000000"/>
          <w:sz w:val="24"/>
        </w:rPr>
        <w:t>&gt;</w:t>
      </w:r>
      <w:r w:rsidRPr="00FE0F8A">
        <w:rPr>
          <w:rFonts w:hint="eastAsia"/>
          <w:color w:val="000000"/>
          <w:sz w:val="24"/>
        </w:rPr>
        <w:t>》、中国证券投资基金业协会颁布的《证券投资基金会计核算业务指引》和在财务报表附注</w:t>
      </w:r>
      <w:r w:rsidRPr="00FE0F8A">
        <w:rPr>
          <w:rFonts w:hint="eastAsia"/>
          <w:color w:val="000000"/>
          <w:sz w:val="24"/>
        </w:rPr>
        <w:t>7.4.4</w:t>
      </w:r>
      <w:r w:rsidRPr="00FE0F8A">
        <w:rPr>
          <w:rFonts w:hint="eastAsia"/>
          <w:color w:val="000000"/>
          <w:sz w:val="24"/>
        </w:rPr>
        <w:t>所列示的中国证监会发布的基金行业实务操作编制。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本基金财务报表的编制符合企业会计准则和中国证监会发布的关于基金行业实务操作有关规定的要求，真实、完整地反映了本基金</w:t>
      </w:r>
      <w:r w:rsidRPr="00FE0F8A">
        <w:rPr>
          <w:rFonts w:hint="eastAsia"/>
          <w:color w:val="000000"/>
          <w:sz w:val="24"/>
        </w:rPr>
        <w:t>2018</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2018</w:t>
      </w:r>
      <w:r w:rsidRPr="00FE0F8A">
        <w:rPr>
          <w:rFonts w:hint="eastAsia"/>
          <w:color w:val="000000"/>
          <w:sz w:val="24"/>
        </w:rPr>
        <w:t>年度的经营成果和基金净值变动情况。</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A11A50" w:rsidRDefault="00A11A50" w:rsidP="00FE0F8A">
      <w:pPr>
        <w:spacing w:before="29" w:line="288" w:lineRule="auto"/>
        <w:ind w:firstLineChars="200" w:firstLine="480"/>
        <w:rPr>
          <w:color w:val="000000"/>
          <w:sz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本基金在本报告期间无需说明的重大会计政策变更。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本基金在本报告期间无需说明的重大会计差错更正。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A57986" w:rsidRDefault="00701A6B">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号《财政部、国家税务总局关于企业所得税若干优惠政策的通知》、财税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[2016]140</w:t>
      </w:r>
      <w:r>
        <w:rPr>
          <w:rFonts w:hint="eastAsia"/>
          <w:color w:val="000000"/>
          <w:sz w:val="24"/>
        </w:rPr>
        <w:t>号《关于明确金融房地产开发教育辅助服务等增值税政策的通知》、财税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号《关于租入固定资产进项税额抵扣等增值税政策的通知》及其他相关税务法规和实务操作，主要税项列示如下：</w:t>
      </w:r>
    </w:p>
    <w:p w:rsidR="00A57986" w:rsidRDefault="00701A6B">
      <w:pPr>
        <w:spacing w:before="29" w:line="288" w:lineRule="auto"/>
        <w:ind w:firstLineChars="200" w:firstLine="480"/>
        <w:rPr>
          <w:color w:val="000000"/>
          <w:sz w:val="24"/>
        </w:rPr>
      </w:pPr>
      <w:r>
        <w:rPr>
          <w:rFonts w:hint="eastAsia"/>
          <w:color w:val="000000"/>
          <w:sz w:val="24"/>
        </w:rPr>
        <w:t>1)</w:t>
      </w:r>
      <w:r>
        <w:rPr>
          <w:rFonts w:hint="eastAsia"/>
          <w:color w:val="000000"/>
          <w:sz w:val="24"/>
        </w:rPr>
        <w:t>证券投资基金</w:t>
      </w:r>
      <w:r>
        <w:rPr>
          <w:rFonts w:hint="eastAsia"/>
          <w:color w:val="000000"/>
          <w:sz w:val="24"/>
        </w:rPr>
        <w:t>(</w:t>
      </w:r>
      <w:r>
        <w:rPr>
          <w:rFonts w:hint="eastAsia"/>
          <w:color w:val="000000"/>
          <w:sz w:val="24"/>
        </w:rPr>
        <w:t>封闭式证券投资基金，开放式证券投资基金</w:t>
      </w:r>
      <w:r>
        <w:rPr>
          <w:rFonts w:hint="eastAsia"/>
          <w:color w:val="000000"/>
          <w:sz w:val="24"/>
        </w:rPr>
        <w:t>)</w:t>
      </w:r>
      <w:r>
        <w:rPr>
          <w:rFonts w:hint="eastAsia"/>
          <w:color w:val="000000"/>
          <w:sz w:val="24"/>
        </w:rPr>
        <w:t>管理人运用基金买卖债券免征增值税；</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日起，公开募集证券投资基金运营过程中发生的其他增值税应税行为，以基金管理人为增值税纳税人，暂适用简易计税方法，按照</w:t>
      </w:r>
      <w:r>
        <w:rPr>
          <w:rFonts w:hint="eastAsia"/>
          <w:color w:val="000000"/>
          <w:sz w:val="24"/>
        </w:rPr>
        <w:t>3%</w:t>
      </w:r>
      <w:r>
        <w:rPr>
          <w:rFonts w:hint="eastAsia"/>
          <w:color w:val="000000"/>
          <w:sz w:val="24"/>
        </w:rPr>
        <w:t>的征收率缴纳增值税。</w:t>
      </w:r>
    </w:p>
    <w:p w:rsidR="00A57986" w:rsidRDefault="00701A6B">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对基金从证券市场中取得的收入，包括买卖债券的差价收入，债券的利息收入及其他收入，暂不缴纳企业所得税。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对于内地投资者持有的基金类别，对基金取得的企业债券利息收入，应由发行债券的企业在向基金支付利息时代扣代缴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A57986">
        <w:tc>
          <w:tcPr>
            <w:tcW w:w="4499" w:type="dxa"/>
            <w:vAlign w:val="center"/>
          </w:tcPr>
          <w:p w:rsidR="00A57986" w:rsidRDefault="00701A6B">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A57986" w:rsidRDefault="00701A6B">
            <w:pPr>
              <w:jc w:val="left"/>
            </w:pPr>
            <w:r>
              <w:rPr>
                <w:rFonts w:hint="eastAsia"/>
                <w:color w:val="000000"/>
                <w:sz w:val="24"/>
              </w:rPr>
              <w:t>基金管理人、基金销售机构</w:t>
            </w:r>
          </w:p>
        </w:tc>
      </w:tr>
      <w:tr w:rsidR="00A57986">
        <w:tc>
          <w:tcPr>
            <w:tcW w:w="4499" w:type="dxa"/>
            <w:vAlign w:val="center"/>
          </w:tcPr>
          <w:p w:rsidR="00A57986" w:rsidRDefault="00701A6B">
            <w:pPr>
              <w:jc w:val="left"/>
            </w:pPr>
            <w:r>
              <w:rPr>
                <w:rFonts w:hint="eastAsia"/>
                <w:color w:val="000000"/>
                <w:sz w:val="24"/>
              </w:rPr>
              <w:t>中国农业银行股份有限公司</w:t>
            </w:r>
            <w:r>
              <w:rPr>
                <w:rFonts w:hint="eastAsia"/>
                <w:color w:val="000000"/>
                <w:sz w:val="24"/>
              </w:rPr>
              <w:t>(</w:t>
            </w:r>
            <w:r>
              <w:rPr>
                <w:rFonts w:hint="eastAsia"/>
                <w:color w:val="000000"/>
                <w:sz w:val="24"/>
              </w:rPr>
              <w:t>“中国农业银行”</w:t>
            </w:r>
            <w:r>
              <w:rPr>
                <w:rFonts w:hint="eastAsia"/>
                <w:color w:val="000000"/>
                <w:sz w:val="24"/>
              </w:rPr>
              <w:t>)</w:t>
            </w:r>
          </w:p>
        </w:tc>
        <w:tc>
          <w:tcPr>
            <w:tcW w:w="4499" w:type="dxa"/>
            <w:vAlign w:val="center"/>
          </w:tcPr>
          <w:p w:rsidR="00A57986" w:rsidRDefault="00701A6B">
            <w:pPr>
              <w:jc w:val="left"/>
            </w:pPr>
            <w:r>
              <w:rPr>
                <w:rFonts w:hint="eastAsia"/>
                <w:color w:val="000000"/>
                <w:sz w:val="24"/>
              </w:rPr>
              <w:t>基金托管人、基金销售机构</w:t>
            </w:r>
          </w:p>
        </w:tc>
      </w:tr>
      <w:tr w:rsidR="00A57986">
        <w:tc>
          <w:tcPr>
            <w:tcW w:w="4499" w:type="dxa"/>
            <w:vAlign w:val="center"/>
          </w:tcPr>
          <w:p w:rsidR="00A57986" w:rsidRDefault="00701A6B">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A57986" w:rsidRDefault="00701A6B">
            <w:pPr>
              <w:jc w:val="left"/>
            </w:pPr>
            <w:r>
              <w:rPr>
                <w:rFonts w:hint="eastAsia"/>
                <w:color w:val="000000"/>
                <w:sz w:val="24"/>
              </w:rPr>
              <w:t>基金管理人的股东、基金销售机构</w:t>
            </w:r>
          </w:p>
        </w:tc>
      </w:tr>
      <w:tr w:rsidR="00A57986">
        <w:tc>
          <w:tcPr>
            <w:tcW w:w="4499" w:type="dxa"/>
            <w:vAlign w:val="center"/>
          </w:tcPr>
          <w:p w:rsidR="00A57986" w:rsidRDefault="00701A6B">
            <w:pPr>
              <w:jc w:val="left"/>
            </w:pPr>
            <w:r>
              <w:rPr>
                <w:rFonts w:hint="eastAsia"/>
                <w:color w:val="000000"/>
                <w:sz w:val="24"/>
              </w:rPr>
              <w:t>施罗德投资管理有限公司</w:t>
            </w:r>
          </w:p>
        </w:tc>
        <w:tc>
          <w:tcPr>
            <w:tcW w:w="4499" w:type="dxa"/>
            <w:vAlign w:val="center"/>
          </w:tcPr>
          <w:p w:rsidR="00A57986" w:rsidRDefault="00701A6B">
            <w:pPr>
              <w:jc w:val="left"/>
            </w:pPr>
            <w:r>
              <w:rPr>
                <w:rFonts w:hint="eastAsia"/>
                <w:color w:val="000000"/>
                <w:sz w:val="24"/>
              </w:rPr>
              <w:t>基金管理人的股东</w:t>
            </w:r>
          </w:p>
        </w:tc>
      </w:tr>
      <w:tr w:rsidR="00A57986">
        <w:tc>
          <w:tcPr>
            <w:tcW w:w="4499" w:type="dxa"/>
            <w:vAlign w:val="center"/>
          </w:tcPr>
          <w:p w:rsidR="00A57986" w:rsidRDefault="00701A6B">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A57986" w:rsidRDefault="00701A6B">
            <w:pPr>
              <w:jc w:val="left"/>
            </w:pPr>
            <w:r>
              <w:rPr>
                <w:rFonts w:hint="eastAsia"/>
                <w:color w:val="000000"/>
                <w:sz w:val="24"/>
              </w:rPr>
              <w:t>基金管理人的股东</w:t>
            </w:r>
          </w:p>
        </w:tc>
      </w:tr>
      <w:tr w:rsidR="00A57986">
        <w:tc>
          <w:tcPr>
            <w:tcW w:w="4499" w:type="dxa"/>
            <w:vAlign w:val="center"/>
          </w:tcPr>
          <w:p w:rsidR="00A57986" w:rsidRDefault="00701A6B">
            <w:pPr>
              <w:jc w:val="left"/>
            </w:pPr>
            <w:r>
              <w:rPr>
                <w:rFonts w:hint="eastAsia"/>
                <w:color w:val="000000"/>
                <w:sz w:val="24"/>
              </w:rPr>
              <w:t>交银施罗德资产管理有限公司（“交银施罗德资管”）</w:t>
            </w:r>
          </w:p>
        </w:tc>
        <w:tc>
          <w:tcPr>
            <w:tcW w:w="4499" w:type="dxa"/>
            <w:vAlign w:val="center"/>
          </w:tcPr>
          <w:p w:rsidR="00A57986" w:rsidRDefault="00701A6B">
            <w:pPr>
              <w:jc w:val="left"/>
            </w:pPr>
            <w:r>
              <w:rPr>
                <w:rFonts w:hint="eastAsia"/>
                <w:color w:val="000000"/>
                <w:sz w:val="24"/>
              </w:rPr>
              <w:t>基金管理人的子公司</w:t>
            </w:r>
          </w:p>
        </w:tc>
      </w:tr>
      <w:tr w:rsidR="00A57986">
        <w:tc>
          <w:tcPr>
            <w:tcW w:w="4499" w:type="dxa"/>
            <w:vAlign w:val="center"/>
          </w:tcPr>
          <w:p w:rsidR="00A57986" w:rsidRDefault="00701A6B">
            <w:pPr>
              <w:jc w:val="left"/>
            </w:pPr>
            <w:r>
              <w:rPr>
                <w:rFonts w:hint="eastAsia"/>
                <w:color w:val="000000"/>
                <w:sz w:val="24"/>
              </w:rPr>
              <w:t>上海直源投资管理有限公司</w:t>
            </w:r>
          </w:p>
        </w:tc>
        <w:tc>
          <w:tcPr>
            <w:tcW w:w="4499" w:type="dxa"/>
            <w:vAlign w:val="center"/>
          </w:tcPr>
          <w:p w:rsidR="00A57986" w:rsidRDefault="00701A6B">
            <w:pPr>
              <w:jc w:val="left"/>
            </w:pPr>
            <w:r>
              <w:rPr>
                <w:rFonts w:hint="eastAsia"/>
                <w:color w:val="000000"/>
                <w:sz w:val="24"/>
              </w:rPr>
              <w:t>受基金管理人控制的公司</w:t>
            </w:r>
          </w:p>
        </w:tc>
      </w:tr>
      <w:tr w:rsidR="00A57986">
        <w:tc>
          <w:tcPr>
            <w:tcW w:w="4499" w:type="dxa"/>
            <w:vAlign w:val="center"/>
          </w:tcPr>
          <w:p w:rsidR="00A57986" w:rsidRDefault="00701A6B">
            <w:pPr>
              <w:jc w:val="left"/>
            </w:pPr>
            <w:r>
              <w:rPr>
                <w:rFonts w:hint="eastAsia"/>
                <w:color w:val="000000"/>
                <w:sz w:val="24"/>
              </w:rPr>
              <w:t>交烨投资管理（上海）有限公司</w:t>
            </w:r>
          </w:p>
        </w:tc>
        <w:tc>
          <w:tcPr>
            <w:tcW w:w="4499" w:type="dxa"/>
            <w:vAlign w:val="center"/>
          </w:tcPr>
          <w:p w:rsidR="00A57986" w:rsidRDefault="00701A6B">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注：下述关联方交易均在正常业务范围内按一般商业条款订立。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r w:rsidRPr="00A6019D">
        <w:rPr>
          <w:rFonts w:hint="eastAsia"/>
          <w:color w:val="000000"/>
          <w:sz w:val="24"/>
        </w:rPr>
        <w:t xml:space="preserve"> </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22,599,897.24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24,420,348.18</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758,564.80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950,121.89</w:t>
            </w:r>
          </w:p>
        </w:tc>
      </w:tr>
    </w:tbl>
    <w:p w:rsidR="006D141C" w:rsidRPr="005124D4" w:rsidRDefault="006D141C" w:rsidP="005124D4">
      <w:pPr>
        <w:spacing w:before="29" w:line="288" w:lineRule="auto"/>
        <w:jc w:val="left"/>
        <w:rPr>
          <w:kern w:val="0"/>
          <w:sz w:val="24"/>
        </w:rPr>
      </w:pPr>
      <w:r w:rsidRPr="005124D4">
        <w:rPr>
          <w:rFonts w:hint="eastAsia"/>
          <w:kern w:val="0"/>
          <w:sz w:val="24"/>
        </w:rPr>
        <w:t>注：支付基金管理人的基金管理人报酬按前一日基金资产净值×</w:t>
      </w:r>
      <w:r w:rsidRPr="005124D4">
        <w:rPr>
          <w:rFonts w:hint="eastAsia"/>
          <w:kern w:val="0"/>
          <w:sz w:val="24"/>
        </w:rPr>
        <w:t>0.33%</w:t>
      </w:r>
      <w:r w:rsidRPr="005124D4">
        <w:rPr>
          <w:rFonts w:hint="eastAsia"/>
          <w:kern w:val="0"/>
          <w:sz w:val="24"/>
        </w:rPr>
        <w:t>的年费率计提，逐日累计至每月月底，按月支付。其计算公式为：日基金管理人报酬</w:t>
      </w:r>
      <w:r w:rsidRPr="005124D4">
        <w:rPr>
          <w:rFonts w:hint="eastAsia"/>
          <w:kern w:val="0"/>
          <w:sz w:val="24"/>
        </w:rPr>
        <w:t>=</w:t>
      </w:r>
      <w:r w:rsidRPr="005124D4">
        <w:rPr>
          <w:rFonts w:hint="eastAsia"/>
          <w:kern w:val="0"/>
          <w:sz w:val="24"/>
        </w:rPr>
        <w:t>前一日基金资产净值×</w:t>
      </w:r>
      <w:r w:rsidRPr="005124D4">
        <w:rPr>
          <w:rFonts w:hint="eastAsia"/>
          <w:kern w:val="0"/>
          <w:sz w:val="24"/>
        </w:rPr>
        <w:t>0.33%</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6,848,453.54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7,400,105.52</w:t>
            </w:r>
          </w:p>
        </w:tc>
      </w:tr>
    </w:tbl>
    <w:p w:rsidR="00A57986" w:rsidRDefault="00701A6B">
      <w:pPr>
        <w:spacing w:before="29" w:line="288" w:lineRule="auto"/>
        <w:jc w:val="left"/>
        <w:rPr>
          <w:kern w:val="0"/>
          <w:sz w:val="24"/>
        </w:rPr>
      </w:pPr>
      <w:r>
        <w:rPr>
          <w:rFonts w:hint="eastAsia"/>
          <w:kern w:val="0"/>
          <w:sz w:val="24"/>
        </w:rPr>
        <w:t>注：支付基金托管人的基金托管费按前一日基金资产净值×</w:t>
      </w:r>
      <w:r>
        <w:rPr>
          <w:rFonts w:hint="eastAsia"/>
          <w:kern w:val="0"/>
          <w:sz w:val="24"/>
        </w:rPr>
        <w:t>0.1%</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日基金托管费</w:t>
      </w:r>
      <w:r w:rsidRPr="005124D4">
        <w:rPr>
          <w:rFonts w:hint="eastAsia"/>
          <w:kern w:val="0"/>
          <w:sz w:val="24"/>
        </w:rPr>
        <w:t>=</w:t>
      </w:r>
      <w:r w:rsidRPr="005124D4">
        <w:rPr>
          <w:rFonts w:hint="eastAsia"/>
          <w:kern w:val="0"/>
          <w:sz w:val="24"/>
        </w:rPr>
        <w:t>前一日基金资产净值×</w:t>
      </w:r>
      <w:r w:rsidRPr="005124D4">
        <w:rPr>
          <w:rFonts w:hint="eastAsia"/>
          <w:kern w:val="0"/>
          <w:sz w:val="24"/>
        </w:rPr>
        <w:t>0.1%</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交银货币</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A57986">
        <w:tc>
          <w:tcPr>
            <w:tcW w:w="2000" w:type="dxa"/>
            <w:vAlign w:val="center"/>
          </w:tcPr>
          <w:p w:rsidR="00A57986" w:rsidRDefault="00701A6B">
            <w:pPr>
              <w:jc w:val="left"/>
            </w:pPr>
            <w:r>
              <w:rPr>
                <w:sz w:val="24"/>
              </w:rPr>
              <w:t>交银施罗德基金公司</w:t>
            </w:r>
          </w:p>
        </w:tc>
        <w:tc>
          <w:tcPr>
            <w:tcW w:w="1766" w:type="dxa"/>
            <w:vAlign w:val="center"/>
          </w:tcPr>
          <w:p w:rsidR="00A57986" w:rsidRDefault="00701A6B">
            <w:pPr>
              <w:jc w:val="right"/>
            </w:pPr>
            <w:r>
              <w:rPr>
                <w:sz w:val="24"/>
              </w:rPr>
              <w:t>107,090.91</w:t>
            </w:r>
          </w:p>
        </w:tc>
        <w:tc>
          <w:tcPr>
            <w:tcW w:w="2162" w:type="dxa"/>
            <w:vAlign w:val="center"/>
          </w:tcPr>
          <w:p w:rsidR="00A57986" w:rsidRDefault="00701A6B">
            <w:pPr>
              <w:jc w:val="right"/>
            </w:pPr>
            <w:r>
              <w:rPr>
                <w:sz w:val="24"/>
              </w:rPr>
              <w:t>613,705.09</w:t>
            </w:r>
          </w:p>
        </w:tc>
        <w:tc>
          <w:tcPr>
            <w:tcW w:w="3070" w:type="dxa"/>
            <w:vAlign w:val="center"/>
          </w:tcPr>
          <w:p w:rsidR="00A57986" w:rsidRDefault="00701A6B">
            <w:pPr>
              <w:jc w:val="right"/>
            </w:pPr>
            <w:r>
              <w:rPr>
                <w:sz w:val="24"/>
              </w:rPr>
              <w:t>720,796.00</w:t>
            </w:r>
          </w:p>
        </w:tc>
      </w:tr>
      <w:tr w:rsidR="00A57986">
        <w:tc>
          <w:tcPr>
            <w:tcW w:w="2000" w:type="dxa"/>
            <w:vAlign w:val="center"/>
          </w:tcPr>
          <w:p w:rsidR="00A57986" w:rsidRDefault="00701A6B">
            <w:pPr>
              <w:jc w:val="left"/>
            </w:pPr>
            <w:r>
              <w:rPr>
                <w:sz w:val="24"/>
              </w:rPr>
              <w:t>中国农业银行</w:t>
            </w:r>
          </w:p>
        </w:tc>
        <w:tc>
          <w:tcPr>
            <w:tcW w:w="1766" w:type="dxa"/>
            <w:vAlign w:val="center"/>
          </w:tcPr>
          <w:p w:rsidR="00A57986" w:rsidRDefault="00701A6B">
            <w:pPr>
              <w:jc w:val="right"/>
            </w:pPr>
            <w:r>
              <w:rPr>
                <w:sz w:val="24"/>
              </w:rPr>
              <w:t>72,446.81</w:t>
            </w:r>
          </w:p>
        </w:tc>
        <w:tc>
          <w:tcPr>
            <w:tcW w:w="2162" w:type="dxa"/>
            <w:vAlign w:val="center"/>
          </w:tcPr>
          <w:p w:rsidR="00A57986" w:rsidRDefault="00701A6B">
            <w:pPr>
              <w:jc w:val="right"/>
            </w:pPr>
            <w:r>
              <w:rPr>
                <w:sz w:val="24"/>
              </w:rPr>
              <w:t>4,736.04</w:t>
            </w:r>
          </w:p>
        </w:tc>
        <w:tc>
          <w:tcPr>
            <w:tcW w:w="3070" w:type="dxa"/>
            <w:vAlign w:val="center"/>
          </w:tcPr>
          <w:p w:rsidR="00A57986" w:rsidRDefault="00701A6B">
            <w:pPr>
              <w:jc w:val="right"/>
            </w:pPr>
            <w:r>
              <w:rPr>
                <w:sz w:val="24"/>
              </w:rPr>
              <w:t>77,182.85</w:t>
            </w:r>
          </w:p>
        </w:tc>
      </w:tr>
      <w:tr w:rsidR="00A57986">
        <w:tc>
          <w:tcPr>
            <w:tcW w:w="2000" w:type="dxa"/>
            <w:vAlign w:val="center"/>
          </w:tcPr>
          <w:p w:rsidR="00A57986" w:rsidRDefault="00701A6B">
            <w:pPr>
              <w:jc w:val="left"/>
            </w:pPr>
            <w:r>
              <w:rPr>
                <w:sz w:val="24"/>
              </w:rPr>
              <w:t>交通银行</w:t>
            </w:r>
          </w:p>
        </w:tc>
        <w:tc>
          <w:tcPr>
            <w:tcW w:w="1766" w:type="dxa"/>
            <w:vAlign w:val="center"/>
          </w:tcPr>
          <w:p w:rsidR="00A57986" w:rsidRDefault="00701A6B">
            <w:pPr>
              <w:jc w:val="right"/>
            </w:pPr>
            <w:r>
              <w:rPr>
                <w:sz w:val="24"/>
              </w:rPr>
              <w:t>747,331.92</w:t>
            </w:r>
          </w:p>
        </w:tc>
        <w:tc>
          <w:tcPr>
            <w:tcW w:w="2162" w:type="dxa"/>
            <w:vAlign w:val="center"/>
          </w:tcPr>
          <w:p w:rsidR="00A57986" w:rsidRDefault="00701A6B">
            <w:pPr>
              <w:jc w:val="right"/>
            </w:pPr>
            <w:r>
              <w:rPr>
                <w:sz w:val="24"/>
              </w:rPr>
              <w:t>6,441.54</w:t>
            </w:r>
          </w:p>
        </w:tc>
        <w:tc>
          <w:tcPr>
            <w:tcW w:w="3070" w:type="dxa"/>
            <w:vAlign w:val="center"/>
          </w:tcPr>
          <w:p w:rsidR="00A57986" w:rsidRDefault="00701A6B">
            <w:pPr>
              <w:jc w:val="right"/>
            </w:pPr>
            <w:r>
              <w:rPr>
                <w:sz w:val="24"/>
              </w:rPr>
              <w:t>753,773.46</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926,869.64</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624,882.67</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1,551,752.31</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交银货币</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A57986">
        <w:tc>
          <w:tcPr>
            <w:tcW w:w="2000" w:type="dxa"/>
            <w:vAlign w:val="center"/>
          </w:tcPr>
          <w:p w:rsidR="00A57986" w:rsidRDefault="00701A6B">
            <w:pPr>
              <w:jc w:val="left"/>
            </w:pPr>
            <w:r>
              <w:rPr>
                <w:sz w:val="24"/>
              </w:rPr>
              <w:t>交银施罗德基金公司</w:t>
            </w:r>
          </w:p>
        </w:tc>
        <w:tc>
          <w:tcPr>
            <w:tcW w:w="1766" w:type="dxa"/>
            <w:vAlign w:val="center"/>
          </w:tcPr>
          <w:p w:rsidR="00A57986" w:rsidRDefault="00701A6B">
            <w:pPr>
              <w:jc w:val="right"/>
            </w:pPr>
            <w:r>
              <w:rPr>
                <w:sz w:val="24"/>
              </w:rPr>
              <w:t>124,691.07</w:t>
            </w:r>
          </w:p>
        </w:tc>
        <w:tc>
          <w:tcPr>
            <w:tcW w:w="2162" w:type="dxa"/>
            <w:vAlign w:val="center"/>
          </w:tcPr>
          <w:p w:rsidR="00A57986" w:rsidRDefault="00701A6B">
            <w:pPr>
              <w:jc w:val="right"/>
            </w:pPr>
            <w:r>
              <w:rPr>
                <w:sz w:val="24"/>
              </w:rPr>
              <w:t>638,167.57</w:t>
            </w:r>
          </w:p>
        </w:tc>
        <w:tc>
          <w:tcPr>
            <w:tcW w:w="3070" w:type="dxa"/>
            <w:vAlign w:val="center"/>
          </w:tcPr>
          <w:p w:rsidR="00A57986" w:rsidRDefault="00701A6B">
            <w:pPr>
              <w:jc w:val="right"/>
            </w:pPr>
            <w:r>
              <w:rPr>
                <w:sz w:val="24"/>
              </w:rPr>
              <w:t>762,858.64</w:t>
            </w:r>
          </w:p>
        </w:tc>
      </w:tr>
      <w:tr w:rsidR="00A57986">
        <w:tc>
          <w:tcPr>
            <w:tcW w:w="2000" w:type="dxa"/>
            <w:vAlign w:val="center"/>
          </w:tcPr>
          <w:p w:rsidR="00A57986" w:rsidRDefault="00701A6B">
            <w:pPr>
              <w:jc w:val="left"/>
            </w:pPr>
            <w:r>
              <w:rPr>
                <w:sz w:val="24"/>
              </w:rPr>
              <w:t>中国农业银行</w:t>
            </w:r>
          </w:p>
        </w:tc>
        <w:tc>
          <w:tcPr>
            <w:tcW w:w="1766" w:type="dxa"/>
            <w:vAlign w:val="center"/>
          </w:tcPr>
          <w:p w:rsidR="00A57986" w:rsidRDefault="00701A6B">
            <w:pPr>
              <w:jc w:val="right"/>
            </w:pPr>
            <w:r>
              <w:rPr>
                <w:sz w:val="24"/>
              </w:rPr>
              <w:t>103,984.73</w:t>
            </w:r>
          </w:p>
        </w:tc>
        <w:tc>
          <w:tcPr>
            <w:tcW w:w="2162" w:type="dxa"/>
            <w:vAlign w:val="center"/>
          </w:tcPr>
          <w:p w:rsidR="00A57986" w:rsidRDefault="00701A6B">
            <w:pPr>
              <w:jc w:val="right"/>
            </w:pPr>
            <w:r>
              <w:rPr>
                <w:sz w:val="24"/>
              </w:rPr>
              <w:t>4,593.71</w:t>
            </w:r>
          </w:p>
        </w:tc>
        <w:tc>
          <w:tcPr>
            <w:tcW w:w="3070" w:type="dxa"/>
            <w:vAlign w:val="center"/>
          </w:tcPr>
          <w:p w:rsidR="00A57986" w:rsidRDefault="00701A6B">
            <w:pPr>
              <w:jc w:val="right"/>
            </w:pPr>
            <w:r>
              <w:rPr>
                <w:sz w:val="24"/>
              </w:rPr>
              <w:t>108,578.44</w:t>
            </w:r>
          </w:p>
        </w:tc>
      </w:tr>
      <w:tr w:rsidR="00A57986">
        <w:tc>
          <w:tcPr>
            <w:tcW w:w="2000" w:type="dxa"/>
            <w:vAlign w:val="center"/>
          </w:tcPr>
          <w:p w:rsidR="00A57986" w:rsidRDefault="00701A6B">
            <w:pPr>
              <w:jc w:val="left"/>
            </w:pPr>
            <w:r>
              <w:rPr>
                <w:sz w:val="24"/>
              </w:rPr>
              <w:t>交通银行</w:t>
            </w:r>
          </w:p>
        </w:tc>
        <w:tc>
          <w:tcPr>
            <w:tcW w:w="1766" w:type="dxa"/>
            <w:vAlign w:val="center"/>
          </w:tcPr>
          <w:p w:rsidR="00A57986" w:rsidRDefault="00701A6B">
            <w:pPr>
              <w:jc w:val="right"/>
            </w:pPr>
            <w:r>
              <w:rPr>
                <w:sz w:val="24"/>
              </w:rPr>
              <w:t>834,059.83</w:t>
            </w:r>
          </w:p>
        </w:tc>
        <w:tc>
          <w:tcPr>
            <w:tcW w:w="2162" w:type="dxa"/>
            <w:vAlign w:val="center"/>
          </w:tcPr>
          <w:p w:rsidR="00A57986" w:rsidRDefault="00701A6B">
            <w:pPr>
              <w:jc w:val="right"/>
            </w:pPr>
            <w:r>
              <w:rPr>
                <w:sz w:val="24"/>
              </w:rPr>
              <w:t>6,747.05</w:t>
            </w:r>
          </w:p>
        </w:tc>
        <w:tc>
          <w:tcPr>
            <w:tcW w:w="3070" w:type="dxa"/>
            <w:vAlign w:val="center"/>
          </w:tcPr>
          <w:p w:rsidR="00A57986" w:rsidRDefault="00701A6B">
            <w:pPr>
              <w:jc w:val="right"/>
            </w:pPr>
            <w:r>
              <w:rPr>
                <w:sz w:val="24"/>
              </w:rPr>
              <w:t>840,806.88</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1,062,735.63</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649,508.33</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1,712,243.96</w:t>
            </w:r>
          </w:p>
        </w:tc>
      </w:tr>
    </w:tbl>
    <w:p w:rsidR="00A57986" w:rsidRDefault="00701A6B">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的年费率计提，</w:t>
      </w:r>
      <w:r>
        <w:rPr>
          <w:kern w:val="0"/>
          <w:sz w:val="24"/>
        </w:rPr>
        <w:t>B</w:t>
      </w:r>
      <w:r>
        <w:rPr>
          <w:kern w:val="0"/>
          <w:sz w:val="24"/>
        </w:rPr>
        <w:t>级基金按前一日基金资产净值的</w:t>
      </w:r>
      <w:r>
        <w:rPr>
          <w:kern w:val="0"/>
          <w:sz w:val="24"/>
        </w:rPr>
        <w:t>0.01%</w:t>
      </w:r>
      <w:r>
        <w:rPr>
          <w:kern w:val="0"/>
          <w:sz w:val="24"/>
        </w:rPr>
        <w:t>的年费率计提，逐日累计至每月月底，按月支付给交银施罗德基金公司，再交由交银施罗德基金公司计算并支付给各基金销售机构。其计算公式为：</w:t>
      </w:r>
    </w:p>
    <w:p w:rsidR="00A57986" w:rsidRDefault="00701A6B">
      <w:pPr>
        <w:tabs>
          <w:tab w:val="left" w:pos="426"/>
        </w:tabs>
        <w:spacing w:before="29" w:line="288" w:lineRule="auto"/>
        <w:jc w:val="left"/>
        <w:rPr>
          <w:kern w:val="0"/>
          <w:sz w:val="24"/>
        </w:rPr>
      </w:pPr>
      <w:r>
        <w:rPr>
          <w:kern w:val="0"/>
          <w:sz w:val="24"/>
        </w:rPr>
        <w:t>A</w:t>
      </w:r>
      <w:r>
        <w:rPr>
          <w:kern w:val="0"/>
          <w:sz w:val="24"/>
        </w:rPr>
        <w:t>级基金日销售服务费</w:t>
      </w:r>
      <w:r>
        <w:rPr>
          <w:kern w:val="0"/>
          <w:sz w:val="24"/>
        </w:rPr>
        <w:t>=</w:t>
      </w:r>
      <w:r>
        <w:rPr>
          <w:kern w:val="0"/>
          <w:sz w:val="24"/>
        </w:rPr>
        <w:t>前一日</w:t>
      </w:r>
      <w:r>
        <w:rPr>
          <w:kern w:val="0"/>
          <w:sz w:val="24"/>
        </w:rPr>
        <w:t>A</w:t>
      </w:r>
      <w:r>
        <w:rPr>
          <w:kern w:val="0"/>
          <w:sz w:val="24"/>
        </w:rPr>
        <w:t>级基金份额对应的资产净值</w:t>
      </w:r>
      <w:r>
        <w:rPr>
          <w:kern w:val="0"/>
          <w:sz w:val="24"/>
        </w:rPr>
        <w:t>×0.25%÷</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级基金日销售服务费</w:t>
      </w:r>
      <w:r w:rsidRPr="006159B2">
        <w:rPr>
          <w:kern w:val="0"/>
          <w:sz w:val="24"/>
        </w:rPr>
        <w:t>=</w:t>
      </w:r>
      <w:r w:rsidRPr="006159B2">
        <w:rPr>
          <w:kern w:val="0"/>
          <w:sz w:val="24"/>
        </w:rPr>
        <w:t>前一日</w:t>
      </w:r>
      <w:r w:rsidRPr="006159B2">
        <w:rPr>
          <w:kern w:val="0"/>
          <w:sz w:val="24"/>
        </w:rPr>
        <w:t>B</w:t>
      </w:r>
      <w:r w:rsidRPr="006159B2">
        <w:rPr>
          <w:kern w:val="0"/>
          <w:sz w:val="24"/>
        </w:rPr>
        <w:t>级基金份额对应的资产净值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2018</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2018</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A57986">
        <w:tc>
          <w:tcPr>
            <w:tcW w:w="1422" w:type="dxa"/>
            <w:vAlign w:val="center"/>
          </w:tcPr>
          <w:p w:rsidR="00A57986" w:rsidRDefault="00701A6B">
            <w:pPr>
              <w:jc w:val="left"/>
            </w:pPr>
            <w:r>
              <w:rPr>
                <w:bCs/>
                <w:sz w:val="24"/>
              </w:rPr>
              <w:t>中国农业银行</w:t>
            </w:r>
            <w:r>
              <w:rPr>
                <w:bCs/>
                <w:sz w:val="24"/>
              </w:rPr>
              <w:t xml:space="preserve"> </w:t>
            </w:r>
          </w:p>
        </w:tc>
        <w:tc>
          <w:tcPr>
            <w:tcW w:w="1818" w:type="dxa"/>
            <w:vAlign w:val="center"/>
          </w:tcPr>
          <w:p w:rsidR="00A57986" w:rsidRDefault="00701A6B">
            <w:pPr>
              <w:jc w:val="right"/>
            </w:pPr>
            <w:r>
              <w:rPr>
                <w:bCs/>
                <w:sz w:val="24"/>
              </w:rPr>
              <w:t>1,159,291,777.27</w:t>
            </w:r>
          </w:p>
        </w:tc>
        <w:tc>
          <w:tcPr>
            <w:tcW w:w="1260" w:type="dxa"/>
            <w:vAlign w:val="center"/>
          </w:tcPr>
          <w:p w:rsidR="00A57986" w:rsidRDefault="00701A6B">
            <w:pPr>
              <w:jc w:val="right"/>
            </w:pPr>
            <w:r>
              <w:rPr>
                <w:bCs/>
                <w:sz w:val="24"/>
              </w:rPr>
              <w:t>149,022,616.03</w:t>
            </w:r>
          </w:p>
        </w:tc>
        <w:tc>
          <w:tcPr>
            <w:tcW w:w="1260" w:type="dxa"/>
            <w:vAlign w:val="center"/>
          </w:tcPr>
          <w:p w:rsidR="00A57986" w:rsidRDefault="00701A6B">
            <w:pPr>
              <w:jc w:val="right"/>
            </w:pPr>
            <w:r>
              <w:rPr>
                <w:bCs/>
                <w:sz w:val="24"/>
              </w:rPr>
              <w:t>-</w:t>
            </w:r>
          </w:p>
        </w:tc>
        <w:tc>
          <w:tcPr>
            <w:tcW w:w="1080" w:type="dxa"/>
            <w:vAlign w:val="center"/>
          </w:tcPr>
          <w:p w:rsidR="00A57986" w:rsidRDefault="00701A6B">
            <w:pPr>
              <w:jc w:val="right"/>
            </w:pPr>
            <w:r>
              <w:rPr>
                <w:bCs/>
                <w:sz w:val="24"/>
              </w:rPr>
              <w:t>-</w:t>
            </w:r>
          </w:p>
        </w:tc>
        <w:tc>
          <w:tcPr>
            <w:tcW w:w="1512" w:type="dxa"/>
            <w:vAlign w:val="center"/>
          </w:tcPr>
          <w:p w:rsidR="00A57986" w:rsidRDefault="00701A6B">
            <w:pPr>
              <w:jc w:val="right"/>
            </w:pPr>
            <w:r>
              <w:rPr>
                <w:bCs/>
                <w:sz w:val="24"/>
              </w:rPr>
              <w:t>-</w:t>
            </w:r>
          </w:p>
        </w:tc>
        <w:tc>
          <w:tcPr>
            <w:tcW w:w="1083" w:type="dxa"/>
            <w:vAlign w:val="center"/>
          </w:tcPr>
          <w:p w:rsidR="00A57986" w:rsidRDefault="00701A6B">
            <w:pPr>
              <w:jc w:val="right"/>
            </w:pPr>
            <w:r>
              <w:rPr>
                <w:bCs/>
                <w:sz w:val="24"/>
              </w:rPr>
              <w:t>-</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日至</w:t>
            </w: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A57986">
        <w:tc>
          <w:tcPr>
            <w:tcW w:w="1422" w:type="dxa"/>
            <w:vAlign w:val="center"/>
          </w:tcPr>
          <w:p w:rsidR="00A57986" w:rsidRDefault="00701A6B">
            <w:pPr>
              <w:jc w:val="left"/>
            </w:pPr>
            <w:r>
              <w:rPr>
                <w:bCs/>
                <w:sz w:val="24"/>
              </w:rPr>
              <w:t>中国农业银行</w:t>
            </w:r>
            <w:r>
              <w:rPr>
                <w:bCs/>
                <w:sz w:val="24"/>
              </w:rPr>
              <w:t> </w:t>
            </w:r>
          </w:p>
        </w:tc>
        <w:tc>
          <w:tcPr>
            <w:tcW w:w="1818" w:type="dxa"/>
            <w:vAlign w:val="center"/>
          </w:tcPr>
          <w:p w:rsidR="00A57986" w:rsidRDefault="00701A6B">
            <w:pPr>
              <w:jc w:val="right"/>
            </w:pPr>
            <w:r>
              <w:rPr>
                <w:bCs/>
                <w:sz w:val="24"/>
              </w:rPr>
              <w:t>139,686,576.26</w:t>
            </w:r>
          </w:p>
        </w:tc>
        <w:tc>
          <w:tcPr>
            <w:tcW w:w="1260" w:type="dxa"/>
            <w:vAlign w:val="center"/>
          </w:tcPr>
          <w:p w:rsidR="00A57986" w:rsidRDefault="00701A6B">
            <w:pPr>
              <w:jc w:val="right"/>
            </w:pPr>
            <w:r>
              <w:rPr>
                <w:bCs/>
                <w:sz w:val="24"/>
              </w:rPr>
              <w:t>198,804,378.70</w:t>
            </w:r>
          </w:p>
        </w:tc>
        <w:tc>
          <w:tcPr>
            <w:tcW w:w="1260" w:type="dxa"/>
            <w:vAlign w:val="center"/>
          </w:tcPr>
          <w:p w:rsidR="00A57986" w:rsidRDefault="00701A6B">
            <w:pPr>
              <w:jc w:val="right"/>
            </w:pPr>
            <w:r>
              <w:rPr>
                <w:bCs/>
                <w:sz w:val="24"/>
              </w:rPr>
              <w:t>-</w:t>
            </w:r>
          </w:p>
        </w:tc>
        <w:tc>
          <w:tcPr>
            <w:tcW w:w="1080" w:type="dxa"/>
            <w:vAlign w:val="center"/>
          </w:tcPr>
          <w:p w:rsidR="00A57986" w:rsidRDefault="00701A6B">
            <w:pPr>
              <w:jc w:val="right"/>
            </w:pPr>
            <w:r>
              <w:rPr>
                <w:bCs/>
                <w:sz w:val="24"/>
              </w:rPr>
              <w:t>-</w:t>
            </w:r>
          </w:p>
        </w:tc>
        <w:tc>
          <w:tcPr>
            <w:tcW w:w="1512" w:type="dxa"/>
            <w:vAlign w:val="center"/>
          </w:tcPr>
          <w:p w:rsidR="00A57986" w:rsidRDefault="00701A6B">
            <w:pPr>
              <w:jc w:val="right"/>
            </w:pPr>
            <w:r>
              <w:rPr>
                <w:bCs/>
                <w:sz w:val="24"/>
              </w:rPr>
              <w:t>-</w:t>
            </w:r>
          </w:p>
        </w:tc>
        <w:tc>
          <w:tcPr>
            <w:tcW w:w="1083" w:type="dxa"/>
            <w:vAlign w:val="center"/>
          </w:tcPr>
          <w:p w:rsidR="00A57986" w:rsidRDefault="00701A6B">
            <w:pPr>
              <w:jc w:val="right"/>
            </w:pPr>
            <w:r>
              <w:rPr>
                <w:bCs/>
                <w:sz w:val="24"/>
              </w:rPr>
              <w:t>-</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BC4194" w:rsidRDefault="006D141C" w:rsidP="00BC4194">
      <w:pPr>
        <w:autoSpaceDE w:val="0"/>
        <w:autoSpaceDN w:val="0"/>
        <w:adjustRightInd w:val="0"/>
        <w:spacing w:before="29" w:line="288" w:lineRule="auto"/>
        <w:ind w:left="15" w:right="90"/>
        <w:jc w:val="right"/>
        <w:rPr>
          <w:sz w:val="24"/>
        </w:rPr>
      </w:pPr>
      <w:r w:rsidRPr="00BC4194">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CB1276" w:rsidTr="0018726C">
        <w:trPr>
          <w:trHeight w:val="340"/>
        </w:trPr>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18726C">
        <w:trPr>
          <w:trHeight w:val="340"/>
        </w:trPr>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交银货币</w:t>
            </w:r>
            <w:r>
              <w:rPr>
                <w:rFonts w:hint="eastAsia"/>
                <w:sz w:val="24"/>
              </w:rPr>
              <w:t>B</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交银货币</w:t>
            </w:r>
            <w:r>
              <w:rPr>
                <w:rFonts w:hint="eastAsia"/>
                <w:sz w:val="24"/>
              </w:rPr>
              <w:t>B</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期初持有的基金份额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200,000,000.00</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期间申购</w:t>
            </w:r>
            <w:r w:rsidR="006D141C" w:rsidRPr="00BC4194">
              <w:rPr>
                <w:rFonts w:hint="eastAsia"/>
                <w:szCs w:val="24"/>
              </w:rPr>
              <w:t>/</w:t>
            </w:r>
            <w:r w:rsidR="006D141C" w:rsidRPr="00BC4194">
              <w:rPr>
                <w:rFonts w:hint="eastAsia"/>
                <w:szCs w:val="24"/>
              </w:rPr>
              <w:t>买入总份额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1,065,184.83</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期间因拆分变动份额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减：</w:t>
            </w:r>
            <w:r w:rsidR="001730DF" w:rsidRPr="00280D8B">
              <w:rPr>
                <w:rFonts w:hint="eastAsia"/>
              </w:rPr>
              <w:t>报告</w:t>
            </w:r>
            <w:r w:rsidRPr="00BC4194">
              <w:rPr>
                <w:rFonts w:hint="eastAsia"/>
                <w:szCs w:val="24"/>
              </w:rPr>
              <w:t>期间赎回</w:t>
            </w:r>
            <w:r w:rsidRPr="00BC4194">
              <w:rPr>
                <w:rFonts w:hint="eastAsia"/>
                <w:szCs w:val="24"/>
              </w:rPr>
              <w:t>/</w:t>
            </w:r>
            <w:r w:rsidRPr="00BC4194">
              <w:rPr>
                <w:rFonts w:hint="eastAsia"/>
                <w:szCs w:val="24"/>
              </w:rPr>
              <w:t>卖出总份额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201,065,184.83</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期末持有的基金份额占基金总份额比例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bl>
    <w:p w:rsidR="00A57986" w:rsidRDefault="00701A6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A57986" w:rsidRDefault="00701A6B">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、如果本报告期间发生转换出业务，则总赎回份额中包含该业务。</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、基金管理人投资本基金适用的申购</w:t>
      </w:r>
      <w:r w:rsidRPr="005124D4">
        <w:rPr>
          <w:rFonts w:hint="eastAsia"/>
          <w:kern w:val="0"/>
          <w:sz w:val="24"/>
        </w:rPr>
        <w:t>/</w:t>
      </w:r>
      <w:r w:rsidRPr="005124D4">
        <w:rPr>
          <w:rFonts w:hint="eastAsia"/>
          <w:kern w:val="0"/>
          <w:sz w:val="24"/>
        </w:rPr>
        <w:t>赎回费率按照本基金招募说明书的规定执行。</w:t>
      </w:r>
    </w:p>
    <w:p w:rsidR="006D141C" w:rsidRPr="00CB1276" w:rsidRDefault="007D0C4D" w:rsidP="004B36C2">
      <w:pPr>
        <w:adjustRightInd w:val="0"/>
        <w:snapToGrid w:val="0"/>
        <w:spacing w:line="360" w:lineRule="auto"/>
        <w:jc w:val="left"/>
        <w:rPr>
          <w:rFonts w:asciiTheme="minorEastAsia" w:eastAsiaTheme="minorEastAsia" w:hAnsiTheme="minorEastAsia"/>
          <w:bCs/>
          <w:szCs w:val="21"/>
        </w:rPr>
      </w:pPr>
      <w:r w:rsidRPr="00CB1276">
        <w:rPr>
          <w:rFonts w:asciiTheme="minorEastAsia" w:eastAsiaTheme="minorEastAsia" w:hAnsiTheme="minorEastAsia" w:hint="eastAsia"/>
          <w:bCs/>
          <w:szCs w:val="21"/>
        </w:rPr>
        <w:tab/>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交银货币</w:t>
      </w:r>
      <w:r w:rsidRPr="007A2947">
        <w:rPr>
          <w:rFonts w:hint="eastAsia"/>
          <w:sz w:val="24"/>
        </w:rPr>
        <w:t>A</w:t>
      </w:r>
    </w:p>
    <w:p w:rsidR="00604AF1" w:rsidRDefault="00604AF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t>交银货币</w:t>
      </w:r>
      <w:r>
        <w:rPr>
          <w:rFonts w:hint="eastAsia"/>
          <w:sz w:val="24"/>
        </w:rPr>
        <w:t>B</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交银货币</w:t>
            </w:r>
            <w:r>
              <w:rPr>
                <w:rFonts w:hint="eastAsia"/>
                <w:bCs/>
                <w:color w:val="000000"/>
                <w:sz w:val="24"/>
              </w:rPr>
              <w:t>B</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交银货币</w:t>
            </w:r>
            <w:r>
              <w:rPr>
                <w:rFonts w:hint="eastAsia"/>
                <w:bCs/>
                <w:color w:val="000000"/>
                <w:sz w:val="24"/>
              </w:rPr>
              <w:t>B</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A57986">
        <w:tc>
          <w:tcPr>
            <w:tcW w:w="1799" w:type="dxa"/>
            <w:vAlign w:val="center"/>
          </w:tcPr>
          <w:p w:rsidR="00A57986" w:rsidRDefault="00701A6B" w:rsidP="00701A6B">
            <w:pPr>
              <w:jc w:val="center"/>
            </w:pPr>
            <w:r>
              <w:rPr>
                <w:rFonts w:hint="eastAsia"/>
                <w:sz w:val="24"/>
              </w:rPr>
              <w:t>交通银行</w:t>
            </w:r>
          </w:p>
        </w:tc>
        <w:tc>
          <w:tcPr>
            <w:tcW w:w="1799" w:type="dxa"/>
            <w:vAlign w:val="center"/>
          </w:tcPr>
          <w:p w:rsidR="00A57986" w:rsidRDefault="00701A6B">
            <w:pPr>
              <w:jc w:val="center"/>
            </w:pPr>
            <w:r>
              <w:rPr>
                <w:rFonts w:hint="eastAsia"/>
                <w:sz w:val="24"/>
              </w:rPr>
              <w:t>355,802,292.29</w:t>
            </w:r>
          </w:p>
        </w:tc>
        <w:tc>
          <w:tcPr>
            <w:tcW w:w="1800" w:type="dxa"/>
            <w:vAlign w:val="center"/>
          </w:tcPr>
          <w:p w:rsidR="00A57986" w:rsidRDefault="00701A6B">
            <w:pPr>
              <w:jc w:val="center"/>
            </w:pPr>
            <w:r>
              <w:rPr>
                <w:rFonts w:hint="eastAsia"/>
                <w:sz w:val="24"/>
              </w:rPr>
              <w:t>37.15%</w:t>
            </w:r>
          </w:p>
        </w:tc>
        <w:tc>
          <w:tcPr>
            <w:tcW w:w="1800" w:type="dxa"/>
            <w:vAlign w:val="center"/>
          </w:tcPr>
          <w:p w:rsidR="00A57986" w:rsidRDefault="00701A6B">
            <w:pPr>
              <w:jc w:val="center"/>
            </w:pPr>
            <w:r>
              <w:rPr>
                <w:rFonts w:hint="eastAsia"/>
                <w:sz w:val="24"/>
              </w:rPr>
              <w:t>-</w:t>
            </w:r>
          </w:p>
        </w:tc>
        <w:tc>
          <w:tcPr>
            <w:tcW w:w="1800" w:type="dxa"/>
            <w:vAlign w:val="center"/>
          </w:tcPr>
          <w:p w:rsidR="00A57986" w:rsidRDefault="00701A6B">
            <w:pPr>
              <w:jc w:val="center"/>
            </w:pPr>
            <w:r>
              <w:rPr>
                <w:rFonts w:hint="eastAsia"/>
                <w:sz w:val="24"/>
              </w:rPr>
              <w:t>-</w:t>
            </w:r>
          </w:p>
        </w:tc>
      </w:tr>
      <w:tr w:rsidR="00A57986">
        <w:tc>
          <w:tcPr>
            <w:tcW w:w="1799" w:type="dxa"/>
            <w:vAlign w:val="center"/>
          </w:tcPr>
          <w:p w:rsidR="00A57986" w:rsidRDefault="00701A6B">
            <w:pPr>
              <w:jc w:val="center"/>
            </w:pPr>
            <w:r>
              <w:rPr>
                <w:rFonts w:hint="eastAsia"/>
                <w:sz w:val="24"/>
              </w:rPr>
              <w:t>交银施罗德资管</w:t>
            </w:r>
          </w:p>
        </w:tc>
        <w:tc>
          <w:tcPr>
            <w:tcW w:w="1799" w:type="dxa"/>
            <w:vAlign w:val="center"/>
          </w:tcPr>
          <w:p w:rsidR="00A57986" w:rsidRDefault="00701A6B">
            <w:pPr>
              <w:jc w:val="center"/>
            </w:pPr>
            <w:r>
              <w:rPr>
                <w:rFonts w:hint="eastAsia"/>
                <w:sz w:val="24"/>
              </w:rPr>
              <w:t>300,493,761.55</w:t>
            </w:r>
          </w:p>
        </w:tc>
        <w:tc>
          <w:tcPr>
            <w:tcW w:w="1800" w:type="dxa"/>
            <w:vAlign w:val="center"/>
          </w:tcPr>
          <w:p w:rsidR="00A57986" w:rsidRDefault="00701A6B">
            <w:pPr>
              <w:jc w:val="center"/>
            </w:pPr>
            <w:r>
              <w:rPr>
                <w:rFonts w:hint="eastAsia"/>
                <w:sz w:val="24"/>
              </w:rPr>
              <w:t>31.37%</w:t>
            </w:r>
          </w:p>
        </w:tc>
        <w:tc>
          <w:tcPr>
            <w:tcW w:w="1800" w:type="dxa"/>
            <w:vAlign w:val="center"/>
          </w:tcPr>
          <w:p w:rsidR="00A57986" w:rsidRDefault="00701A6B">
            <w:pPr>
              <w:jc w:val="center"/>
            </w:pPr>
            <w:r>
              <w:rPr>
                <w:rFonts w:hint="eastAsia"/>
                <w:sz w:val="24"/>
              </w:rPr>
              <w:t>419,159,665.41</w:t>
            </w:r>
          </w:p>
        </w:tc>
        <w:tc>
          <w:tcPr>
            <w:tcW w:w="1800" w:type="dxa"/>
            <w:vAlign w:val="center"/>
          </w:tcPr>
          <w:p w:rsidR="00A57986" w:rsidRDefault="00701A6B">
            <w:pPr>
              <w:jc w:val="center"/>
            </w:pPr>
            <w:r>
              <w:rPr>
                <w:rFonts w:hint="eastAsia"/>
                <w:sz w:val="24"/>
              </w:rPr>
              <w:t>4.25%</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A57986">
        <w:tc>
          <w:tcPr>
            <w:tcW w:w="1799" w:type="dxa"/>
            <w:vAlign w:val="center"/>
          </w:tcPr>
          <w:p w:rsidR="00A57986" w:rsidRDefault="00701A6B">
            <w:pPr>
              <w:jc w:val="center"/>
            </w:pPr>
            <w:r>
              <w:rPr>
                <w:rFonts w:hint="eastAsia"/>
                <w:szCs w:val="21"/>
              </w:rPr>
              <w:t>中国农业银行</w:t>
            </w:r>
          </w:p>
        </w:tc>
        <w:tc>
          <w:tcPr>
            <w:tcW w:w="1799" w:type="dxa"/>
            <w:vAlign w:val="center"/>
          </w:tcPr>
          <w:p w:rsidR="00A57986" w:rsidRDefault="00701A6B">
            <w:pPr>
              <w:jc w:val="center"/>
            </w:pPr>
            <w:r>
              <w:rPr>
                <w:rFonts w:hint="eastAsia"/>
                <w:szCs w:val="21"/>
              </w:rPr>
              <w:t>1,896,457.51</w:t>
            </w:r>
          </w:p>
        </w:tc>
        <w:tc>
          <w:tcPr>
            <w:tcW w:w="1800" w:type="dxa"/>
            <w:vAlign w:val="center"/>
          </w:tcPr>
          <w:p w:rsidR="00A57986" w:rsidRDefault="00701A6B">
            <w:pPr>
              <w:jc w:val="center"/>
            </w:pPr>
            <w:r>
              <w:rPr>
                <w:rFonts w:hint="eastAsia"/>
                <w:szCs w:val="21"/>
              </w:rPr>
              <w:t>179,623.65</w:t>
            </w:r>
          </w:p>
        </w:tc>
        <w:tc>
          <w:tcPr>
            <w:tcW w:w="1800" w:type="dxa"/>
            <w:vAlign w:val="center"/>
          </w:tcPr>
          <w:p w:rsidR="00A57986" w:rsidRDefault="00701A6B">
            <w:pPr>
              <w:jc w:val="center"/>
            </w:pPr>
            <w:r>
              <w:rPr>
                <w:rFonts w:hint="eastAsia"/>
                <w:szCs w:val="21"/>
              </w:rPr>
              <w:t>3,772,381.30</w:t>
            </w:r>
          </w:p>
        </w:tc>
        <w:tc>
          <w:tcPr>
            <w:tcW w:w="1800" w:type="dxa"/>
            <w:vAlign w:val="center"/>
          </w:tcPr>
          <w:p w:rsidR="00A57986" w:rsidRDefault="00701A6B">
            <w:pPr>
              <w:jc w:val="center"/>
            </w:pPr>
            <w:r>
              <w:rPr>
                <w:rFonts w:hint="eastAsia"/>
                <w:szCs w:val="21"/>
              </w:rPr>
              <w:t>222,179.78</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2018</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本基金本报告期末无从事债券正回购交易形成的卖出回购证券款余额。</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A57986" w:rsidRDefault="00701A6B">
      <w:pPr>
        <w:spacing w:before="29" w:line="288" w:lineRule="auto"/>
        <w:rPr>
          <w:color w:val="000000"/>
          <w:sz w:val="24"/>
        </w:rPr>
      </w:pPr>
      <w:r>
        <w:rPr>
          <w:rFonts w:hint="eastAsia"/>
          <w:color w:val="000000"/>
          <w:sz w:val="24"/>
        </w:rPr>
        <w:t>(1)</w:t>
      </w:r>
      <w:r>
        <w:rPr>
          <w:rFonts w:hint="eastAsia"/>
          <w:color w:val="000000"/>
          <w:sz w:val="24"/>
        </w:rPr>
        <w:t>公允价值</w:t>
      </w:r>
    </w:p>
    <w:p w:rsidR="00A57986" w:rsidRDefault="00701A6B">
      <w:pPr>
        <w:spacing w:before="29" w:line="288" w:lineRule="auto"/>
        <w:rPr>
          <w:color w:val="000000"/>
          <w:sz w:val="24"/>
        </w:rPr>
      </w:pPr>
      <w:r>
        <w:rPr>
          <w:rFonts w:hint="eastAsia"/>
          <w:color w:val="000000"/>
          <w:sz w:val="24"/>
        </w:rPr>
        <w:t>(a)</w:t>
      </w:r>
      <w:r>
        <w:rPr>
          <w:rFonts w:hint="eastAsia"/>
          <w:color w:val="000000"/>
          <w:sz w:val="24"/>
        </w:rPr>
        <w:t>不以公允价值计量的金融工具</w:t>
      </w:r>
    </w:p>
    <w:p w:rsidR="00A57986" w:rsidRDefault="00701A6B">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A57986" w:rsidRDefault="00701A6B">
      <w:pPr>
        <w:spacing w:before="29" w:line="288" w:lineRule="auto"/>
        <w:rPr>
          <w:color w:val="000000"/>
          <w:sz w:val="24"/>
        </w:rPr>
      </w:pPr>
      <w:r>
        <w:rPr>
          <w:rFonts w:hint="eastAsia"/>
          <w:color w:val="000000"/>
          <w:sz w:val="24"/>
        </w:rPr>
        <w:t>(b)</w:t>
      </w:r>
      <w:r>
        <w:rPr>
          <w:rFonts w:hint="eastAsia"/>
          <w:color w:val="000000"/>
          <w:sz w:val="24"/>
        </w:rPr>
        <w:t>以公允价值计量的金融工具</w:t>
      </w:r>
    </w:p>
    <w:p w:rsidR="00A57986" w:rsidRDefault="00701A6B">
      <w:pPr>
        <w:spacing w:before="29" w:line="288" w:lineRule="auto"/>
        <w:rPr>
          <w:color w:val="000000"/>
          <w:sz w:val="24"/>
        </w:rPr>
      </w:pPr>
      <w:r>
        <w:rPr>
          <w:rFonts w:hint="eastAsia"/>
          <w:color w:val="000000"/>
          <w:sz w:val="24"/>
        </w:rPr>
        <w:t>(i)</w:t>
      </w:r>
      <w:r>
        <w:rPr>
          <w:rFonts w:hint="eastAsia"/>
          <w:color w:val="000000"/>
          <w:sz w:val="24"/>
        </w:rPr>
        <w:t>金融工具公允价值计量的方法</w:t>
      </w:r>
    </w:p>
    <w:p w:rsidR="00A57986" w:rsidRDefault="00701A6B">
      <w:pPr>
        <w:spacing w:before="29" w:line="288" w:lineRule="auto"/>
        <w:rPr>
          <w:color w:val="000000"/>
          <w:sz w:val="24"/>
        </w:rPr>
      </w:pPr>
      <w:r>
        <w:rPr>
          <w:rFonts w:hint="eastAsia"/>
          <w:color w:val="000000"/>
          <w:sz w:val="24"/>
        </w:rPr>
        <w:t>本基金对以公允价值进行后续计量的金融资产与金融负债根据对计量整体具有重大意义的最低层次的输入值确定公允价值计量层次。公允价值计量层次可分为：</w:t>
      </w:r>
    </w:p>
    <w:p w:rsidR="00A57986" w:rsidRDefault="00701A6B">
      <w:pPr>
        <w:spacing w:before="29" w:line="288" w:lineRule="auto"/>
        <w:rPr>
          <w:color w:val="000000"/>
          <w:sz w:val="24"/>
        </w:rPr>
      </w:pPr>
      <w:r>
        <w:rPr>
          <w:rFonts w:hint="eastAsia"/>
          <w:color w:val="000000"/>
          <w:sz w:val="24"/>
        </w:rPr>
        <w:t>第一层次输入值是在计量日能够取得的相同资产或负债在活跃市场上未经调整的报价；</w:t>
      </w:r>
    </w:p>
    <w:p w:rsidR="00A57986" w:rsidRDefault="00701A6B">
      <w:pPr>
        <w:spacing w:before="29" w:line="288" w:lineRule="auto"/>
        <w:rPr>
          <w:color w:val="000000"/>
          <w:sz w:val="24"/>
        </w:rPr>
      </w:pPr>
      <w:r>
        <w:rPr>
          <w:rFonts w:hint="eastAsia"/>
          <w:color w:val="000000"/>
          <w:sz w:val="24"/>
        </w:rPr>
        <w:t>第二层次输入值是除第一层次输入值外相关资产或负债直接或间接可观察的输入值；</w:t>
      </w:r>
    </w:p>
    <w:p w:rsidR="00A57986" w:rsidRDefault="00701A6B">
      <w:pPr>
        <w:spacing w:before="29" w:line="288" w:lineRule="auto"/>
        <w:rPr>
          <w:color w:val="000000"/>
          <w:sz w:val="24"/>
        </w:rPr>
      </w:pPr>
      <w:r>
        <w:rPr>
          <w:rFonts w:hint="eastAsia"/>
          <w:color w:val="000000"/>
          <w:sz w:val="24"/>
        </w:rPr>
        <w:t>第三层次输入值是相关资产或负债的不可观察输入值。</w:t>
      </w:r>
    </w:p>
    <w:p w:rsidR="00A57986" w:rsidRDefault="00701A6B">
      <w:pPr>
        <w:spacing w:before="29" w:line="288" w:lineRule="auto"/>
        <w:rPr>
          <w:color w:val="000000"/>
          <w:sz w:val="24"/>
        </w:rPr>
      </w:pPr>
      <w:r>
        <w:rPr>
          <w:rFonts w:hint="eastAsia"/>
          <w:color w:val="000000"/>
          <w:sz w:val="24"/>
        </w:rPr>
        <w:t xml:space="preserve">(ii) </w:t>
      </w:r>
      <w:r>
        <w:rPr>
          <w:rFonts w:hint="eastAsia"/>
          <w:color w:val="000000"/>
          <w:sz w:val="24"/>
        </w:rPr>
        <w:t>各层次金融工具公允价值</w:t>
      </w:r>
    </w:p>
    <w:p w:rsidR="00A57986" w:rsidRDefault="00701A6B">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日，本基金持有的以公允价值计量且其变动计入当期损益的金融工具中属于第二层次的余额为</w:t>
      </w:r>
      <w:r>
        <w:rPr>
          <w:rFonts w:hint="eastAsia"/>
          <w:color w:val="000000"/>
          <w:sz w:val="24"/>
        </w:rPr>
        <w:t xml:space="preserve">429,112,400.00 </w:t>
      </w:r>
      <w:r>
        <w:rPr>
          <w:rFonts w:hint="eastAsia"/>
          <w:color w:val="000000"/>
          <w:sz w:val="24"/>
        </w:rPr>
        <w:t>元，无属于第一层次和第三层次的余额（</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3,000,704,764.61</w:t>
      </w:r>
      <w:r>
        <w:rPr>
          <w:rFonts w:hint="eastAsia"/>
          <w:color w:val="000000"/>
          <w:sz w:val="24"/>
        </w:rPr>
        <w:t>元，无属于第一层次和第三层次的余额</w:t>
      </w:r>
      <w:r>
        <w:rPr>
          <w:rFonts w:hint="eastAsia"/>
          <w:color w:val="000000"/>
          <w:sz w:val="24"/>
        </w:rPr>
        <w:t>)</w:t>
      </w:r>
      <w:r>
        <w:rPr>
          <w:rFonts w:hint="eastAsia"/>
          <w:color w:val="000000"/>
          <w:sz w:val="24"/>
        </w:rPr>
        <w:t>。</w:t>
      </w:r>
    </w:p>
    <w:p w:rsidR="00A57986" w:rsidRDefault="00701A6B">
      <w:pPr>
        <w:spacing w:before="29" w:line="288" w:lineRule="auto"/>
        <w:rPr>
          <w:color w:val="000000"/>
          <w:sz w:val="24"/>
        </w:rPr>
      </w:pPr>
      <w:r>
        <w:rPr>
          <w:rFonts w:hint="eastAsia"/>
          <w:color w:val="000000"/>
          <w:sz w:val="24"/>
        </w:rPr>
        <w:t>(iii)</w:t>
      </w:r>
      <w:r>
        <w:rPr>
          <w:rFonts w:hint="eastAsia"/>
          <w:color w:val="000000"/>
          <w:sz w:val="24"/>
        </w:rPr>
        <w:t>公允价值所属层次间的重大变动</w:t>
      </w:r>
    </w:p>
    <w:p w:rsidR="00A57986" w:rsidRDefault="00701A6B">
      <w:pPr>
        <w:spacing w:before="29" w:line="288" w:lineRule="auto"/>
        <w:rPr>
          <w:color w:val="000000"/>
          <w:sz w:val="24"/>
        </w:rPr>
      </w:pPr>
      <w:r>
        <w:rPr>
          <w:rFonts w:hint="eastAsia"/>
          <w:color w:val="000000"/>
          <w:sz w:val="24"/>
        </w:rPr>
        <w:t>对于证券交易所上市的股票和债券，若出现重大事项停牌、交易不活跃</w:t>
      </w:r>
      <w:r>
        <w:rPr>
          <w:rFonts w:hint="eastAsia"/>
          <w:color w:val="000000"/>
          <w:sz w:val="24"/>
        </w:rPr>
        <w:t>(</w:t>
      </w:r>
      <w:r>
        <w:rPr>
          <w:rFonts w:hint="eastAsia"/>
          <w:color w:val="000000"/>
          <w:sz w:val="24"/>
        </w:rPr>
        <w:t>包括涨跌停时的交易不活跃</w:t>
      </w:r>
      <w:r>
        <w:rPr>
          <w:rFonts w:hint="eastAsia"/>
          <w:color w:val="000000"/>
          <w:sz w:val="24"/>
        </w:rPr>
        <w:t>)</w:t>
      </w:r>
      <w:r>
        <w:rPr>
          <w:rFonts w:hint="eastAsia"/>
          <w:color w:val="00000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A57986" w:rsidRDefault="00701A6B">
      <w:pPr>
        <w:spacing w:before="29" w:line="288" w:lineRule="auto"/>
        <w:rPr>
          <w:color w:val="000000"/>
          <w:sz w:val="24"/>
        </w:rPr>
      </w:pPr>
      <w:r>
        <w:rPr>
          <w:rFonts w:hint="eastAsia"/>
          <w:color w:val="000000"/>
          <w:sz w:val="24"/>
        </w:rPr>
        <w:t xml:space="preserve">(iv) </w:t>
      </w:r>
      <w:r>
        <w:rPr>
          <w:rFonts w:hint="eastAsia"/>
          <w:color w:val="000000"/>
          <w:sz w:val="24"/>
        </w:rPr>
        <w:t>第三层次公允价值余额和本期变动金额</w:t>
      </w:r>
    </w:p>
    <w:p w:rsidR="00A57986" w:rsidRDefault="00701A6B">
      <w:pPr>
        <w:spacing w:before="29" w:line="288" w:lineRule="auto"/>
        <w:rPr>
          <w:color w:val="000000"/>
          <w:sz w:val="24"/>
        </w:rPr>
      </w:pPr>
      <w:r>
        <w:rPr>
          <w:rFonts w:hint="eastAsia"/>
          <w:color w:val="000000"/>
          <w:sz w:val="24"/>
        </w:rPr>
        <w:t>无。</w:t>
      </w:r>
    </w:p>
    <w:p w:rsidR="006D141C" w:rsidRDefault="006D141C" w:rsidP="000A3DDA">
      <w:pPr>
        <w:spacing w:before="29" w:line="288" w:lineRule="auto"/>
        <w:rPr>
          <w:color w:val="000000"/>
          <w:sz w:val="24"/>
        </w:rPr>
      </w:pPr>
      <w:r w:rsidRPr="000A3DDA">
        <w:rPr>
          <w:rFonts w:hint="eastAsia"/>
          <w:color w:val="000000"/>
          <w:sz w:val="24"/>
        </w:rPr>
        <w:t xml:space="preserve">(2) </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429,050,640.58</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32.86</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429,050,640.58</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32.86</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518,987,418.49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39.75</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353,901,128.30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27.11</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3,669,828.66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0.28</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1,305,609,016.03</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1.70</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0.01</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42</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59</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10</w:t>
            </w:r>
          </w:p>
        </w:tc>
      </w:tr>
    </w:tbl>
    <w:p w:rsidR="00F15C96" w:rsidRPr="005124D4" w:rsidRDefault="004F7EBF" w:rsidP="005124D4">
      <w:pPr>
        <w:spacing w:before="29" w:line="288" w:lineRule="auto"/>
        <w:jc w:val="left"/>
        <w:rPr>
          <w:kern w:val="0"/>
          <w:sz w:val="24"/>
        </w:rPr>
      </w:pPr>
      <w:r w:rsidRPr="005124D4">
        <w:rPr>
          <w:rFonts w:hint="eastAsia"/>
          <w:kern w:val="0"/>
          <w:sz w:val="24"/>
        </w:rPr>
        <w:t>注：上述“报告期内投资组合平均剩余期限最高值”发生在</w:t>
      </w:r>
      <w:r w:rsidRPr="005124D4">
        <w:rPr>
          <w:rFonts w:hint="eastAsia"/>
          <w:kern w:val="0"/>
          <w:sz w:val="24"/>
        </w:rPr>
        <w:t>2018</w:t>
      </w:r>
      <w:r w:rsidRPr="005124D4">
        <w:rPr>
          <w:rFonts w:hint="eastAsia"/>
          <w:kern w:val="0"/>
          <w:sz w:val="24"/>
        </w:rPr>
        <w:t>年</w:t>
      </w:r>
      <w:r w:rsidRPr="005124D4">
        <w:rPr>
          <w:rFonts w:hint="eastAsia"/>
          <w:kern w:val="0"/>
          <w:sz w:val="24"/>
        </w:rPr>
        <w:t>3</w:t>
      </w:r>
      <w:r w:rsidRPr="005124D4">
        <w:rPr>
          <w:rFonts w:hint="eastAsia"/>
          <w:kern w:val="0"/>
          <w:sz w:val="24"/>
        </w:rPr>
        <w:t>月。</w:t>
      </w:r>
    </w:p>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本基金本报告期内投资组合平均剩余期限未超过</w:t>
      </w:r>
      <w:r w:rsidRPr="00157CB3">
        <w:rPr>
          <w:kern w:val="0"/>
          <w:sz w:val="24"/>
        </w:rPr>
        <w:t>120</w:t>
      </w:r>
      <w:r w:rsidRPr="00157CB3">
        <w:rPr>
          <w:kern w:val="0"/>
          <w:sz w:val="24"/>
        </w:rPr>
        <w:t>天。</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44.62</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6.13</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49.18</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0.08</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100.01</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w:t>
            </w:r>
          </w:p>
        </w:tc>
      </w:tr>
    </w:tbl>
    <w:p w:rsidR="00157CB3" w:rsidRPr="005124D4" w:rsidRDefault="00157CB3" w:rsidP="005124D4">
      <w:pPr>
        <w:spacing w:before="29" w:line="288" w:lineRule="auto"/>
        <w:jc w:val="left"/>
        <w:rPr>
          <w:kern w:val="0"/>
          <w:sz w:val="24"/>
        </w:rPr>
      </w:pPr>
    </w:p>
    <w:p w:rsidR="00157CB3" w:rsidRPr="00157CB3" w:rsidRDefault="00157CB3" w:rsidP="00F360A0">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19,967,318.41</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1.53</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61,047,866.69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4.69</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61,047,866.69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4.69</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348,035,455.48</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26.73</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429,050,640.58</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32.96</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A57986">
        <w:tc>
          <w:tcPr>
            <w:tcW w:w="1493" w:type="dxa"/>
            <w:vAlign w:val="center"/>
          </w:tcPr>
          <w:p w:rsidR="00A57986" w:rsidRDefault="00701A6B">
            <w:pPr>
              <w:jc w:val="center"/>
            </w:pPr>
            <w:r>
              <w:rPr>
                <w:rFonts w:hint="eastAsia"/>
                <w:sz w:val="24"/>
              </w:rPr>
              <w:t>1</w:t>
            </w:r>
          </w:p>
        </w:tc>
        <w:tc>
          <w:tcPr>
            <w:tcW w:w="1493" w:type="dxa"/>
            <w:vAlign w:val="center"/>
          </w:tcPr>
          <w:p w:rsidR="00A57986" w:rsidRDefault="00701A6B">
            <w:pPr>
              <w:jc w:val="center"/>
            </w:pPr>
            <w:r>
              <w:rPr>
                <w:rFonts w:hint="eastAsia"/>
                <w:sz w:val="24"/>
              </w:rPr>
              <w:t>111821358</w:t>
            </w:r>
          </w:p>
        </w:tc>
        <w:tc>
          <w:tcPr>
            <w:tcW w:w="1503" w:type="dxa"/>
            <w:vAlign w:val="center"/>
          </w:tcPr>
          <w:p w:rsidR="00A57986" w:rsidRDefault="00701A6B">
            <w:pPr>
              <w:jc w:val="center"/>
            </w:pPr>
            <w:r>
              <w:rPr>
                <w:rFonts w:hint="eastAsia"/>
                <w:sz w:val="24"/>
              </w:rPr>
              <w:t>18</w:t>
            </w:r>
            <w:r>
              <w:rPr>
                <w:rFonts w:hint="eastAsia"/>
                <w:sz w:val="24"/>
              </w:rPr>
              <w:t>渤海银行</w:t>
            </w:r>
            <w:r>
              <w:rPr>
                <w:rFonts w:hint="eastAsia"/>
                <w:sz w:val="24"/>
              </w:rPr>
              <w:t>CD358</w:t>
            </w:r>
          </w:p>
        </w:tc>
        <w:tc>
          <w:tcPr>
            <w:tcW w:w="1503" w:type="dxa"/>
            <w:vAlign w:val="center"/>
          </w:tcPr>
          <w:p w:rsidR="00A57986" w:rsidRDefault="00701A6B">
            <w:pPr>
              <w:jc w:val="center"/>
            </w:pPr>
            <w:r>
              <w:rPr>
                <w:rFonts w:hint="eastAsia"/>
                <w:sz w:val="24"/>
              </w:rPr>
              <w:t>500,000</w:t>
            </w:r>
          </w:p>
        </w:tc>
        <w:tc>
          <w:tcPr>
            <w:tcW w:w="1503" w:type="dxa"/>
            <w:vAlign w:val="center"/>
          </w:tcPr>
          <w:p w:rsidR="00A57986" w:rsidRDefault="00701A6B">
            <w:pPr>
              <w:jc w:val="center"/>
            </w:pPr>
            <w:r>
              <w:rPr>
                <w:rFonts w:hint="eastAsia"/>
                <w:sz w:val="24"/>
              </w:rPr>
              <w:t>49,743,499.92</w:t>
            </w:r>
          </w:p>
        </w:tc>
        <w:tc>
          <w:tcPr>
            <w:tcW w:w="1503" w:type="dxa"/>
            <w:vAlign w:val="center"/>
          </w:tcPr>
          <w:p w:rsidR="00A57986" w:rsidRDefault="00701A6B">
            <w:pPr>
              <w:jc w:val="center"/>
            </w:pPr>
            <w:r>
              <w:rPr>
                <w:rFonts w:hint="eastAsia"/>
                <w:sz w:val="24"/>
              </w:rPr>
              <w:t>3.82</w:t>
            </w:r>
          </w:p>
        </w:tc>
      </w:tr>
      <w:tr w:rsidR="00A57986">
        <w:tc>
          <w:tcPr>
            <w:tcW w:w="1493" w:type="dxa"/>
            <w:vAlign w:val="center"/>
          </w:tcPr>
          <w:p w:rsidR="00A57986" w:rsidRDefault="00701A6B">
            <w:pPr>
              <w:jc w:val="center"/>
            </w:pPr>
            <w:r>
              <w:rPr>
                <w:rFonts w:hint="eastAsia"/>
                <w:sz w:val="24"/>
              </w:rPr>
              <w:t>2</w:t>
            </w:r>
          </w:p>
        </w:tc>
        <w:tc>
          <w:tcPr>
            <w:tcW w:w="1493" w:type="dxa"/>
            <w:vAlign w:val="center"/>
          </w:tcPr>
          <w:p w:rsidR="00A57986" w:rsidRDefault="00701A6B">
            <w:pPr>
              <w:jc w:val="center"/>
            </w:pPr>
            <w:r>
              <w:rPr>
                <w:rFonts w:hint="eastAsia"/>
                <w:sz w:val="24"/>
              </w:rPr>
              <w:t>111816367</w:t>
            </w:r>
          </w:p>
        </w:tc>
        <w:tc>
          <w:tcPr>
            <w:tcW w:w="1503" w:type="dxa"/>
            <w:vAlign w:val="center"/>
          </w:tcPr>
          <w:p w:rsidR="00A57986" w:rsidRDefault="00701A6B">
            <w:pPr>
              <w:jc w:val="center"/>
            </w:pPr>
            <w:r>
              <w:rPr>
                <w:rFonts w:hint="eastAsia"/>
                <w:sz w:val="24"/>
              </w:rPr>
              <w:t>18</w:t>
            </w:r>
            <w:r>
              <w:rPr>
                <w:rFonts w:hint="eastAsia"/>
                <w:sz w:val="24"/>
              </w:rPr>
              <w:t>上海银行</w:t>
            </w:r>
            <w:r>
              <w:rPr>
                <w:rFonts w:hint="eastAsia"/>
                <w:sz w:val="24"/>
              </w:rPr>
              <w:t>CD367</w:t>
            </w:r>
          </w:p>
        </w:tc>
        <w:tc>
          <w:tcPr>
            <w:tcW w:w="1503" w:type="dxa"/>
            <w:vAlign w:val="center"/>
          </w:tcPr>
          <w:p w:rsidR="00A57986" w:rsidRDefault="00701A6B">
            <w:pPr>
              <w:jc w:val="center"/>
            </w:pPr>
            <w:r>
              <w:rPr>
                <w:rFonts w:hint="eastAsia"/>
                <w:sz w:val="24"/>
              </w:rPr>
              <w:t>500,000</w:t>
            </w:r>
          </w:p>
        </w:tc>
        <w:tc>
          <w:tcPr>
            <w:tcW w:w="1503" w:type="dxa"/>
            <w:vAlign w:val="center"/>
          </w:tcPr>
          <w:p w:rsidR="00A57986" w:rsidRDefault="00701A6B">
            <w:pPr>
              <w:jc w:val="center"/>
            </w:pPr>
            <w:r>
              <w:rPr>
                <w:rFonts w:hint="eastAsia"/>
                <w:sz w:val="24"/>
              </w:rPr>
              <w:t>49,725,662.11</w:t>
            </w:r>
          </w:p>
        </w:tc>
        <w:tc>
          <w:tcPr>
            <w:tcW w:w="1503" w:type="dxa"/>
            <w:vAlign w:val="center"/>
          </w:tcPr>
          <w:p w:rsidR="00A57986" w:rsidRDefault="00701A6B">
            <w:pPr>
              <w:jc w:val="center"/>
            </w:pPr>
            <w:r>
              <w:rPr>
                <w:rFonts w:hint="eastAsia"/>
                <w:sz w:val="24"/>
              </w:rPr>
              <w:t>3.82</w:t>
            </w:r>
          </w:p>
        </w:tc>
      </w:tr>
      <w:tr w:rsidR="00A57986">
        <w:tc>
          <w:tcPr>
            <w:tcW w:w="1493" w:type="dxa"/>
            <w:vAlign w:val="center"/>
          </w:tcPr>
          <w:p w:rsidR="00A57986" w:rsidRDefault="00701A6B">
            <w:pPr>
              <w:jc w:val="center"/>
            </w:pPr>
            <w:r>
              <w:rPr>
                <w:rFonts w:hint="eastAsia"/>
                <w:sz w:val="24"/>
              </w:rPr>
              <w:t>3</w:t>
            </w:r>
          </w:p>
        </w:tc>
        <w:tc>
          <w:tcPr>
            <w:tcW w:w="1493" w:type="dxa"/>
            <w:vAlign w:val="center"/>
          </w:tcPr>
          <w:p w:rsidR="00A57986" w:rsidRDefault="00701A6B">
            <w:pPr>
              <w:jc w:val="center"/>
            </w:pPr>
            <w:r>
              <w:rPr>
                <w:rFonts w:hint="eastAsia"/>
                <w:sz w:val="24"/>
              </w:rPr>
              <w:t>111821370</w:t>
            </w:r>
          </w:p>
        </w:tc>
        <w:tc>
          <w:tcPr>
            <w:tcW w:w="1503" w:type="dxa"/>
            <w:vAlign w:val="center"/>
          </w:tcPr>
          <w:p w:rsidR="00A57986" w:rsidRDefault="00701A6B">
            <w:pPr>
              <w:jc w:val="center"/>
            </w:pPr>
            <w:r>
              <w:rPr>
                <w:rFonts w:hint="eastAsia"/>
                <w:sz w:val="24"/>
              </w:rPr>
              <w:t>18</w:t>
            </w:r>
            <w:r>
              <w:rPr>
                <w:rFonts w:hint="eastAsia"/>
                <w:sz w:val="24"/>
              </w:rPr>
              <w:t>渤海银行</w:t>
            </w:r>
            <w:r>
              <w:rPr>
                <w:rFonts w:hint="eastAsia"/>
                <w:sz w:val="24"/>
              </w:rPr>
              <w:t>CD370</w:t>
            </w:r>
          </w:p>
        </w:tc>
        <w:tc>
          <w:tcPr>
            <w:tcW w:w="1503" w:type="dxa"/>
            <w:vAlign w:val="center"/>
          </w:tcPr>
          <w:p w:rsidR="00A57986" w:rsidRDefault="00701A6B">
            <w:pPr>
              <w:jc w:val="center"/>
            </w:pPr>
            <w:r>
              <w:rPr>
                <w:rFonts w:hint="eastAsia"/>
                <w:sz w:val="24"/>
              </w:rPr>
              <w:t>500,000</w:t>
            </w:r>
          </w:p>
        </w:tc>
        <w:tc>
          <w:tcPr>
            <w:tcW w:w="1503" w:type="dxa"/>
            <w:vAlign w:val="center"/>
          </w:tcPr>
          <w:p w:rsidR="00A57986" w:rsidRDefault="00701A6B">
            <w:pPr>
              <w:jc w:val="center"/>
            </w:pPr>
            <w:r>
              <w:rPr>
                <w:rFonts w:hint="eastAsia"/>
                <w:sz w:val="24"/>
              </w:rPr>
              <w:t>49,714,406.04</w:t>
            </w:r>
          </w:p>
        </w:tc>
        <w:tc>
          <w:tcPr>
            <w:tcW w:w="1503" w:type="dxa"/>
            <w:vAlign w:val="center"/>
          </w:tcPr>
          <w:p w:rsidR="00A57986" w:rsidRDefault="00701A6B">
            <w:pPr>
              <w:jc w:val="center"/>
            </w:pPr>
            <w:r>
              <w:rPr>
                <w:rFonts w:hint="eastAsia"/>
                <w:sz w:val="24"/>
              </w:rPr>
              <w:t>3.82</w:t>
            </w:r>
          </w:p>
        </w:tc>
      </w:tr>
      <w:tr w:rsidR="00A57986">
        <w:tc>
          <w:tcPr>
            <w:tcW w:w="1493" w:type="dxa"/>
            <w:vAlign w:val="center"/>
          </w:tcPr>
          <w:p w:rsidR="00A57986" w:rsidRDefault="00701A6B">
            <w:pPr>
              <w:jc w:val="center"/>
            </w:pPr>
            <w:r>
              <w:rPr>
                <w:rFonts w:hint="eastAsia"/>
                <w:sz w:val="24"/>
              </w:rPr>
              <w:t>4</w:t>
            </w:r>
          </w:p>
        </w:tc>
        <w:tc>
          <w:tcPr>
            <w:tcW w:w="1493" w:type="dxa"/>
            <w:vAlign w:val="center"/>
          </w:tcPr>
          <w:p w:rsidR="00A57986" w:rsidRDefault="00701A6B">
            <w:pPr>
              <w:jc w:val="center"/>
            </w:pPr>
            <w:r>
              <w:rPr>
                <w:rFonts w:hint="eastAsia"/>
                <w:sz w:val="24"/>
              </w:rPr>
              <w:t>111884843</w:t>
            </w:r>
          </w:p>
        </w:tc>
        <w:tc>
          <w:tcPr>
            <w:tcW w:w="1503" w:type="dxa"/>
            <w:vAlign w:val="center"/>
          </w:tcPr>
          <w:p w:rsidR="00A57986" w:rsidRDefault="00701A6B">
            <w:pPr>
              <w:jc w:val="center"/>
            </w:pPr>
            <w:r>
              <w:rPr>
                <w:rFonts w:hint="eastAsia"/>
                <w:sz w:val="24"/>
              </w:rPr>
              <w:t>18</w:t>
            </w:r>
            <w:r>
              <w:rPr>
                <w:rFonts w:hint="eastAsia"/>
                <w:sz w:val="24"/>
              </w:rPr>
              <w:t>广州农村商业银行</w:t>
            </w:r>
            <w:r>
              <w:rPr>
                <w:rFonts w:hint="eastAsia"/>
                <w:sz w:val="24"/>
              </w:rPr>
              <w:t>CD059</w:t>
            </w:r>
          </w:p>
        </w:tc>
        <w:tc>
          <w:tcPr>
            <w:tcW w:w="1503" w:type="dxa"/>
            <w:vAlign w:val="center"/>
          </w:tcPr>
          <w:p w:rsidR="00A57986" w:rsidRDefault="00701A6B">
            <w:pPr>
              <w:jc w:val="center"/>
            </w:pPr>
            <w:r>
              <w:rPr>
                <w:rFonts w:hint="eastAsia"/>
                <w:sz w:val="24"/>
              </w:rPr>
              <w:t>500,000</w:t>
            </w:r>
          </w:p>
        </w:tc>
        <w:tc>
          <w:tcPr>
            <w:tcW w:w="1503" w:type="dxa"/>
            <w:vAlign w:val="center"/>
          </w:tcPr>
          <w:p w:rsidR="00A57986" w:rsidRDefault="00701A6B">
            <w:pPr>
              <w:jc w:val="center"/>
            </w:pPr>
            <w:r>
              <w:rPr>
                <w:rFonts w:hint="eastAsia"/>
                <w:sz w:val="24"/>
              </w:rPr>
              <w:t>49,695,594.98</w:t>
            </w:r>
          </w:p>
        </w:tc>
        <w:tc>
          <w:tcPr>
            <w:tcW w:w="1503" w:type="dxa"/>
            <w:vAlign w:val="center"/>
          </w:tcPr>
          <w:p w:rsidR="00A57986" w:rsidRDefault="00701A6B">
            <w:pPr>
              <w:jc w:val="center"/>
            </w:pPr>
            <w:r>
              <w:rPr>
                <w:rFonts w:hint="eastAsia"/>
                <w:sz w:val="24"/>
              </w:rPr>
              <w:t>3.82</w:t>
            </w:r>
          </w:p>
        </w:tc>
      </w:tr>
      <w:tr w:rsidR="00A57986">
        <w:tc>
          <w:tcPr>
            <w:tcW w:w="1493" w:type="dxa"/>
            <w:vAlign w:val="center"/>
          </w:tcPr>
          <w:p w:rsidR="00A57986" w:rsidRDefault="00701A6B">
            <w:pPr>
              <w:jc w:val="center"/>
            </w:pPr>
            <w:r>
              <w:rPr>
                <w:rFonts w:hint="eastAsia"/>
                <w:sz w:val="24"/>
              </w:rPr>
              <w:t>5</w:t>
            </w:r>
          </w:p>
        </w:tc>
        <w:tc>
          <w:tcPr>
            <w:tcW w:w="1493" w:type="dxa"/>
            <w:vAlign w:val="center"/>
          </w:tcPr>
          <w:p w:rsidR="00A57986" w:rsidRDefault="00701A6B">
            <w:pPr>
              <w:jc w:val="center"/>
            </w:pPr>
            <w:r>
              <w:rPr>
                <w:rFonts w:hint="eastAsia"/>
                <w:sz w:val="24"/>
              </w:rPr>
              <w:t>180201</w:t>
            </w:r>
          </w:p>
        </w:tc>
        <w:tc>
          <w:tcPr>
            <w:tcW w:w="1503" w:type="dxa"/>
            <w:vAlign w:val="center"/>
          </w:tcPr>
          <w:p w:rsidR="00A57986" w:rsidRDefault="00701A6B">
            <w:pPr>
              <w:jc w:val="center"/>
            </w:pPr>
            <w:r>
              <w:rPr>
                <w:rFonts w:hint="eastAsia"/>
                <w:sz w:val="24"/>
              </w:rPr>
              <w:t>18</w:t>
            </w:r>
            <w:r>
              <w:rPr>
                <w:rFonts w:hint="eastAsia"/>
                <w:sz w:val="24"/>
              </w:rPr>
              <w:t>国开</w:t>
            </w:r>
            <w:r>
              <w:rPr>
                <w:rFonts w:hint="eastAsia"/>
                <w:sz w:val="24"/>
              </w:rPr>
              <w:t>01</w:t>
            </w:r>
          </w:p>
        </w:tc>
        <w:tc>
          <w:tcPr>
            <w:tcW w:w="1503" w:type="dxa"/>
            <w:vAlign w:val="center"/>
          </w:tcPr>
          <w:p w:rsidR="00A57986" w:rsidRDefault="00701A6B">
            <w:pPr>
              <w:jc w:val="center"/>
            </w:pPr>
            <w:r>
              <w:rPr>
                <w:rFonts w:hint="eastAsia"/>
                <w:sz w:val="24"/>
              </w:rPr>
              <w:t>300,000</w:t>
            </w:r>
          </w:p>
        </w:tc>
        <w:tc>
          <w:tcPr>
            <w:tcW w:w="1503" w:type="dxa"/>
            <w:vAlign w:val="center"/>
          </w:tcPr>
          <w:p w:rsidR="00A57986" w:rsidRDefault="00701A6B">
            <w:pPr>
              <w:jc w:val="center"/>
            </w:pPr>
            <w:r>
              <w:rPr>
                <w:rFonts w:hint="eastAsia"/>
                <w:sz w:val="24"/>
              </w:rPr>
              <w:t>30,040,681.53</w:t>
            </w:r>
          </w:p>
        </w:tc>
        <w:tc>
          <w:tcPr>
            <w:tcW w:w="1503" w:type="dxa"/>
            <w:vAlign w:val="center"/>
          </w:tcPr>
          <w:p w:rsidR="00A57986" w:rsidRDefault="00701A6B">
            <w:pPr>
              <w:jc w:val="center"/>
            </w:pPr>
            <w:r>
              <w:rPr>
                <w:rFonts w:hint="eastAsia"/>
                <w:sz w:val="24"/>
              </w:rPr>
              <w:t>2.31</w:t>
            </w:r>
          </w:p>
        </w:tc>
      </w:tr>
      <w:tr w:rsidR="00A57986">
        <w:tc>
          <w:tcPr>
            <w:tcW w:w="1493" w:type="dxa"/>
            <w:vAlign w:val="center"/>
          </w:tcPr>
          <w:p w:rsidR="00A57986" w:rsidRDefault="00701A6B">
            <w:pPr>
              <w:jc w:val="center"/>
            </w:pPr>
            <w:r>
              <w:rPr>
                <w:rFonts w:hint="eastAsia"/>
                <w:sz w:val="24"/>
              </w:rPr>
              <w:t>6</w:t>
            </w:r>
          </w:p>
        </w:tc>
        <w:tc>
          <w:tcPr>
            <w:tcW w:w="1493" w:type="dxa"/>
            <w:vAlign w:val="center"/>
          </w:tcPr>
          <w:p w:rsidR="00A57986" w:rsidRDefault="00701A6B">
            <w:pPr>
              <w:jc w:val="center"/>
            </w:pPr>
            <w:r>
              <w:rPr>
                <w:rFonts w:hint="eastAsia"/>
                <w:sz w:val="24"/>
              </w:rPr>
              <w:t>111870579</w:t>
            </w:r>
          </w:p>
        </w:tc>
        <w:tc>
          <w:tcPr>
            <w:tcW w:w="1503" w:type="dxa"/>
            <w:vAlign w:val="center"/>
          </w:tcPr>
          <w:p w:rsidR="00A57986" w:rsidRDefault="00701A6B">
            <w:pPr>
              <w:jc w:val="center"/>
            </w:pPr>
            <w:r>
              <w:rPr>
                <w:rFonts w:hint="eastAsia"/>
                <w:sz w:val="24"/>
              </w:rPr>
              <w:t>18</w:t>
            </w:r>
            <w:r>
              <w:rPr>
                <w:rFonts w:hint="eastAsia"/>
                <w:sz w:val="24"/>
              </w:rPr>
              <w:t>厦门国际银行</w:t>
            </w:r>
            <w:r>
              <w:rPr>
                <w:rFonts w:hint="eastAsia"/>
                <w:sz w:val="24"/>
              </w:rPr>
              <w:t>CD278</w:t>
            </w:r>
          </w:p>
        </w:tc>
        <w:tc>
          <w:tcPr>
            <w:tcW w:w="1503" w:type="dxa"/>
            <w:vAlign w:val="center"/>
          </w:tcPr>
          <w:p w:rsidR="00A57986" w:rsidRDefault="00701A6B">
            <w:pPr>
              <w:jc w:val="center"/>
            </w:pPr>
            <w:r>
              <w:rPr>
                <w:rFonts w:hint="eastAsia"/>
                <w:sz w:val="24"/>
              </w:rPr>
              <w:t>300,000</w:t>
            </w:r>
          </w:p>
        </w:tc>
        <w:tc>
          <w:tcPr>
            <w:tcW w:w="1503" w:type="dxa"/>
            <w:vAlign w:val="center"/>
          </w:tcPr>
          <w:p w:rsidR="00A57986" w:rsidRDefault="00701A6B">
            <w:pPr>
              <w:jc w:val="center"/>
            </w:pPr>
            <w:r>
              <w:rPr>
                <w:rFonts w:hint="eastAsia"/>
                <w:sz w:val="24"/>
              </w:rPr>
              <w:t>29,835,496.10</w:t>
            </w:r>
          </w:p>
        </w:tc>
        <w:tc>
          <w:tcPr>
            <w:tcW w:w="1503" w:type="dxa"/>
            <w:vAlign w:val="center"/>
          </w:tcPr>
          <w:p w:rsidR="00A57986" w:rsidRDefault="00701A6B">
            <w:pPr>
              <w:jc w:val="center"/>
            </w:pPr>
            <w:r>
              <w:rPr>
                <w:rFonts w:hint="eastAsia"/>
                <w:sz w:val="24"/>
              </w:rPr>
              <w:t>2.29</w:t>
            </w:r>
          </w:p>
        </w:tc>
      </w:tr>
      <w:tr w:rsidR="00A57986">
        <w:tc>
          <w:tcPr>
            <w:tcW w:w="1493" w:type="dxa"/>
            <w:vAlign w:val="center"/>
          </w:tcPr>
          <w:p w:rsidR="00A57986" w:rsidRDefault="00701A6B">
            <w:pPr>
              <w:jc w:val="center"/>
            </w:pPr>
            <w:r>
              <w:rPr>
                <w:rFonts w:hint="eastAsia"/>
                <w:sz w:val="24"/>
              </w:rPr>
              <w:t>7</w:t>
            </w:r>
          </w:p>
        </w:tc>
        <w:tc>
          <w:tcPr>
            <w:tcW w:w="1493" w:type="dxa"/>
            <w:vAlign w:val="center"/>
          </w:tcPr>
          <w:p w:rsidR="00A57986" w:rsidRDefault="00701A6B">
            <w:pPr>
              <w:jc w:val="center"/>
            </w:pPr>
            <w:r>
              <w:rPr>
                <w:rFonts w:hint="eastAsia"/>
                <w:sz w:val="24"/>
              </w:rPr>
              <w:t>111870664</w:t>
            </w:r>
          </w:p>
        </w:tc>
        <w:tc>
          <w:tcPr>
            <w:tcW w:w="1503" w:type="dxa"/>
            <w:vAlign w:val="center"/>
          </w:tcPr>
          <w:p w:rsidR="00A57986" w:rsidRDefault="00701A6B">
            <w:pPr>
              <w:jc w:val="center"/>
            </w:pPr>
            <w:r>
              <w:rPr>
                <w:rFonts w:hint="eastAsia"/>
                <w:sz w:val="24"/>
              </w:rPr>
              <w:t>18</w:t>
            </w:r>
            <w:r>
              <w:rPr>
                <w:rFonts w:hint="eastAsia"/>
                <w:sz w:val="24"/>
              </w:rPr>
              <w:t>成都银行</w:t>
            </w:r>
            <w:r>
              <w:rPr>
                <w:rFonts w:hint="eastAsia"/>
                <w:sz w:val="24"/>
              </w:rPr>
              <w:t>CD285</w:t>
            </w:r>
          </w:p>
        </w:tc>
        <w:tc>
          <w:tcPr>
            <w:tcW w:w="1503" w:type="dxa"/>
            <w:vAlign w:val="center"/>
          </w:tcPr>
          <w:p w:rsidR="00A57986" w:rsidRDefault="00701A6B">
            <w:pPr>
              <w:jc w:val="center"/>
            </w:pPr>
            <w:r>
              <w:rPr>
                <w:rFonts w:hint="eastAsia"/>
                <w:sz w:val="24"/>
              </w:rPr>
              <w:t>300,000</w:t>
            </w:r>
          </w:p>
        </w:tc>
        <w:tc>
          <w:tcPr>
            <w:tcW w:w="1503" w:type="dxa"/>
            <w:vAlign w:val="center"/>
          </w:tcPr>
          <w:p w:rsidR="00A57986" w:rsidRDefault="00701A6B">
            <w:pPr>
              <w:jc w:val="center"/>
            </w:pPr>
            <w:r>
              <w:rPr>
                <w:rFonts w:hint="eastAsia"/>
                <w:sz w:val="24"/>
              </w:rPr>
              <w:t>29,835,397.26</w:t>
            </w:r>
          </w:p>
        </w:tc>
        <w:tc>
          <w:tcPr>
            <w:tcW w:w="1503" w:type="dxa"/>
            <w:vAlign w:val="center"/>
          </w:tcPr>
          <w:p w:rsidR="00A57986" w:rsidRDefault="00701A6B">
            <w:pPr>
              <w:jc w:val="center"/>
            </w:pPr>
            <w:r>
              <w:rPr>
                <w:rFonts w:hint="eastAsia"/>
                <w:sz w:val="24"/>
              </w:rPr>
              <w:t>2.29</w:t>
            </w:r>
          </w:p>
        </w:tc>
      </w:tr>
      <w:tr w:rsidR="00A57986">
        <w:tc>
          <w:tcPr>
            <w:tcW w:w="1493" w:type="dxa"/>
            <w:vAlign w:val="center"/>
          </w:tcPr>
          <w:p w:rsidR="00A57986" w:rsidRDefault="00701A6B">
            <w:pPr>
              <w:jc w:val="center"/>
            </w:pPr>
            <w:r>
              <w:rPr>
                <w:rFonts w:hint="eastAsia"/>
                <w:sz w:val="24"/>
              </w:rPr>
              <w:t>8</w:t>
            </w:r>
          </w:p>
        </w:tc>
        <w:tc>
          <w:tcPr>
            <w:tcW w:w="1493" w:type="dxa"/>
            <w:vAlign w:val="center"/>
          </w:tcPr>
          <w:p w:rsidR="00A57986" w:rsidRDefault="00701A6B">
            <w:pPr>
              <w:jc w:val="center"/>
            </w:pPr>
            <w:r>
              <w:rPr>
                <w:rFonts w:hint="eastAsia"/>
                <w:sz w:val="24"/>
              </w:rPr>
              <w:t>111870661</w:t>
            </w:r>
          </w:p>
        </w:tc>
        <w:tc>
          <w:tcPr>
            <w:tcW w:w="1503" w:type="dxa"/>
            <w:vAlign w:val="center"/>
          </w:tcPr>
          <w:p w:rsidR="00A57986" w:rsidRDefault="00701A6B">
            <w:pPr>
              <w:jc w:val="center"/>
            </w:pPr>
            <w:r>
              <w:rPr>
                <w:rFonts w:hint="eastAsia"/>
                <w:sz w:val="24"/>
              </w:rPr>
              <w:t>18</w:t>
            </w:r>
            <w:r>
              <w:rPr>
                <w:rFonts w:hint="eastAsia"/>
                <w:sz w:val="24"/>
              </w:rPr>
              <w:t>东莞农村商业银行</w:t>
            </w:r>
            <w:r>
              <w:rPr>
                <w:rFonts w:hint="eastAsia"/>
                <w:sz w:val="24"/>
              </w:rPr>
              <w:t>CD127</w:t>
            </w:r>
          </w:p>
        </w:tc>
        <w:tc>
          <w:tcPr>
            <w:tcW w:w="1503" w:type="dxa"/>
            <w:vAlign w:val="center"/>
          </w:tcPr>
          <w:p w:rsidR="00A57986" w:rsidRDefault="00701A6B">
            <w:pPr>
              <w:jc w:val="center"/>
            </w:pPr>
            <w:r>
              <w:rPr>
                <w:rFonts w:hint="eastAsia"/>
                <w:sz w:val="24"/>
              </w:rPr>
              <w:t>300,000</w:t>
            </w:r>
          </w:p>
        </w:tc>
        <w:tc>
          <w:tcPr>
            <w:tcW w:w="1503" w:type="dxa"/>
            <w:vAlign w:val="center"/>
          </w:tcPr>
          <w:p w:rsidR="00A57986" w:rsidRDefault="00701A6B">
            <w:pPr>
              <w:jc w:val="center"/>
            </w:pPr>
            <w:r>
              <w:rPr>
                <w:rFonts w:hint="eastAsia"/>
                <w:sz w:val="24"/>
              </w:rPr>
              <w:t>29,832,850.22</w:t>
            </w:r>
          </w:p>
        </w:tc>
        <w:tc>
          <w:tcPr>
            <w:tcW w:w="1503" w:type="dxa"/>
            <w:vAlign w:val="center"/>
          </w:tcPr>
          <w:p w:rsidR="00A57986" w:rsidRDefault="00701A6B">
            <w:pPr>
              <w:jc w:val="center"/>
            </w:pPr>
            <w:r>
              <w:rPr>
                <w:rFonts w:hint="eastAsia"/>
                <w:sz w:val="24"/>
              </w:rPr>
              <w:t>2.29</w:t>
            </w:r>
          </w:p>
        </w:tc>
      </w:tr>
      <w:tr w:rsidR="00A57986">
        <w:tc>
          <w:tcPr>
            <w:tcW w:w="1493" w:type="dxa"/>
            <w:vAlign w:val="center"/>
          </w:tcPr>
          <w:p w:rsidR="00A57986" w:rsidRDefault="00701A6B">
            <w:pPr>
              <w:jc w:val="center"/>
            </w:pPr>
            <w:r>
              <w:rPr>
                <w:rFonts w:hint="eastAsia"/>
                <w:sz w:val="24"/>
              </w:rPr>
              <w:t>9</w:t>
            </w:r>
          </w:p>
        </w:tc>
        <w:tc>
          <w:tcPr>
            <w:tcW w:w="1493" w:type="dxa"/>
            <w:vAlign w:val="center"/>
          </w:tcPr>
          <w:p w:rsidR="00A57986" w:rsidRDefault="00701A6B">
            <w:pPr>
              <w:jc w:val="center"/>
            </w:pPr>
            <w:r>
              <w:rPr>
                <w:rFonts w:hint="eastAsia"/>
                <w:sz w:val="24"/>
              </w:rPr>
              <w:t>111870763</w:t>
            </w:r>
          </w:p>
        </w:tc>
        <w:tc>
          <w:tcPr>
            <w:tcW w:w="1503" w:type="dxa"/>
            <w:vAlign w:val="center"/>
          </w:tcPr>
          <w:p w:rsidR="00A57986" w:rsidRDefault="00701A6B">
            <w:pPr>
              <w:jc w:val="center"/>
            </w:pPr>
            <w:r>
              <w:rPr>
                <w:rFonts w:hint="eastAsia"/>
                <w:sz w:val="24"/>
              </w:rPr>
              <w:t>18</w:t>
            </w:r>
            <w:r>
              <w:rPr>
                <w:rFonts w:hint="eastAsia"/>
                <w:sz w:val="24"/>
              </w:rPr>
              <w:t>盛京银行</w:t>
            </w:r>
            <w:r>
              <w:rPr>
                <w:rFonts w:hint="eastAsia"/>
                <w:sz w:val="24"/>
              </w:rPr>
              <w:t>CD545</w:t>
            </w:r>
          </w:p>
        </w:tc>
        <w:tc>
          <w:tcPr>
            <w:tcW w:w="1503" w:type="dxa"/>
            <w:vAlign w:val="center"/>
          </w:tcPr>
          <w:p w:rsidR="00A57986" w:rsidRDefault="00701A6B">
            <w:pPr>
              <w:jc w:val="center"/>
            </w:pPr>
            <w:r>
              <w:rPr>
                <w:rFonts w:hint="eastAsia"/>
                <w:sz w:val="24"/>
              </w:rPr>
              <w:t>300,000</w:t>
            </w:r>
          </w:p>
        </w:tc>
        <w:tc>
          <w:tcPr>
            <w:tcW w:w="1503" w:type="dxa"/>
            <w:vAlign w:val="center"/>
          </w:tcPr>
          <w:p w:rsidR="00A57986" w:rsidRDefault="00701A6B">
            <w:pPr>
              <w:jc w:val="center"/>
            </w:pPr>
            <w:r>
              <w:rPr>
                <w:rFonts w:hint="eastAsia"/>
                <w:sz w:val="24"/>
              </w:rPr>
              <w:t>29,827,617.23</w:t>
            </w:r>
          </w:p>
        </w:tc>
        <w:tc>
          <w:tcPr>
            <w:tcW w:w="1503" w:type="dxa"/>
            <w:vAlign w:val="center"/>
          </w:tcPr>
          <w:p w:rsidR="00A57986" w:rsidRDefault="00701A6B">
            <w:pPr>
              <w:jc w:val="center"/>
            </w:pPr>
            <w:r>
              <w:rPr>
                <w:rFonts w:hint="eastAsia"/>
                <w:sz w:val="24"/>
              </w:rPr>
              <w:t>2.29</w:t>
            </w:r>
          </w:p>
        </w:tc>
      </w:tr>
      <w:tr w:rsidR="00A57986">
        <w:tc>
          <w:tcPr>
            <w:tcW w:w="1493" w:type="dxa"/>
            <w:vAlign w:val="center"/>
          </w:tcPr>
          <w:p w:rsidR="00A57986" w:rsidRDefault="00701A6B">
            <w:pPr>
              <w:jc w:val="center"/>
            </w:pPr>
            <w:r>
              <w:rPr>
                <w:rFonts w:hint="eastAsia"/>
                <w:sz w:val="24"/>
              </w:rPr>
              <w:t>10</w:t>
            </w:r>
          </w:p>
        </w:tc>
        <w:tc>
          <w:tcPr>
            <w:tcW w:w="1493" w:type="dxa"/>
            <w:vAlign w:val="center"/>
          </w:tcPr>
          <w:p w:rsidR="00A57986" w:rsidRDefault="00701A6B">
            <w:pPr>
              <w:jc w:val="center"/>
            </w:pPr>
            <w:r>
              <w:rPr>
                <w:rFonts w:hint="eastAsia"/>
                <w:sz w:val="24"/>
              </w:rPr>
              <w:t>111870894</w:t>
            </w:r>
          </w:p>
        </w:tc>
        <w:tc>
          <w:tcPr>
            <w:tcW w:w="1503" w:type="dxa"/>
            <w:vAlign w:val="center"/>
          </w:tcPr>
          <w:p w:rsidR="00A57986" w:rsidRDefault="00701A6B">
            <w:pPr>
              <w:jc w:val="center"/>
            </w:pPr>
            <w:r>
              <w:rPr>
                <w:rFonts w:hint="eastAsia"/>
                <w:sz w:val="24"/>
              </w:rPr>
              <w:t>18</w:t>
            </w:r>
            <w:r>
              <w:rPr>
                <w:rFonts w:hint="eastAsia"/>
                <w:sz w:val="24"/>
              </w:rPr>
              <w:t>锦州银行</w:t>
            </w:r>
            <w:r>
              <w:rPr>
                <w:rFonts w:hint="eastAsia"/>
                <w:sz w:val="24"/>
              </w:rPr>
              <w:t>CD289</w:t>
            </w:r>
          </w:p>
        </w:tc>
        <w:tc>
          <w:tcPr>
            <w:tcW w:w="1503" w:type="dxa"/>
            <w:vAlign w:val="center"/>
          </w:tcPr>
          <w:p w:rsidR="00A57986" w:rsidRDefault="00701A6B">
            <w:pPr>
              <w:jc w:val="center"/>
            </w:pPr>
            <w:r>
              <w:rPr>
                <w:rFonts w:hint="eastAsia"/>
                <w:sz w:val="24"/>
              </w:rPr>
              <w:t>300,000</w:t>
            </w:r>
          </w:p>
        </w:tc>
        <w:tc>
          <w:tcPr>
            <w:tcW w:w="1503" w:type="dxa"/>
            <w:vAlign w:val="center"/>
          </w:tcPr>
          <w:p w:rsidR="00A57986" w:rsidRDefault="00701A6B">
            <w:pPr>
              <w:jc w:val="center"/>
            </w:pPr>
            <w:r>
              <w:rPr>
                <w:rFonts w:hint="eastAsia"/>
                <w:sz w:val="24"/>
              </w:rPr>
              <w:t>29,824,931.62</w:t>
            </w:r>
          </w:p>
        </w:tc>
        <w:tc>
          <w:tcPr>
            <w:tcW w:w="1503" w:type="dxa"/>
            <w:vAlign w:val="center"/>
          </w:tcPr>
          <w:p w:rsidR="00A57986" w:rsidRDefault="00701A6B">
            <w:pPr>
              <w:jc w:val="center"/>
            </w:pPr>
            <w:r>
              <w:rPr>
                <w:rFonts w:hint="eastAsia"/>
                <w:sz w:val="24"/>
              </w:rPr>
              <w:t>2.29</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0.0973%</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-0.0364%</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0.0247%</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CB1276" w:rsidRDefault="006D141C"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本基金本报告期末未持有资产支持证券。</w:t>
      </w: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2,664,708.03</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1,005,120.63</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3,669,828.66</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34,565</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9,955.62</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17,319,703.55</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5.03%</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326,796,219.20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94.97%</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交银货币</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21</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45,607,321.42</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924,984,481.14</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96.58%</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32,769,268.70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3.42%</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34,586</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37,641.52</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942,304,184.69</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72.38%</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359,565,487.90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27.62%</w:t>
            </w:r>
          </w:p>
        </w:tc>
      </w:tr>
    </w:tbl>
    <w:p w:rsidR="00A66BB5" w:rsidRDefault="00A66BB5" w:rsidP="004B36C2">
      <w:pPr>
        <w:spacing w:line="360" w:lineRule="auto"/>
        <w:rPr>
          <w:rFonts w:asciiTheme="minorEastAsia" w:eastAsiaTheme="minorEastAsia" w:hAnsiTheme="minorEastAsia"/>
          <w:szCs w:val="21"/>
        </w:rPr>
      </w:pPr>
    </w:p>
    <w:p w:rsidR="00237A76" w:rsidRDefault="00237A76" w:rsidP="00237A76">
      <w:pPr>
        <w:pStyle w:val="20"/>
        <w:spacing w:before="29" w:after="0" w:line="288" w:lineRule="auto"/>
        <w:rPr>
          <w:rFonts w:ascii="Times New Roman" w:eastAsiaTheme="minorEastAsia" w:hAnsi="Times New Roman"/>
          <w:color w:val="000000" w:themeColor="text1"/>
          <w:kern w:val="0"/>
          <w:sz w:val="21"/>
          <w:szCs w:val="21"/>
        </w:rPr>
      </w:pPr>
      <w:bookmarkStart w:id="30" w:name="_Toc4067714"/>
      <w:r w:rsidRPr="00237A76">
        <w:rPr>
          <w:rFonts w:ascii="Times New Roman" w:hAnsi="Times New Roman" w:cs="Times New Roman"/>
          <w:kern w:val="0"/>
          <w:szCs w:val="24"/>
        </w:rPr>
        <w:t xml:space="preserve">9.2 </w:t>
      </w:r>
      <w:r w:rsidRPr="00237A76">
        <w:rPr>
          <w:rFonts w:ascii="Times New Roman" w:hAnsi="Times New Roman" w:cs="Times New Roman" w:hint="eastAsia"/>
          <w:kern w:val="0"/>
          <w:szCs w:val="24"/>
        </w:rPr>
        <w:t>期末货币市场基金前十名份额持有人情况</w:t>
      </w:r>
      <w:bookmarkEnd w:id="30"/>
    </w:p>
    <w:tbl>
      <w:tblPr>
        <w:tblStyle w:val="af7"/>
        <w:tblW w:w="0" w:type="auto"/>
        <w:tblLook w:val="04A0" w:firstRow="1" w:lastRow="0" w:firstColumn="1" w:lastColumn="0" w:noHBand="0" w:noVBand="1"/>
      </w:tblPr>
      <w:tblGrid>
        <w:gridCol w:w="2814"/>
        <w:gridCol w:w="2227"/>
        <w:gridCol w:w="2324"/>
        <w:gridCol w:w="1921"/>
      </w:tblGrid>
      <w:tr w:rsidR="00237A76" w:rsidTr="002D453E">
        <w:tc>
          <w:tcPr>
            <w:tcW w:w="2814" w:type="dxa"/>
            <w:tcBorders>
              <w:top w:val="single" w:sz="4" w:space="0" w:color="auto"/>
              <w:left w:val="single" w:sz="4" w:space="0" w:color="auto"/>
              <w:bottom w:val="single" w:sz="4" w:space="0" w:color="auto"/>
              <w:right w:val="single" w:sz="4" w:space="0" w:color="auto"/>
            </w:tcBorders>
            <w:vAlign w:val="center"/>
            <w:hideMark/>
          </w:tcPr>
          <w:p w:rsidR="00237A76" w:rsidRDefault="00237A76" w:rsidP="002D453E">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237A76" w:rsidRDefault="00237A76" w:rsidP="002D453E">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237A76" w:rsidRDefault="00237A76" w:rsidP="002D453E">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237A76" w:rsidRDefault="00237A76" w:rsidP="002D453E">
            <w:pPr>
              <w:spacing w:line="276" w:lineRule="auto"/>
              <w:jc w:val="center"/>
              <w:rPr>
                <w:rFonts w:eastAsia="仿宋_GB2312"/>
                <w:szCs w:val="21"/>
              </w:rPr>
            </w:pPr>
            <w:r>
              <w:rPr>
                <w:rFonts w:eastAsia="仿宋_GB2312" w:hint="eastAsia"/>
                <w:szCs w:val="21"/>
              </w:rPr>
              <w:t>占总份额比例</w:t>
            </w:r>
          </w:p>
        </w:tc>
      </w:tr>
      <w:tr w:rsidR="00237A76" w:rsidTr="002D453E">
        <w:tc>
          <w:tcPr>
            <w:tcW w:w="0" w:type="auto"/>
            <w:vAlign w:val="center"/>
          </w:tcPr>
          <w:p w:rsidR="00237A76" w:rsidRDefault="00237A76" w:rsidP="002D453E">
            <w:pPr>
              <w:jc w:val="right"/>
            </w:pPr>
            <w:r>
              <w:rPr>
                <w:rFonts w:eastAsiaTheme="minorEastAsia"/>
                <w:color w:val="000000" w:themeColor="text1"/>
                <w:szCs w:val="21"/>
              </w:rPr>
              <w:t>1</w:t>
            </w:r>
          </w:p>
        </w:tc>
        <w:tc>
          <w:tcPr>
            <w:tcW w:w="0" w:type="auto"/>
            <w:vAlign w:val="center"/>
          </w:tcPr>
          <w:p w:rsidR="00237A76" w:rsidRDefault="00237A76" w:rsidP="002D453E">
            <w:pPr>
              <w:jc w:val="right"/>
            </w:pPr>
            <w:r>
              <w:rPr>
                <w:rFonts w:eastAsiaTheme="minorEastAsia"/>
                <w:color w:val="000000" w:themeColor="text1"/>
                <w:szCs w:val="21"/>
              </w:rPr>
              <w:t>银行类机构</w:t>
            </w:r>
          </w:p>
        </w:tc>
        <w:tc>
          <w:tcPr>
            <w:tcW w:w="0" w:type="auto"/>
            <w:vAlign w:val="center"/>
          </w:tcPr>
          <w:p w:rsidR="00237A76" w:rsidRDefault="00237A76" w:rsidP="002D453E">
            <w:pPr>
              <w:jc w:val="right"/>
            </w:pPr>
            <w:r>
              <w:rPr>
                <w:rFonts w:eastAsiaTheme="minorEastAsia"/>
                <w:color w:val="000000" w:themeColor="text1"/>
                <w:szCs w:val="21"/>
              </w:rPr>
              <w:t>355,802,292.29</w:t>
            </w:r>
          </w:p>
        </w:tc>
        <w:tc>
          <w:tcPr>
            <w:tcW w:w="0" w:type="auto"/>
            <w:vAlign w:val="center"/>
          </w:tcPr>
          <w:p w:rsidR="00237A76" w:rsidRDefault="00237A76" w:rsidP="002D453E">
            <w:pPr>
              <w:jc w:val="right"/>
            </w:pPr>
            <w:r>
              <w:rPr>
                <w:rFonts w:eastAsiaTheme="minorEastAsia"/>
                <w:color w:val="000000" w:themeColor="text1"/>
                <w:szCs w:val="21"/>
              </w:rPr>
              <w:t>27.33%</w:t>
            </w:r>
          </w:p>
        </w:tc>
      </w:tr>
      <w:tr w:rsidR="00237A76" w:rsidTr="002D453E">
        <w:tc>
          <w:tcPr>
            <w:tcW w:w="0" w:type="auto"/>
            <w:vAlign w:val="center"/>
          </w:tcPr>
          <w:p w:rsidR="00237A76" w:rsidRDefault="00237A76" w:rsidP="002D453E">
            <w:pPr>
              <w:jc w:val="right"/>
            </w:pPr>
            <w:r>
              <w:rPr>
                <w:rFonts w:eastAsiaTheme="minorEastAsia"/>
                <w:color w:val="000000" w:themeColor="text1"/>
                <w:szCs w:val="21"/>
              </w:rPr>
              <w:t>2</w:t>
            </w:r>
          </w:p>
        </w:tc>
        <w:tc>
          <w:tcPr>
            <w:tcW w:w="0" w:type="auto"/>
            <w:vAlign w:val="center"/>
          </w:tcPr>
          <w:p w:rsidR="00237A76" w:rsidRDefault="00237A76" w:rsidP="002D453E">
            <w:pPr>
              <w:jc w:val="right"/>
            </w:pPr>
            <w:r>
              <w:rPr>
                <w:rFonts w:eastAsiaTheme="minorEastAsia"/>
                <w:color w:val="000000" w:themeColor="text1"/>
                <w:szCs w:val="21"/>
              </w:rPr>
              <w:t>基金类机构</w:t>
            </w:r>
          </w:p>
        </w:tc>
        <w:tc>
          <w:tcPr>
            <w:tcW w:w="0" w:type="auto"/>
            <w:vAlign w:val="center"/>
          </w:tcPr>
          <w:p w:rsidR="00237A76" w:rsidRDefault="00237A76" w:rsidP="002D453E">
            <w:pPr>
              <w:jc w:val="right"/>
            </w:pPr>
            <w:r>
              <w:rPr>
                <w:rFonts w:eastAsiaTheme="minorEastAsia"/>
                <w:color w:val="000000" w:themeColor="text1"/>
                <w:szCs w:val="21"/>
              </w:rPr>
              <w:t>300,493,761.55</w:t>
            </w:r>
          </w:p>
        </w:tc>
        <w:tc>
          <w:tcPr>
            <w:tcW w:w="0" w:type="auto"/>
            <w:vAlign w:val="center"/>
          </w:tcPr>
          <w:p w:rsidR="00237A76" w:rsidRDefault="00237A76" w:rsidP="002D453E">
            <w:pPr>
              <w:jc w:val="right"/>
            </w:pPr>
            <w:r>
              <w:rPr>
                <w:rFonts w:eastAsiaTheme="minorEastAsia"/>
                <w:color w:val="000000" w:themeColor="text1"/>
                <w:szCs w:val="21"/>
              </w:rPr>
              <w:t>23.08%</w:t>
            </w:r>
          </w:p>
        </w:tc>
      </w:tr>
      <w:tr w:rsidR="00237A76" w:rsidTr="002D453E">
        <w:tc>
          <w:tcPr>
            <w:tcW w:w="0" w:type="auto"/>
            <w:vAlign w:val="center"/>
          </w:tcPr>
          <w:p w:rsidR="00237A76" w:rsidRDefault="00237A76" w:rsidP="002D453E">
            <w:pPr>
              <w:jc w:val="right"/>
            </w:pPr>
            <w:r>
              <w:rPr>
                <w:rFonts w:eastAsiaTheme="minorEastAsia"/>
                <w:color w:val="000000" w:themeColor="text1"/>
                <w:szCs w:val="21"/>
              </w:rPr>
              <w:t>3</w:t>
            </w:r>
          </w:p>
        </w:tc>
        <w:tc>
          <w:tcPr>
            <w:tcW w:w="0" w:type="auto"/>
            <w:vAlign w:val="center"/>
          </w:tcPr>
          <w:p w:rsidR="00237A76" w:rsidRDefault="00237A76" w:rsidP="002D453E">
            <w:pPr>
              <w:jc w:val="right"/>
            </w:pPr>
            <w:r>
              <w:rPr>
                <w:rFonts w:eastAsiaTheme="minorEastAsia"/>
                <w:color w:val="000000" w:themeColor="text1"/>
                <w:szCs w:val="21"/>
              </w:rPr>
              <w:t>其他机构</w:t>
            </w:r>
          </w:p>
        </w:tc>
        <w:tc>
          <w:tcPr>
            <w:tcW w:w="0" w:type="auto"/>
            <w:vAlign w:val="center"/>
          </w:tcPr>
          <w:p w:rsidR="00237A76" w:rsidRDefault="00237A76" w:rsidP="002D453E">
            <w:pPr>
              <w:jc w:val="right"/>
            </w:pPr>
            <w:r>
              <w:rPr>
                <w:rFonts w:eastAsiaTheme="minorEastAsia"/>
                <w:color w:val="000000" w:themeColor="text1"/>
                <w:szCs w:val="21"/>
              </w:rPr>
              <w:t>38,000,000.00</w:t>
            </w:r>
          </w:p>
        </w:tc>
        <w:tc>
          <w:tcPr>
            <w:tcW w:w="0" w:type="auto"/>
            <w:vAlign w:val="center"/>
          </w:tcPr>
          <w:p w:rsidR="00237A76" w:rsidRDefault="00237A76" w:rsidP="002D453E">
            <w:pPr>
              <w:jc w:val="right"/>
            </w:pPr>
            <w:r>
              <w:rPr>
                <w:rFonts w:eastAsiaTheme="minorEastAsia"/>
                <w:color w:val="000000" w:themeColor="text1"/>
                <w:szCs w:val="21"/>
              </w:rPr>
              <w:t>2.92%</w:t>
            </w:r>
          </w:p>
        </w:tc>
      </w:tr>
      <w:tr w:rsidR="00237A76" w:rsidTr="002D453E">
        <w:tc>
          <w:tcPr>
            <w:tcW w:w="0" w:type="auto"/>
            <w:vAlign w:val="center"/>
          </w:tcPr>
          <w:p w:rsidR="00237A76" w:rsidRDefault="00237A76" w:rsidP="002D453E">
            <w:pPr>
              <w:jc w:val="right"/>
            </w:pPr>
            <w:r>
              <w:rPr>
                <w:rFonts w:eastAsiaTheme="minorEastAsia"/>
                <w:color w:val="000000" w:themeColor="text1"/>
                <w:szCs w:val="21"/>
              </w:rPr>
              <w:t>4</w:t>
            </w:r>
          </w:p>
        </w:tc>
        <w:tc>
          <w:tcPr>
            <w:tcW w:w="0" w:type="auto"/>
            <w:vAlign w:val="center"/>
          </w:tcPr>
          <w:p w:rsidR="00237A76" w:rsidRDefault="00237A76" w:rsidP="002D453E">
            <w:pPr>
              <w:jc w:val="right"/>
            </w:pPr>
            <w:r>
              <w:rPr>
                <w:rFonts w:eastAsiaTheme="minorEastAsia"/>
                <w:color w:val="000000" w:themeColor="text1"/>
                <w:szCs w:val="21"/>
              </w:rPr>
              <w:t>其他机构</w:t>
            </w:r>
          </w:p>
        </w:tc>
        <w:tc>
          <w:tcPr>
            <w:tcW w:w="0" w:type="auto"/>
            <w:vAlign w:val="center"/>
          </w:tcPr>
          <w:p w:rsidR="00237A76" w:rsidRDefault="00237A76" w:rsidP="002D453E">
            <w:pPr>
              <w:jc w:val="right"/>
            </w:pPr>
            <w:r>
              <w:rPr>
                <w:rFonts w:eastAsiaTheme="minorEastAsia"/>
                <w:color w:val="000000" w:themeColor="text1"/>
                <w:szCs w:val="21"/>
              </w:rPr>
              <w:t>37,827,359.09</w:t>
            </w:r>
          </w:p>
        </w:tc>
        <w:tc>
          <w:tcPr>
            <w:tcW w:w="0" w:type="auto"/>
            <w:vAlign w:val="center"/>
          </w:tcPr>
          <w:p w:rsidR="00237A76" w:rsidRDefault="00237A76" w:rsidP="002D453E">
            <w:pPr>
              <w:jc w:val="right"/>
            </w:pPr>
            <w:r>
              <w:rPr>
                <w:rFonts w:eastAsiaTheme="minorEastAsia"/>
                <w:color w:val="000000" w:themeColor="text1"/>
                <w:szCs w:val="21"/>
              </w:rPr>
              <w:t>2.91%</w:t>
            </w:r>
          </w:p>
        </w:tc>
      </w:tr>
      <w:tr w:rsidR="00237A76" w:rsidTr="002D453E">
        <w:tc>
          <w:tcPr>
            <w:tcW w:w="0" w:type="auto"/>
            <w:vAlign w:val="center"/>
          </w:tcPr>
          <w:p w:rsidR="00237A76" w:rsidRDefault="00237A76" w:rsidP="002D453E">
            <w:pPr>
              <w:jc w:val="right"/>
            </w:pPr>
            <w:r>
              <w:rPr>
                <w:rFonts w:eastAsiaTheme="minorEastAsia"/>
                <w:color w:val="000000" w:themeColor="text1"/>
                <w:szCs w:val="21"/>
              </w:rPr>
              <w:t>5</w:t>
            </w:r>
          </w:p>
        </w:tc>
        <w:tc>
          <w:tcPr>
            <w:tcW w:w="0" w:type="auto"/>
            <w:vAlign w:val="center"/>
          </w:tcPr>
          <w:p w:rsidR="00237A76" w:rsidRDefault="00237A76" w:rsidP="002D453E">
            <w:pPr>
              <w:jc w:val="right"/>
            </w:pPr>
            <w:r>
              <w:rPr>
                <w:rFonts w:eastAsiaTheme="minorEastAsia"/>
                <w:color w:val="000000" w:themeColor="text1"/>
                <w:szCs w:val="21"/>
              </w:rPr>
              <w:t>其他机构</w:t>
            </w:r>
          </w:p>
        </w:tc>
        <w:tc>
          <w:tcPr>
            <w:tcW w:w="0" w:type="auto"/>
            <w:vAlign w:val="center"/>
          </w:tcPr>
          <w:p w:rsidR="00237A76" w:rsidRDefault="00237A76" w:rsidP="002D453E">
            <w:pPr>
              <w:jc w:val="right"/>
            </w:pPr>
            <w:r>
              <w:rPr>
                <w:rFonts w:eastAsiaTheme="minorEastAsia"/>
                <w:color w:val="000000" w:themeColor="text1"/>
                <w:szCs w:val="21"/>
              </w:rPr>
              <w:t>30,287,562.34</w:t>
            </w:r>
          </w:p>
        </w:tc>
        <w:tc>
          <w:tcPr>
            <w:tcW w:w="0" w:type="auto"/>
            <w:vAlign w:val="center"/>
          </w:tcPr>
          <w:p w:rsidR="00237A76" w:rsidRDefault="00237A76" w:rsidP="002D453E">
            <w:pPr>
              <w:jc w:val="right"/>
            </w:pPr>
            <w:r>
              <w:rPr>
                <w:rFonts w:eastAsiaTheme="minorEastAsia"/>
                <w:color w:val="000000" w:themeColor="text1"/>
                <w:szCs w:val="21"/>
              </w:rPr>
              <w:t>2.33%</w:t>
            </w:r>
          </w:p>
        </w:tc>
      </w:tr>
      <w:tr w:rsidR="00237A76" w:rsidTr="002D453E">
        <w:tc>
          <w:tcPr>
            <w:tcW w:w="0" w:type="auto"/>
            <w:vAlign w:val="center"/>
          </w:tcPr>
          <w:p w:rsidR="00237A76" w:rsidRDefault="00237A76" w:rsidP="002D453E">
            <w:pPr>
              <w:jc w:val="right"/>
            </w:pPr>
            <w:r>
              <w:rPr>
                <w:rFonts w:eastAsiaTheme="minorEastAsia"/>
                <w:color w:val="000000" w:themeColor="text1"/>
                <w:szCs w:val="21"/>
              </w:rPr>
              <w:t>6</w:t>
            </w:r>
          </w:p>
        </w:tc>
        <w:tc>
          <w:tcPr>
            <w:tcW w:w="0" w:type="auto"/>
            <w:vAlign w:val="center"/>
          </w:tcPr>
          <w:p w:rsidR="00237A76" w:rsidRDefault="00237A76" w:rsidP="002D453E">
            <w:pPr>
              <w:jc w:val="right"/>
            </w:pPr>
            <w:r>
              <w:rPr>
                <w:rFonts w:eastAsiaTheme="minorEastAsia"/>
                <w:color w:val="000000" w:themeColor="text1"/>
                <w:szCs w:val="21"/>
              </w:rPr>
              <w:t>其他机构</w:t>
            </w:r>
          </w:p>
        </w:tc>
        <w:tc>
          <w:tcPr>
            <w:tcW w:w="0" w:type="auto"/>
            <w:vAlign w:val="center"/>
          </w:tcPr>
          <w:p w:rsidR="00237A76" w:rsidRDefault="00237A76" w:rsidP="002D453E">
            <w:pPr>
              <w:jc w:val="right"/>
            </w:pPr>
            <w:r>
              <w:rPr>
                <w:rFonts w:eastAsiaTheme="minorEastAsia"/>
                <w:color w:val="000000" w:themeColor="text1"/>
                <w:szCs w:val="21"/>
              </w:rPr>
              <w:t>25,910,504.00</w:t>
            </w:r>
          </w:p>
        </w:tc>
        <w:tc>
          <w:tcPr>
            <w:tcW w:w="0" w:type="auto"/>
            <w:vAlign w:val="center"/>
          </w:tcPr>
          <w:p w:rsidR="00237A76" w:rsidRDefault="00237A76" w:rsidP="002D453E">
            <w:pPr>
              <w:jc w:val="right"/>
            </w:pPr>
            <w:r>
              <w:rPr>
                <w:rFonts w:eastAsiaTheme="minorEastAsia"/>
                <w:color w:val="000000" w:themeColor="text1"/>
                <w:szCs w:val="21"/>
              </w:rPr>
              <w:t>1.99%</w:t>
            </w:r>
          </w:p>
        </w:tc>
      </w:tr>
      <w:tr w:rsidR="00237A76" w:rsidTr="002D453E">
        <w:tc>
          <w:tcPr>
            <w:tcW w:w="0" w:type="auto"/>
            <w:vAlign w:val="center"/>
          </w:tcPr>
          <w:p w:rsidR="00237A76" w:rsidRDefault="00237A76" w:rsidP="002D453E">
            <w:pPr>
              <w:jc w:val="right"/>
            </w:pPr>
            <w:r>
              <w:rPr>
                <w:rFonts w:eastAsiaTheme="minorEastAsia"/>
                <w:color w:val="000000" w:themeColor="text1"/>
                <w:szCs w:val="21"/>
              </w:rPr>
              <w:t>7</w:t>
            </w:r>
          </w:p>
        </w:tc>
        <w:tc>
          <w:tcPr>
            <w:tcW w:w="0" w:type="auto"/>
            <w:vAlign w:val="center"/>
          </w:tcPr>
          <w:p w:rsidR="00237A76" w:rsidRDefault="00237A76" w:rsidP="002D453E">
            <w:pPr>
              <w:jc w:val="right"/>
            </w:pPr>
            <w:r>
              <w:rPr>
                <w:rFonts w:eastAsiaTheme="minorEastAsia"/>
                <w:color w:val="000000" w:themeColor="text1"/>
                <w:szCs w:val="21"/>
              </w:rPr>
              <w:t>其他机构</w:t>
            </w:r>
          </w:p>
        </w:tc>
        <w:tc>
          <w:tcPr>
            <w:tcW w:w="0" w:type="auto"/>
            <w:vAlign w:val="center"/>
          </w:tcPr>
          <w:p w:rsidR="00237A76" w:rsidRDefault="00237A76" w:rsidP="002D453E">
            <w:pPr>
              <w:jc w:val="right"/>
            </w:pPr>
            <w:r>
              <w:rPr>
                <w:rFonts w:eastAsiaTheme="minorEastAsia"/>
                <w:color w:val="000000" w:themeColor="text1"/>
                <w:szCs w:val="21"/>
              </w:rPr>
              <w:t>21,136,082.39</w:t>
            </w:r>
          </w:p>
        </w:tc>
        <w:tc>
          <w:tcPr>
            <w:tcW w:w="0" w:type="auto"/>
            <w:vAlign w:val="center"/>
          </w:tcPr>
          <w:p w:rsidR="00237A76" w:rsidRDefault="00237A76" w:rsidP="002D453E">
            <w:pPr>
              <w:jc w:val="right"/>
            </w:pPr>
            <w:r>
              <w:rPr>
                <w:rFonts w:eastAsiaTheme="minorEastAsia"/>
                <w:color w:val="000000" w:themeColor="text1"/>
                <w:szCs w:val="21"/>
              </w:rPr>
              <w:t>1.62%</w:t>
            </w:r>
          </w:p>
        </w:tc>
      </w:tr>
      <w:tr w:rsidR="00237A76" w:rsidTr="002D453E">
        <w:tc>
          <w:tcPr>
            <w:tcW w:w="0" w:type="auto"/>
            <w:vAlign w:val="center"/>
          </w:tcPr>
          <w:p w:rsidR="00237A76" w:rsidRDefault="00237A76" w:rsidP="002D453E">
            <w:pPr>
              <w:jc w:val="right"/>
            </w:pPr>
            <w:r>
              <w:rPr>
                <w:rFonts w:eastAsiaTheme="minorEastAsia"/>
                <w:color w:val="000000" w:themeColor="text1"/>
                <w:szCs w:val="21"/>
              </w:rPr>
              <w:t>8</w:t>
            </w:r>
          </w:p>
        </w:tc>
        <w:tc>
          <w:tcPr>
            <w:tcW w:w="0" w:type="auto"/>
            <w:vAlign w:val="center"/>
          </w:tcPr>
          <w:p w:rsidR="00237A76" w:rsidRDefault="00237A76" w:rsidP="002D453E">
            <w:pPr>
              <w:jc w:val="right"/>
            </w:pPr>
            <w:r>
              <w:rPr>
                <w:rFonts w:eastAsiaTheme="minorEastAsia"/>
                <w:color w:val="000000" w:themeColor="text1"/>
                <w:szCs w:val="21"/>
              </w:rPr>
              <w:t>保险类机构</w:t>
            </w:r>
          </w:p>
        </w:tc>
        <w:tc>
          <w:tcPr>
            <w:tcW w:w="0" w:type="auto"/>
            <w:vAlign w:val="center"/>
          </w:tcPr>
          <w:p w:rsidR="00237A76" w:rsidRDefault="00237A76" w:rsidP="002D453E">
            <w:pPr>
              <w:jc w:val="right"/>
            </w:pPr>
            <w:r>
              <w:rPr>
                <w:rFonts w:eastAsiaTheme="minorEastAsia"/>
                <w:color w:val="000000" w:themeColor="text1"/>
                <w:szCs w:val="21"/>
              </w:rPr>
              <w:t>20,047,778.34</w:t>
            </w:r>
          </w:p>
        </w:tc>
        <w:tc>
          <w:tcPr>
            <w:tcW w:w="0" w:type="auto"/>
            <w:vAlign w:val="center"/>
          </w:tcPr>
          <w:p w:rsidR="00237A76" w:rsidRDefault="00237A76" w:rsidP="002D453E">
            <w:pPr>
              <w:jc w:val="right"/>
            </w:pPr>
            <w:r>
              <w:rPr>
                <w:rFonts w:eastAsiaTheme="minorEastAsia"/>
                <w:color w:val="000000" w:themeColor="text1"/>
                <w:szCs w:val="21"/>
              </w:rPr>
              <w:t>1.54%</w:t>
            </w:r>
          </w:p>
        </w:tc>
      </w:tr>
      <w:tr w:rsidR="00237A76" w:rsidTr="002D453E">
        <w:tc>
          <w:tcPr>
            <w:tcW w:w="0" w:type="auto"/>
            <w:vAlign w:val="center"/>
          </w:tcPr>
          <w:p w:rsidR="00237A76" w:rsidRDefault="00237A76" w:rsidP="002D453E">
            <w:pPr>
              <w:jc w:val="right"/>
            </w:pPr>
            <w:r>
              <w:rPr>
                <w:rFonts w:eastAsiaTheme="minorEastAsia"/>
                <w:color w:val="000000" w:themeColor="text1"/>
                <w:szCs w:val="21"/>
              </w:rPr>
              <w:t>9</w:t>
            </w:r>
          </w:p>
        </w:tc>
        <w:tc>
          <w:tcPr>
            <w:tcW w:w="0" w:type="auto"/>
            <w:vAlign w:val="center"/>
          </w:tcPr>
          <w:p w:rsidR="00237A76" w:rsidRDefault="00237A76" w:rsidP="002D453E">
            <w:pPr>
              <w:jc w:val="right"/>
            </w:pPr>
            <w:r>
              <w:rPr>
                <w:rFonts w:eastAsiaTheme="minorEastAsia"/>
                <w:color w:val="000000" w:themeColor="text1"/>
                <w:szCs w:val="21"/>
              </w:rPr>
              <w:t>保险类机构</w:t>
            </w:r>
          </w:p>
        </w:tc>
        <w:tc>
          <w:tcPr>
            <w:tcW w:w="0" w:type="auto"/>
            <w:vAlign w:val="center"/>
          </w:tcPr>
          <w:p w:rsidR="00237A76" w:rsidRDefault="00237A76" w:rsidP="002D453E">
            <w:pPr>
              <w:jc w:val="right"/>
            </w:pPr>
            <w:r>
              <w:rPr>
                <w:rFonts w:eastAsiaTheme="minorEastAsia"/>
                <w:color w:val="000000" w:themeColor="text1"/>
                <w:szCs w:val="21"/>
              </w:rPr>
              <w:t>18,427,184.25</w:t>
            </w:r>
          </w:p>
        </w:tc>
        <w:tc>
          <w:tcPr>
            <w:tcW w:w="0" w:type="auto"/>
            <w:vAlign w:val="center"/>
          </w:tcPr>
          <w:p w:rsidR="00237A76" w:rsidRDefault="00237A76" w:rsidP="002D453E">
            <w:pPr>
              <w:jc w:val="right"/>
            </w:pPr>
            <w:r>
              <w:rPr>
                <w:rFonts w:eastAsiaTheme="minorEastAsia"/>
                <w:color w:val="000000" w:themeColor="text1"/>
                <w:szCs w:val="21"/>
              </w:rPr>
              <w:t>1.42%</w:t>
            </w:r>
          </w:p>
        </w:tc>
      </w:tr>
      <w:tr w:rsidR="00237A76" w:rsidTr="002D453E">
        <w:tc>
          <w:tcPr>
            <w:tcW w:w="0" w:type="auto"/>
            <w:vAlign w:val="center"/>
          </w:tcPr>
          <w:p w:rsidR="00237A76" w:rsidRDefault="00237A76" w:rsidP="002D453E">
            <w:pPr>
              <w:jc w:val="right"/>
            </w:pPr>
            <w:r>
              <w:rPr>
                <w:rFonts w:eastAsiaTheme="minorEastAsia"/>
                <w:color w:val="000000" w:themeColor="text1"/>
                <w:szCs w:val="21"/>
              </w:rPr>
              <w:t>10</w:t>
            </w:r>
          </w:p>
        </w:tc>
        <w:tc>
          <w:tcPr>
            <w:tcW w:w="0" w:type="auto"/>
            <w:vAlign w:val="center"/>
          </w:tcPr>
          <w:p w:rsidR="00237A76" w:rsidRDefault="00237A76" w:rsidP="002D453E">
            <w:pPr>
              <w:jc w:val="right"/>
            </w:pPr>
            <w:r>
              <w:rPr>
                <w:rFonts w:eastAsiaTheme="minorEastAsia"/>
                <w:color w:val="000000" w:themeColor="text1"/>
                <w:szCs w:val="21"/>
              </w:rPr>
              <w:t>其他机构</w:t>
            </w:r>
          </w:p>
        </w:tc>
        <w:tc>
          <w:tcPr>
            <w:tcW w:w="0" w:type="auto"/>
            <w:vAlign w:val="center"/>
          </w:tcPr>
          <w:p w:rsidR="00237A76" w:rsidRDefault="00237A76" w:rsidP="002D453E">
            <w:pPr>
              <w:jc w:val="right"/>
            </w:pPr>
            <w:r>
              <w:rPr>
                <w:rFonts w:eastAsiaTheme="minorEastAsia"/>
                <w:color w:val="000000" w:themeColor="text1"/>
                <w:szCs w:val="21"/>
              </w:rPr>
              <w:t>17,591,703.76</w:t>
            </w:r>
          </w:p>
        </w:tc>
        <w:tc>
          <w:tcPr>
            <w:tcW w:w="0" w:type="auto"/>
            <w:vAlign w:val="center"/>
          </w:tcPr>
          <w:p w:rsidR="00237A76" w:rsidRDefault="00237A76" w:rsidP="002D453E">
            <w:pPr>
              <w:jc w:val="right"/>
            </w:pPr>
            <w:r>
              <w:rPr>
                <w:rFonts w:eastAsiaTheme="minorEastAsia"/>
                <w:color w:val="000000" w:themeColor="text1"/>
                <w:szCs w:val="21"/>
              </w:rPr>
              <w:t>1.35%</w:t>
            </w:r>
          </w:p>
        </w:tc>
      </w:tr>
    </w:tbl>
    <w:p w:rsidR="00237A76" w:rsidRPr="00A85DBF" w:rsidRDefault="00237A76" w:rsidP="004B36C2">
      <w:pPr>
        <w:spacing w:line="360" w:lineRule="auto"/>
        <w:rPr>
          <w:rFonts w:asciiTheme="minorEastAsia" w:eastAsiaTheme="minorEastAsia" w:hAnsiTheme="minorEastAsia"/>
          <w:szCs w:val="21"/>
        </w:rPr>
      </w:pPr>
    </w:p>
    <w:p w:rsidR="006D141C" w:rsidRDefault="00237A76" w:rsidP="00F02139">
      <w:pPr>
        <w:pStyle w:val="20"/>
        <w:spacing w:before="29" w:after="0" w:line="288" w:lineRule="auto"/>
        <w:rPr>
          <w:rFonts w:asciiTheme="minorEastAsia" w:eastAsiaTheme="minorEastAsia" w:hAnsiTheme="minorEastAsia"/>
          <w:szCs w:val="21"/>
        </w:rPr>
      </w:pPr>
      <w:bookmarkStart w:id="31" w:name="_Toc331410113"/>
      <w:r>
        <w:rPr>
          <w:rFonts w:ascii="Times New Roman" w:hAnsi="Times New Roman" w:cs="Times New Roman" w:hint="eastAsia"/>
          <w:kern w:val="0"/>
          <w:szCs w:val="24"/>
        </w:rPr>
        <w:t>9.3</w:t>
      </w:r>
      <w:r w:rsidR="00A66BB5" w:rsidRPr="00FB19E8">
        <w:rPr>
          <w:rFonts w:ascii="Times New Roman" w:hAnsi="Times New Roman" w:cs="Times New Roman" w:hint="eastAsia"/>
          <w:kern w:val="0"/>
          <w:szCs w:val="24"/>
        </w:rPr>
        <w:t>期末基金管理人的从业人员持有本基金的情况</w:t>
      </w:r>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交银货币</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3,555,706.45</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1.03%</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交银货币</w:t>
            </w:r>
            <w:r>
              <w:rPr>
                <w:rFonts w:hint="eastAsia"/>
                <w:sz w:val="24"/>
              </w:rPr>
              <w:t>B</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3,555,706.45</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0.27%</w:t>
            </w:r>
          </w:p>
        </w:tc>
      </w:tr>
    </w:tbl>
    <w:p w:rsidR="00237A76" w:rsidRPr="00F02139" w:rsidRDefault="00237A76" w:rsidP="004B36C2">
      <w:pPr>
        <w:spacing w:line="360" w:lineRule="auto"/>
        <w:rPr>
          <w:rFonts w:asciiTheme="minorEastAsia" w:eastAsiaTheme="minorEastAsia" w:hAnsiTheme="minorEastAsia"/>
          <w:szCs w:val="21"/>
        </w:rPr>
      </w:pPr>
    </w:p>
    <w:p w:rsidR="00CD1658" w:rsidRPr="00FB19E8" w:rsidRDefault="00237A76" w:rsidP="00FB19E8">
      <w:pPr>
        <w:pStyle w:val="20"/>
        <w:spacing w:before="29" w:after="0" w:line="288" w:lineRule="auto"/>
        <w:rPr>
          <w:rFonts w:ascii="Times New Roman" w:hAnsi="Times New Roman" w:cs="Times New Roman"/>
          <w:kern w:val="0"/>
          <w:szCs w:val="24"/>
        </w:rPr>
      </w:pPr>
      <w:r>
        <w:rPr>
          <w:rFonts w:ascii="Times New Roman" w:hAnsi="Times New Roman" w:cs="Times New Roman"/>
          <w:kern w:val="0"/>
          <w:szCs w:val="24"/>
        </w:rPr>
        <w:t>9.4</w:t>
      </w:r>
      <w:r w:rsidR="00CD1658"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2" w:name="_Toc331410115"/>
      <w:bookmarkStart w:id="33"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2"/>
      <w:bookmarkEnd w:id="33"/>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交银货币</w:t>
            </w:r>
            <w:r>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2006</w:t>
            </w:r>
            <w:r w:rsidRPr="0031518D">
              <w:rPr>
                <w:rFonts w:hint="eastAsia"/>
                <w:sz w:val="24"/>
              </w:rPr>
              <w:t>年</w:t>
            </w:r>
            <w:r w:rsidRPr="0031518D">
              <w:rPr>
                <w:rFonts w:hint="eastAsia"/>
                <w:sz w:val="24"/>
              </w:rPr>
              <w:t>1</w:t>
            </w:r>
            <w:r w:rsidRPr="0031518D">
              <w:rPr>
                <w:rFonts w:hint="eastAsia"/>
                <w:sz w:val="24"/>
              </w:rPr>
              <w:t>月</w:t>
            </w:r>
            <w:r w:rsidRPr="0031518D">
              <w:rPr>
                <w:rFonts w:hint="eastAsia"/>
                <w:sz w:val="24"/>
              </w:rPr>
              <w:t>20</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4,741,255,133.16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518,102,679.96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9,342,703,661.09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3,686,372,018.10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48,979,991,611.98</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3,860,358,775.31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57,364,941,523.23</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344,115,922.75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957,753,749.84</w:t>
            </w:r>
          </w:p>
        </w:tc>
      </w:tr>
    </w:tbl>
    <w:p w:rsidR="00A57986" w:rsidRDefault="00701A6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A57986" w:rsidRDefault="00701A6B">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、如果本报告期间发生转换出、份额级别调整业务，则总赎回份额中包含该业务；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、本基金于</w:t>
      </w:r>
      <w:r w:rsidRPr="005124D4">
        <w:rPr>
          <w:rFonts w:hint="eastAsia"/>
          <w:kern w:val="0"/>
          <w:sz w:val="24"/>
        </w:rPr>
        <w:t>2007</w:t>
      </w:r>
      <w:r w:rsidRPr="005124D4">
        <w:rPr>
          <w:rFonts w:hint="eastAsia"/>
          <w:kern w:val="0"/>
          <w:sz w:val="24"/>
        </w:rPr>
        <w:t>年</w:t>
      </w:r>
      <w:r w:rsidRPr="005124D4">
        <w:rPr>
          <w:rFonts w:hint="eastAsia"/>
          <w:kern w:val="0"/>
          <w:sz w:val="24"/>
        </w:rPr>
        <w:t>6</w:t>
      </w:r>
      <w:r w:rsidRPr="005124D4">
        <w:rPr>
          <w:rFonts w:hint="eastAsia"/>
          <w:kern w:val="0"/>
          <w:sz w:val="24"/>
        </w:rPr>
        <w:t>月</w:t>
      </w:r>
      <w:r w:rsidRPr="005124D4">
        <w:rPr>
          <w:rFonts w:hint="eastAsia"/>
          <w:kern w:val="0"/>
          <w:sz w:val="24"/>
        </w:rPr>
        <w:t>22</w:t>
      </w:r>
      <w:r w:rsidRPr="005124D4">
        <w:rPr>
          <w:rFonts w:hint="eastAsia"/>
          <w:kern w:val="0"/>
          <w:sz w:val="24"/>
        </w:rPr>
        <w:t>日起实行销售服务费分级收费方式。</w:t>
      </w:r>
    </w:p>
    <w:p w:rsidR="005D5C49" w:rsidRPr="005124D4" w:rsidRDefault="005D5C49" w:rsidP="005124D4">
      <w:pPr>
        <w:spacing w:before="29" w:line="288" w:lineRule="auto"/>
        <w:jc w:val="left"/>
        <w:rPr>
          <w:kern w:val="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4" w:name="_Toc331410116"/>
      <w:bookmarkStart w:id="35"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4"/>
      <w:bookmarkEnd w:id="35"/>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6"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6"/>
    </w:p>
    <w:p w:rsidR="006D141C" w:rsidRDefault="006D141C" w:rsidP="0081565E">
      <w:pPr>
        <w:spacing w:before="29" w:line="288" w:lineRule="auto"/>
        <w:ind w:firstLineChars="200" w:firstLine="480"/>
        <w:rPr>
          <w:color w:val="000000"/>
          <w:sz w:val="24"/>
        </w:rPr>
      </w:pPr>
      <w:bookmarkStart w:id="37"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7"/>
    </w:p>
    <w:p w:rsidR="00A57986" w:rsidRDefault="00701A6B">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p>
    <w:p w:rsidR="00A57986" w:rsidRDefault="00701A6B">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日发布公告，经公司第四届董事会第三十二次会议审议通过，同意苏奋先生辞去公司督察长职务，并于</w:t>
      </w:r>
      <w:r>
        <w:rPr>
          <w:rFonts w:hint="eastAsia"/>
          <w:color w:val="000000"/>
          <w:sz w:val="24"/>
        </w:rPr>
        <w:t>2018</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28</w:t>
      </w:r>
      <w:r>
        <w:rPr>
          <w:rFonts w:hint="eastAsia"/>
          <w:color w:val="000000"/>
          <w:sz w:val="24"/>
        </w:rPr>
        <w:t>日发布公告，经公司第四届董事会第三十三次会议审议通过，同意佘川女士担任公司督察长职务；</w:t>
      </w:r>
    </w:p>
    <w:p w:rsidR="00A57986" w:rsidRDefault="00701A6B">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20</w:t>
      </w:r>
      <w:r>
        <w:rPr>
          <w:rFonts w:hint="eastAsia"/>
          <w:color w:val="000000"/>
          <w:sz w:val="24"/>
        </w:rPr>
        <w:t>日发布公告，经公司第五届董事会第一次会议审议通过，选举阮红女士担任公司董事长（法定代表人），并于</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日发布公告，经公司第五届董事会第五次会议审议通过，选举谢卫先生担任公司总经理，阮红女士不再担任公司总经理。期后变动敬请关注基金管理人发布的相关公告。</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8" w:name="_Toc331410119"/>
      <w:r w:rsidRPr="0081565E">
        <w:rPr>
          <w:rFonts w:hint="eastAsia"/>
          <w:color w:val="000000"/>
          <w:sz w:val="24"/>
        </w:rPr>
        <w:t>2</w:t>
      </w:r>
      <w:r w:rsidRPr="0081565E">
        <w:rPr>
          <w:rFonts w:hint="eastAsia"/>
          <w:color w:val="000000"/>
          <w:sz w:val="24"/>
        </w:rPr>
        <w:t>、基金托管人的基金托管部门的重大人事变动：本报告期内，本行总行聘任刘琳同志、李智同志为本行托管业务部高级专家。</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8"/>
    </w:p>
    <w:p w:rsidR="006D141C" w:rsidRDefault="006D141C" w:rsidP="0081565E">
      <w:pPr>
        <w:spacing w:before="29" w:line="288" w:lineRule="auto"/>
        <w:ind w:firstLineChars="200" w:firstLine="480"/>
        <w:rPr>
          <w:color w:val="000000"/>
          <w:sz w:val="24"/>
        </w:rPr>
      </w:pPr>
      <w:bookmarkStart w:id="39"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9"/>
    </w:p>
    <w:p w:rsidR="006D141C" w:rsidRDefault="006D141C" w:rsidP="0081565E">
      <w:pPr>
        <w:spacing w:before="29" w:line="288" w:lineRule="auto"/>
        <w:ind w:firstLineChars="200" w:firstLine="480"/>
        <w:rPr>
          <w:color w:val="000000"/>
          <w:sz w:val="24"/>
        </w:rPr>
      </w:pPr>
      <w:bookmarkStart w:id="40"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0"/>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1" w:name="OLE_LINK3"/>
      <w:bookmarkStart w:id="42" w:name="_Toc331410122"/>
      <w:r w:rsidRPr="0081565E">
        <w:rPr>
          <w:rFonts w:hint="eastAsia"/>
          <w:color w:val="000000"/>
          <w:sz w:val="24"/>
        </w:rPr>
        <w:t>本报告期内，为本基金提供审计服务的会计师事务所为德勤华永会计师事务所（特殊普通合伙），本期审计费用为</w:t>
      </w:r>
      <w:r w:rsidRPr="0081565E">
        <w:rPr>
          <w:rFonts w:hint="eastAsia"/>
          <w:color w:val="000000"/>
          <w:sz w:val="24"/>
        </w:rPr>
        <w:t>80,000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1"/>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2"/>
    </w:p>
    <w:p w:rsidR="00A57986" w:rsidRDefault="00701A6B">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A57986" w:rsidRDefault="00701A6B">
      <w:pPr>
        <w:spacing w:before="29" w:line="288" w:lineRule="auto"/>
        <w:ind w:firstLineChars="200" w:firstLine="480"/>
        <w:rPr>
          <w:color w:val="000000"/>
          <w:sz w:val="24"/>
        </w:rPr>
      </w:pPr>
      <w:r>
        <w:rPr>
          <w:rFonts w:hint="eastAsia"/>
          <w:color w:val="000000"/>
          <w:sz w:val="24"/>
        </w:rPr>
        <w:t>基金管理人及其高级管理人员本报告期内未受监管部门稽查或处罚。</w:t>
      </w:r>
    </w:p>
    <w:p w:rsidR="00A57986" w:rsidRDefault="00701A6B">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3"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3"/>
    </w:p>
    <w:p w:rsidR="006D141C" w:rsidRPr="00FB19E8" w:rsidRDefault="00EE1CF9" w:rsidP="00FB19E8">
      <w:pPr>
        <w:pStyle w:val="20"/>
        <w:spacing w:before="29" w:after="0" w:line="288" w:lineRule="auto"/>
        <w:rPr>
          <w:rFonts w:ascii="Times New Roman" w:hAnsi="Times New Roman" w:cs="Times New Roman"/>
          <w:kern w:val="0"/>
          <w:szCs w:val="24"/>
        </w:rPr>
      </w:pPr>
      <w:bookmarkStart w:id="44"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4"/>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5"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A57986">
        <w:tc>
          <w:tcPr>
            <w:tcW w:w="1286" w:type="dxa"/>
            <w:vAlign w:val="center"/>
          </w:tcPr>
          <w:p w:rsidR="00A57986" w:rsidRDefault="00701A6B">
            <w:pPr>
              <w:jc w:val="center"/>
            </w:pPr>
            <w:r>
              <w:rPr>
                <w:rFonts w:hint="eastAsia"/>
                <w:szCs w:val="21"/>
              </w:rPr>
              <w:t>申万宏源证券有限公司</w:t>
            </w:r>
          </w:p>
        </w:tc>
        <w:tc>
          <w:tcPr>
            <w:tcW w:w="1286" w:type="dxa"/>
            <w:vAlign w:val="center"/>
          </w:tcPr>
          <w:p w:rsidR="00A57986" w:rsidRDefault="00701A6B">
            <w:pPr>
              <w:jc w:val="right"/>
            </w:pPr>
            <w:r>
              <w:rPr>
                <w:rFonts w:hint="eastAsia"/>
                <w:szCs w:val="21"/>
              </w:rPr>
              <w:t>3</w:t>
            </w:r>
          </w:p>
        </w:tc>
        <w:tc>
          <w:tcPr>
            <w:tcW w:w="1286" w:type="dxa"/>
            <w:vAlign w:val="center"/>
          </w:tcPr>
          <w:p w:rsidR="00A57986" w:rsidRDefault="00701A6B">
            <w:pPr>
              <w:jc w:val="right"/>
            </w:pPr>
            <w:r>
              <w:rPr>
                <w:rFonts w:hint="eastAsia"/>
                <w:szCs w:val="21"/>
              </w:rPr>
              <w:t>-</w:t>
            </w:r>
          </w:p>
        </w:tc>
        <w:tc>
          <w:tcPr>
            <w:tcW w:w="1285" w:type="dxa"/>
            <w:vAlign w:val="center"/>
          </w:tcPr>
          <w:p w:rsidR="00A57986" w:rsidRDefault="00701A6B">
            <w:pPr>
              <w:jc w:val="right"/>
            </w:pPr>
            <w:r>
              <w:rPr>
                <w:rFonts w:hint="eastAsia"/>
                <w:szCs w:val="21"/>
              </w:rPr>
              <w:t>-</w:t>
            </w:r>
          </w:p>
        </w:tc>
        <w:tc>
          <w:tcPr>
            <w:tcW w:w="1285" w:type="dxa"/>
            <w:vAlign w:val="center"/>
          </w:tcPr>
          <w:p w:rsidR="00A57986" w:rsidRDefault="00701A6B">
            <w:pPr>
              <w:jc w:val="right"/>
            </w:pPr>
            <w:r>
              <w:rPr>
                <w:rFonts w:hint="eastAsia"/>
                <w:szCs w:val="21"/>
              </w:rPr>
              <w:t>-</w:t>
            </w:r>
          </w:p>
        </w:tc>
        <w:tc>
          <w:tcPr>
            <w:tcW w:w="1285" w:type="dxa"/>
            <w:vAlign w:val="center"/>
          </w:tcPr>
          <w:p w:rsidR="00A57986" w:rsidRDefault="00701A6B">
            <w:pPr>
              <w:jc w:val="right"/>
            </w:pPr>
            <w:r>
              <w:rPr>
                <w:rFonts w:hint="eastAsia"/>
                <w:szCs w:val="21"/>
              </w:rPr>
              <w:t>-</w:t>
            </w:r>
          </w:p>
        </w:tc>
        <w:tc>
          <w:tcPr>
            <w:tcW w:w="1285" w:type="dxa"/>
            <w:vAlign w:val="center"/>
          </w:tcPr>
          <w:p w:rsidR="00A57986" w:rsidRDefault="00701A6B">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5"/>
    </w:p>
    <w:p w:rsidR="006D141C" w:rsidRPr="006A1080" w:rsidRDefault="00644AB5" w:rsidP="006A1080">
      <w:pPr>
        <w:spacing w:before="29" w:line="288" w:lineRule="auto"/>
        <w:ind w:right="105"/>
        <w:jc w:val="right"/>
        <w:rPr>
          <w:color w:val="000000"/>
          <w:sz w:val="24"/>
        </w:rPr>
      </w:pPr>
      <w:bookmarkStart w:id="46" w:name="_Toc249707408"/>
      <w:r w:rsidRPr="006A1080">
        <w:rPr>
          <w:rFonts w:hint="eastAsia"/>
          <w:color w:val="000000"/>
          <w:sz w:val="24"/>
        </w:rPr>
        <w:t>金额单位</w:t>
      </w:r>
      <w:r w:rsidR="006D141C" w:rsidRPr="006A1080">
        <w:rPr>
          <w:rFonts w:hint="eastAsia"/>
          <w:color w:val="000000"/>
          <w:sz w:val="24"/>
        </w:rPr>
        <w:t>：人民币元</w:t>
      </w:r>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A57986">
        <w:tc>
          <w:tcPr>
            <w:tcW w:w="1286" w:type="dxa"/>
            <w:vAlign w:val="center"/>
          </w:tcPr>
          <w:p w:rsidR="00A57986" w:rsidRDefault="00701A6B">
            <w:pPr>
              <w:jc w:val="left"/>
            </w:pPr>
            <w:r>
              <w:rPr>
                <w:rFonts w:hint="eastAsia"/>
                <w:szCs w:val="21"/>
              </w:rPr>
              <w:t>申万宏源证券有限公司</w:t>
            </w:r>
          </w:p>
        </w:tc>
        <w:tc>
          <w:tcPr>
            <w:tcW w:w="1286" w:type="dxa"/>
            <w:vAlign w:val="center"/>
          </w:tcPr>
          <w:p w:rsidR="00A57986" w:rsidRDefault="00701A6B">
            <w:pPr>
              <w:jc w:val="right"/>
            </w:pPr>
            <w:r>
              <w:rPr>
                <w:rFonts w:hint="eastAsia"/>
                <w:szCs w:val="21"/>
              </w:rPr>
              <w:t>1,005,100.00</w:t>
            </w:r>
          </w:p>
        </w:tc>
        <w:tc>
          <w:tcPr>
            <w:tcW w:w="1286" w:type="dxa"/>
            <w:vAlign w:val="center"/>
          </w:tcPr>
          <w:p w:rsidR="00A57986" w:rsidRDefault="00701A6B">
            <w:pPr>
              <w:jc w:val="right"/>
            </w:pPr>
            <w:r>
              <w:rPr>
                <w:rFonts w:hint="eastAsia"/>
                <w:szCs w:val="21"/>
              </w:rPr>
              <w:t>100.00%</w:t>
            </w:r>
          </w:p>
        </w:tc>
        <w:tc>
          <w:tcPr>
            <w:tcW w:w="1285" w:type="dxa"/>
            <w:vAlign w:val="center"/>
          </w:tcPr>
          <w:p w:rsidR="00A57986" w:rsidRDefault="00701A6B">
            <w:pPr>
              <w:jc w:val="right"/>
            </w:pPr>
            <w:r>
              <w:rPr>
                <w:rFonts w:hint="eastAsia"/>
                <w:szCs w:val="21"/>
              </w:rPr>
              <w:t>17,660,500,000.00</w:t>
            </w:r>
          </w:p>
        </w:tc>
        <w:tc>
          <w:tcPr>
            <w:tcW w:w="1285" w:type="dxa"/>
            <w:vAlign w:val="center"/>
          </w:tcPr>
          <w:p w:rsidR="00A57986" w:rsidRDefault="00701A6B">
            <w:pPr>
              <w:jc w:val="right"/>
            </w:pPr>
            <w:r>
              <w:rPr>
                <w:rFonts w:hint="eastAsia"/>
                <w:szCs w:val="21"/>
              </w:rPr>
              <w:t>100.00%</w:t>
            </w:r>
          </w:p>
        </w:tc>
        <w:tc>
          <w:tcPr>
            <w:tcW w:w="1285" w:type="dxa"/>
            <w:vAlign w:val="center"/>
          </w:tcPr>
          <w:p w:rsidR="00A57986" w:rsidRDefault="00701A6B">
            <w:pPr>
              <w:jc w:val="right"/>
            </w:pPr>
            <w:r>
              <w:rPr>
                <w:rFonts w:hint="eastAsia"/>
                <w:szCs w:val="21"/>
              </w:rPr>
              <w:t>-</w:t>
            </w:r>
          </w:p>
        </w:tc>
        <w:tc>
          <w:tcPr>
            <w:tcW w:w="1285" w:type="dxa"/>
            <w:vAlign w:val="center"/>
          </w:tcPr>
          <w:p w:rsidR="00A57986" w:rsidRDefault="00701A6B">
            <w:pPr>
              <w:jc w:val="right"/>
            </w:pPr>
            <w:r>
              <w:rPr>
                <w:rFonts w:hint="eastAsia"/>
                <w:szCs w:val="21"/>
              </w:rPr>
              <w:t>-</w:t>
            </w:r>
          </w:p>
        </w:tc>
      </w:tr>
    </w:tbl>
    <w:p w:rsidR="00A57986" w:rsidRDefault="00701A6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A57986" w:rsidRDefault="00701A6B">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F360A0">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7"/>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57986">
        <w:tc>
          <w:tcPr>
            <w:tcW w:w="993" w:type="dxa"/>
            <w:vMerge w:val="restart"/>
          </w:tcPr>
          <w:p w:rsidR="00A57986" w:rsidRDefault="00A57986"/>
          <w:p w:rsidR="00A57986" w:rsidRDefault="00701A6B">
            <w:r>
              <w:rPr>
                <w:rFonts w:ascii="宋体" w:hAnsi="宋体" w:hint="eastAsia"/>
                <w:bCs/>
                <w:color w:val="000000"/>
                <w:kern w:val="0"/>
                <w:szCs w:val="21"/>
              </w:rPr>
              <w:t>机构</w:t>
            </w:r>
          </w:p>
        </w:tc>
        <w:tc>
          <w:tcPr>
            <w:tcW w:w="992" w:type="dxa"/>
            <w:vAlign w:val="center"/>
          </w:tcPr>
          <w:p w:rsidR="00A57986" w:rsidRDefault="00701A6B">
            <w:pPr>
              <w:jc w:val="center"/>
            </w:pPr>
            <w:r>
              <w:rPr>
                <w:rFonts w:ascii="宋体" w:hAnsi="宋体"/>
                <w:color w:val="000000"/>
                <w:kern w:val="0"/>
                <w:szCs w:val="21"/>
              </w:rPr>
              <w:t>1</w:t>
            </w:r>
          </w:p>
        </w:tc>
        <w:tc>
          <w:tcPr>
            <w:tcW w:w="1843" w:type="dxa"/>
            <w:vAlign w:val="center"/>
          </w:tcPr>
          <w:p w:rsidR="00A57986" w:rsidRDefault="00701A6B">
            <w:pPr>
              <w:jc w:val="center"/>
            </w:pPr>
            <w:r>
              <w:rPr>
                <w:rFonts w:ascii="宋体" w:hAnsi="宋体"/>
                <w:color w:val="000000"/>
                <w:kern w:val="0"/>
                <w:szCs w:val="21"/>
              </w:rPr>
              <w:t>2018/1/1-2018/12/31</w:t>
            </w:r>
          </w:p>
        </w:tc>
        <w:tc>
          <w:tcPr>
            <w:tcW w:w="851" w:type="dxa"/>
            <w:vAlign w:val="center"/>
          </w:tcPr>
          <w:p w:rsidR="00A57986" w:rsidRDefault="00701A6B">
            <w:pPr>
              <w:jc w:val="center"/>
            </w:pPr>
            <w:r>
              <w:rPr>
                <w:rFonts w:ascii="宋体" w:hAnsi="宋体"/>
                <w:color w:val="000000"/>
                <w:kern w:val="0"/>
                <w:szCs w:val="21"/>
              </w:rPr>
              <w:t>-</w:t>
            </w:r>
          </w:p>
        </w:tc>
        <w:tc>
          <w:tcPr>
            <w:tcW w:w="850" w:type="dxa"/>
            <w:vAlign w:val="center"/>
          </w:tcPr>
          <w:p w:rsidR="00A57986" w:rsidRDefault="00701A6B">
            <w:pPr>
              <w:jc w:val="center"/>
            </w:pPr>
            <w:r>
              <w:rPr>
                <w:rFonts w:ascii="宋体" w:hAnsi="宋体"/>
                <w:color w:val="000000"/>
                <w:kern w:val="0"/>
                <w:szCs w:val="21"/>
              </w:rPr>
              <w:t>13,205,802,292.29</w:t>
            </w:r>
          </w:p>
        </w:tc>
        <w:tc>
          <w:tcPr>
            <w:tcW w:w="1134" w:type="dxa"/>
            <w:vAlign w:val="center"/>
          </w:tcPr>
          <w:p w:rsidR="00A57986" w:rsidRDefault="00701A6B">
            <w:pPr>
              <w:jc w:val="center"/>
            </w:pPr>
            <w:r>
              <w:rPr>
                <w:rFonts w:ascii="宋体" w:hAnsi="宋体"/>
                <w:color w:val="000000"/>
                <w:kern w:val="0"/>
                <w:szCs w:val="21"/>
              </w:rPr>
              <w:t>12,850,000,000.00</w:t>
            </w:r>
          </w:p>
        </w:tc>
        <w:tc>
          <w:tcPr>
            <w:tcW w:w="1419" w:type="dxa"/>
            <w:vAlign w:val="center"/>
          </w:tcPr>
          <w:p w:rsidR="00A57986" w:rsidRDefault="00701A6B">
            <w:pPr>
              <w:jc w:val="center"/>
            </w:pPr>
            <w:r>
              <w:rPr>
                <w:rFonts w:ascii="宋体" w:hAnsi="宋体"/>
                <w:color w:val="000000"/>
                <w:kern w:val="0"/>
                <w:szCs w:val="21"/>
              </w:rPr>
              <w:t>355,802,292.29</w:t>
            </w:r>
          </w:p>
        </w:tc>
        <w:tc>
          <w:tcPr>
            <w:tcW w:w="1130" w:type="dxa"/>
            <w:vAlign w:val="center"/>
          </w:tcPr>
          <w:p w:rsidR="00A57986" w:rsidRDefault="00701A6B">
            <w:pPr>
              <w:jc w:val="center"/>
            </w:pPr>
            <w:r>
              <w:rPr>
                <w:rFonts w:ascii="宋体" w:hAnsi="宋体"/>
                <w:color w:val="000000"/>
                <w:kern w:val="0"/>
                <w:szCs w:val="21"/>
              </w:rPr>
              <w:t>27.33%</w:t>
            </w:r>
          </w:p>
        </w:tc>
      </w:tr>
      <w:tr w:rsidR="00A57986">
        <w:tc>
          <w:tcPr>
            <w:tcW w:w="993" w:type="dxa"/>
            <w:vMerge/>
          </w:tcPr>
          <w:p w:rsidR="00A57986" w:rsidRDefault="00A57986"/>
        </w:tc>
        <w:tc>
          <w:tcPr>
            <w:tcW w:w="992" w:type="dxa"/>
            <w:vAlign w:val="center"/>
          </w:tcPr>
          <w:p w:rsidR="00A57986" w:rsidRDefault="00701A6B">
            <w:pPr>
              <w:jc w:val="center"/>
            </w:pPr>
            <w:r>
              <w:rPr>
                <w:rFonts w:ascii="宋体" w:hAnsi="宋体"/>
                <w:color w:val="000000"/>
                <w:kern w:val="0"/>
                <w:szCs w:val="21"/>
              </w:rPr>
              <w:t>2</w:t>
            </w:r>
          </w:p>
        </w:tc>
        <w:tc>
          <w:tcPr>
            <w:tcW w:w="1843" w:type="dxa"/>
            <w:vAlign w:val="center"/>
          </w:tcPr>
          <w:p w:rsidR="00A57986" w:rsidRDefault="00701A6B">
            <w:pPr>
              <w:jc w:val="center"/>
            </w:pPr>
            <w:r>
              <w:rPr>
                <w:rFonts w:ascii="宋体" w:hAnsi="宋体"/>
                <w:color w:val="000000"/>
                <w:kern w:val="0"/>
                <w:szCs w:val="21"/>
              </w:rPr>
              <w:t>2018/1/1-2018/12/31</w:t>
            </w:r>
          </w:p>
        </w:tc>
        <w:tc>
          <w:tcPr>
            <w:tcW w:w="851" w:type="dxa"/>
            <w:vAlign w:val="center"/>
          </w:tcPr>
          <w:p w:rsidR="00A57986" w:rsidRDefault="00701A6B">
            <w:pPr>
              <w:jc w:val="center"/>
            </w:pPr>
            <w:r>
              <w:rPr>
                <w:rFonts w:ascii="宋体" w:hAnsi="宋体"/>
                <w:color w:val="000000"/>
                <w:kern w:val="0"/>
                <w:szCs w:val="21"/>
              </w:rPr>
              <w:t>303,098,786.85</w:t>
            </w:r>
          </w:p>
        </w:tc>
        <w:tc>
          <w:tcPr>
            <w:tcW w:w="850" w:type="dxa"/>
            <w:vAlign w:val="center"/>
          </w:tcPr>
          <w:p w:rsidR="00A57986" w:rsidRDefault="00701A6B">
            <w:pPr>
              <w:jc w:val="center"/>
            </w:pPr>
            <w:r>
              <w:rPr>
                <w:rFonts w:ascii="宋体" w:hAnsi="宋体"/>
                <w:color w:val="000000"/>
                <w:kern w:val="0"/>
                <w:szCs w:val="21"/>
              </w:rPr>
              <w:t>507,092,183.26</w:t>
            </w:r>
          </w:p>
        </w:tc>
        <w:tc>
          <w:tcPr>
            <w:tcW w:w="1134" w:type="dxa"/>
            <w:vAlign w:val="center"/>
          </w:tcPr>
          <w:p w:rsidR="00A57986" w:rsidRDefault="00701A6B">
            <w:pPr>
              <w:jc w:val="center"/>
            </w:pPr>
            <w:r>
              <w:rPr>
                <w:rFonts w:ascii="宋体" w:hAnsi="宋体"/>
                <w:color w:val="000000"/>
                <w:kern w:val="0"/>
                <w:szCs w:val="21"/>
              </w:rPr>
              <w:t>810,190,970.11</w:t>
            </w:r>
          </w:p>
        </w:tc>
        <w:tc>
          <w:tcPr>
            <w:tcW w:w="1419" w:type="dxa"/>
            <w:vAlign w:val="center"/>
          </w:tcPr>
          <w:p w:rsidR="00A57986" w:rsidRDefault="00701A6B">
            <w:pPr>
              <w:jc w:val="center"/>
            </w:pPr>
            <w:r>
              <w:rPr>
                <w:rFonts w:ascii="宋体" w:hAnsi="宋体"/>
                <w:color w:val="000000"/>
                <w:kern w:val="0"/>
                <w:szCs w:val="21"/>
              </w:rPr>
              <w:t>-</w:t>
            </w:r>
          </w:p>
        </w:tc>
        <w:tc>
          <w:tcPr>
            <w:tcW w:w="1130" w:type="dxa"/>
            <w:vAlign w:val="center"/>
          </w:tcPr>
          <w:p w:rsidR="00A57986" w:rsidRDefault="00701A6B">
            <w:pPr>
              <w:jc w:val="center"/>
            </w:pPr>
            <w:r>
              <w:rPr>
                <w:rFonts w:ascii="宋体" w:hAnsi="宋体"/>
                <w:color w:val="000000"/>
                <w:kern w:val="0"/>
                <w:szCs w:val="21"/>
              </w:rPr>
              <w:t>-</w:t>
            </w:r>
          </w:p>
        </w:tc>
      </w:tr>
      <w:tr w:rsidR="00A57986">
        <w:tc>
          <w:tcPr>
            <w:tcW w:w="993" w:type="dxa"/>
            <w:vMerge/>
          </w:tcPr>
          <w:p w:rsidR="00A57986" w:rsidRDefault="00A57986"/>
        </w:tc>
        <w:tc>
          <w:tcPr>
            <w:tcW w:w="992" w:type="dxa"/>
            <w:vAlign w:val="center"/>
          </w:tcPr>
          <w:p w:rsidR="00A57986" w:rsidRDefault="00701A6B">
            <w:pPr>
              <w:jc w:val="center"/>
            </w:pPr>
            <w:r>
              <w:rPr>
                <w:rFonts w:ascii="宋体" w:hAnsi="宋体"/>
                <w:color w:val="000000"/>
                <w:kern w:val="0"/>
                <w:szCs w:val="21"/>
              </w:rPr>
              <w:t>3</w:t>
            </w:r>
          </w:p>
        </w:tc>
        <w:tc>
          <w:tcPr>
            <w:tcW w:w="1843" w:type="dxa"/>
            <w:vAlign w:val="center"/>
          </w:tcPr>
          <w:p w:rsidR="00A57986" w:rsidRDefault="00701A6B">
            <w:pPr>
              <w:jc w:val="center"/>
            </w:pPr>
            <w:r>
              <w:rPr>
                <w:rFonts w:ascii="宋体" w:hAnsi="宋体"/>
                <w:color w:val="000000"/>
                <w:kern w:val="0"/>
                <w:szCs w:val="21"/>
              </w:rPr>
              <w:t>2018/1/1-2018/12/31</w:t>
            </w:r>
          </w:p>
        </w:tc>
        <w:tc>
          <w:tcPr>
            <w:tcW w:w="851" w:type="dxa"/>
            <w:vAlign w:val="center"/>
          </w:tcPr>
          <w:p w:rsidR="00A57986" w:rsidRDefault="00701A6B">
            <w:pPr>
              <w:jc w:val="center"/>
            </w:pPr>
            <w:r>
              <w:rPr>
                <w:rFonts w:ascii="宋体" w:hAnsi="宋体"/>
                <w:color w:val="000000"/>
                <w:kern w:val="0"/>
                <w:szCs w:val="21"/>
              </w:rPr>
              <w:t>2,000,000,000.00</w:t>
            </w:r>
          </w:p>
        </w:tc>
        <w:tc>
          <w:tcPr>
            <w:tcW w:w="850" w:type="dxa"/>
            <w:vAlign w:val="center"/>
          </w:tcPr>
          <w:p w:rsidR="00A57986" w:rsidRDefault="00701A6B">
            <w:pPr>
              <w:jc w:val="center"/>
            </w:pPr>
            <w:r>
              <w:rPr>
                <w:rFonts w:ascii="宋体" w:hAnsi="宋体"/>
                <w:color w:val="000000"/>
                <w:kern w:val="0"/>
                <w:szCs w:val="21"/>
              </w:rPr>
              <w:t>909,713,523.43</w:t>
            </w:r>
          </w:p>
        </w:tc>
        <w:tc>
          <w:tcPr>
            <w:tcW w:w="1134" w:type="dxa"/>
            <w:vAlign w:val="center"/>
          </w:tcPr>
          <w:p w:rsidR="00A57986" w:rsidRDefault="00701A6B">
            <w:pPr>
              <w:jc w:val="center"/>
            </w:pPr>
            <w:r>
              <w:rPr>
                <w:rFonts w:ascii="宋体" w:hAnsi="宋体"/>
                <w:color w:val="000000"/>
                <w:kern w:val="0"/>
                <w:szCs w:val="21"/>
              </w:rPr>
              <w:t>2,909,713,523.43</w:t>
            </w:r>
          </w:p>
        </w:tc>
        <w:tc>
          <w:tcPr>
            <w:tcW w:w="1419" w:type="dxa"/>
            <w:vAlign w:val="center"/>
          </w:tcPr>
          <w:p w:rsidR="00A57986" w:rsidRDefault="00701A6B">
            <w:pPr>
              <w:jc w:val="center"/>
            </w:pPr>
            <w:r>
              <w:rPr>
                <w:rFonts w:ascii="宋体" w:hAnsi="宋体"/>
                <w:color w:val="000000"/>
                <w:kern w:val="0"/>
                <w:szCs w:val="21"/>
              </w:rPr>
              <w:t>-</w:t>
            </w:r>
          </w:p>
        </w:tc>
        <w:tc>
          <w:tcPr>
            <w:tcW w:w="1130" w:type="dxa"/>
            <w:vAlign w:val="center"/>
          </w:tcPr>
          <w:p w:rsidR="00A57986" w:rsidRDefault="00701A6B">
            <w:pPr>
              <w:jc w:val="center"/>
            </w:pPr>
            <w:r>
              <w:rPr>
                <w:rFonts w:ascii="宋体" w:hAnsi="宋体"/>
                <w:color w:val="000000"/>
                <w:kern w:val="0"/>
                <w:szCs w:val="21"/>
              </w:rPr>
              <w:t>-</w:t>
            </w:r>
          </w:p>
        </w:tc>
      </w:tr>
      <w:tr w:rsidR="00A57986">
        <w:tc>
          <w:tcPr>
            <w:tcW w:w="993" w:type="dxa"/>
            <w:vMerge/>
          </w:tcPr>
          <w:p w:rsidR="00A57986" w:rsidRDefault="00A57986"/>
        </w:tc>
        <w:tc>
          <w:tcPr>
            <w:tcW w:w="992" w:type="dxa"/>
            <w:vAlign w:val="center"/>
          </w:tcPr>
          <w:p w:rsidR="00A57986" w:rsidRDefault="00701A6B">
            <w:pPr>
              <w:jc w:val="center"/>
            </w:pPr>
            <w:r>
              <w:rPr>
                <w:rFonts w:ascii="宋体" w:hAnsi="宋体"/>
                <w:color w:val="000000"/>
                <w:kern w:val="0"/>
                <w:szCs w:val="21"/>
              </w:rPr>
              <w:t>4</w:t>
            </w:r>
          </w:p>
        </w:tc>
        <w:tc>
          <w:tcPr>
            <w:tcW w:w="1843" w:type="dxa"/>
            <w:vAlign w:val="center"/>
          </w:tcPr>
          <w:p w:rsidR="00A57986" w:rsidRDefault="00701A6B">
            <w:pPr>
              <w:jc w:val="center"/>
            </w:pPr>
            <w:r>
              <w:rPr>
                <w:rFonts w:ascii="宋体" w:hAnsi="宋体"/>
                <w:color w:val="000000"/>
                <w:kern w:val="0"/>
                <w:szCs w:val="21"/>
              </w:rPr>
              <w:t>2018/1/1-2018/12/31</w:t>
            </w:r>
          </w:p>
        </w:tc>
        <w:tc>
          <w:tcPr>
            <w:tcW w:w="851" w:type="dxa"/>
            <w:vAlign w:val="center"/>
          </w:tcPr>
          <w:p w:rsidR="00A57986" w:rsidRDefault="00701A6B">
            <w:pPr>
              <w:jc w:val="center"/>
            </w:pPr>
            <w:r>
              <w:rPr>
                <w:rFonts w:ascii="宋体" w:hAnsi="宋体"/>
                <w:color w:val="000000"/>
                <w:kern w:val="0"/>
                <w:szCs w:val="21"/>
              </w:rPr>
              <w:t>-</w:t>
            </w:r>
          </w:p>
        </w:tc>
        <w:tc>
          <w:tcPr>
            <w:tcW w:w="850" w:type="dxa"/>
            <w:vAlign w:val="center"/>
          </w:tcPr>
          <w:p w:rsidR="00A57986" w:rsidRDefault="00701A6B">
            <w:pPr>
              <w:jc w:val="center"/>
            </w:pPr>
            <w:r>
              <w:rPr>
                <w:rFonts w:ascii="宋体" w:hAnsi="宋体"/>
                <w:color w:val="000000"/>
                <w:kern w:val="0"/>
                <w:szCs w:val="21"/>
              </w:rPr>
              <w:t>2,801,441,560.94</w:t>
            </w:r>
          </w:p>
        </w:tc>
        <w:tc>
          <w:tcPr>
            <w:tcW w:w="1134" w:type="dxa"/>
            <w:vAlign w:val="center"/>
          </w:tcPr>
          <w:p w:rsidR="00A57986" w:rsidRDefault="00701A6B">
            <w:pPr>
              <w:jc w:val="center"/>
            </w:pPr>
            <w:r>
              <w:rPr>
                <w:rFonts w:ascii="宋体" w:hAnsi="宋体"/>
                <w:color w:val="000000"/>
                <w:kern w:val="0"/>
                <w:szCs w:val="21"/>
              </w:rPr>
              <w:t>2,801,441,560.94</w:t>
            </w:r>
          </w:p>
        </w:tc>
        <w:tc>
          <w:tcPr>
            <w:tcW w:w="1419" w:type="dxa"/>
            <w:vAlign w:val="center"/>
          </w:tcPr>
          <w:p w:rsidR="00A57986" w:rsidRDefault="00701A6B">
            <w:pPr>
              <w:jc w:val="center"/>
            </w:pPr>
            <w:r>
              <w:rPr>
                <w:rFonts w:ascii="宋体" w:hAnsi="宋体"/>
                <w:color w:val="000000"/>
                <w:kern w:val="0"/>
                <w:szCs w:val="21"/>
              </w:rPr>
              <w:t>-</w:t>
            </w:r>
          </w:p>
        </w:tc>
        <w:tc>
          <w:tcPr>
            <w:tcW w:w="1130" w:type="dxa"/>
            <w:vAlign w:val="center"/>
          </w:tcPr>
          <w:p w:rsidR="00A57986" w:rsidRDefault="00701A6B">
            <w:pPr>
              <w:jc w:val="center"/>
            </w:pPr>
            <w:r>
              <w:rPr>
                <w:rFonts w:ascii="宋体" w:hAnsi="宋体"/>
                <w:color w:val="000000"/>
                <w:kern w:val="0"/>
                <w:szCs w:val="21"/>
              </w:rPr>
              <w:t>-</w:t>
            </w:r>
          </w:p>
        </w:tc>
      </w:tr>
      <w:tr w:rsidR="00A57986">
        <w:tc>
          <w:tcPr>
            <w:tcW w:w="993" w:type="dxa"/>
            <w:vMerge/>
          </w:tcPr>
          <w:p w:rsidR="00A57986" w:rsidRDefault="00A57986"/>
        </w:tc>
        <w:tc>
          <w:tcPr>
            <w:tcW w:w="992" w:type="dxa"/>
            <w:vAlign w:val="center"/>
          </w:tcPr>
          <w:p w:rsidR="00A57986" w:rsidRDefault="00701A6B">
            <w:pPr>
              <w:jc w:val="center"/>
            </w:pPr>
            <w:r>
              <w:rPr>
                <w:rFonts w:ascii="宋体" w:hAnsi="宋体"/>
                <w:color w:val="000000"/>
                <w:kern w:val="0"/>
                <w:szCs w:val="21"/>
              </w:rPr>
              <w:t>5</w:t>
            </w:r>
          </w:p>
        </w:tc>
        <w:tc>
          <w:tcPr>
            <w:tcW w:w="1843" w:type="dxa"/>
            <w:vAlign w:val="center"/>
          </w:tcPr>
          <w:p w:rsidR="00A57986" w:rsidRDefault="00701A6B">
            <w:pPr>
              <w:jc w:val="center"/>
            </w:pPr>
            <w:r>
              <w:rPr>
                <w:rFonts w:ascii="宋体" w:hAnsi="宋体"/>
                <w:color w:val="000000"/>
                <w:kern w:val="0"/>
                <w:szCs w:val="21"/>
              </w:rPr>
              <w:t>2018/1/1-2018/12/31</w:t>
            </w:r>
          </w:p>
        </w:tc>
        <w:tc>
          <w:tcPr>
            <w:tcW w:w="851" w:type="dxa"/>
            <w:vAlign w:val="center"/>
          </w:tcPr>
          <w:p w:rsidR="00A57986" w:rsidRDefault="00701A6B">
            <w:pPr>
              <w:jc w:val="center"/>
            </w:pPr>
            <w:r>
              <w:rPr>
                <w:rFonts w:ascii="宋体" w:hAnsi="宋体"/>
                <w:color w:val="000000"/>
                <w:kern w:val="0"/>
                <w:szCs w:val="21"/>
              </w:rPr>
              <w:t>419,159,665.41</w:t>
            </w:r>
          </w:p>
        </w:tc>
        <w:tc>
          <w:tcPr>
            <w:tcW w:w="850" w:type="dxa"/>
            <w:vAlign w:val="center"/>
          </w:tcPr>
          <w:p w:rsidR="00A57986" w:rsidRDefault="00701A6B">
            <w:pPr>
              <w:jc w:val="center"/>
            </w:pPr>
            <w:r>
              <w:rPr>
                <w:rFonts w:ascii="宋体" w:hAnsi="宋体"/>
                <w:color w:val="000000"/>
                <w:kern w:val="0"/>
                <w:szCs w:val="21"/>
              </w:rPr>
              <w:t>614,592,540.15</w:t>
            </w:r>
          </w:p>
        </w:tc>
        <w:tc>
          <w:tcPr>
            <w:tcW w:w="1134" w:type="dxa"/>
            <w:vAlign w:val="center"/>
          </w:tcPr>
          <w:p w:rsidR="00A57986" w:rsidRDefault="00701A6B">
            <w:pPr>
              <w:jc w:val="center"/>
            </w:pPr>
            <w:r>
              <w:rPr>
                <w:rFonts w:ascii="宋体" w:hAnsi="宋体"/>
                <w:color w:val="000000"/>
                <w:kern w:val="0"/>
                <w:szCs w:val="21"/>
              </w:rPr>
              <w:t>733,258,444.01</w:t>
            </w:r>
          </w:p>
        </w:tc>
        <w:tc>
          <w:tcPr>
            <w:tcW w:w="1419" w:type="dxa"/>
            <w:vAlign w:val="center"/>
          </w:tcPr>
          <w:p w:rsidR="00A57986" w:rsidRDefault="00701A6B">
            <w:pPr>
              <w:jc w:val="center"/>
            </w:pPr>
            <w:r>
              <w:rPr>
                <w:rFonts w:ascii="宋体" w:hAnsi="宋体"/>
                <w:color w:val="000000"/>
                <w:kern w:val="0"/>
                <w:szCs w:val="21"/>
              </w:rPr>
              <w:t>300,493,761.55</w:t>
            </w:r>
          </w:p>
        </w:tc>
        <w:tc>
          <w:tcPr>
            <w:tcW w:w="1130" w:type="dxa"/>
            <w:vAlign w:val="center"/>
          </w:tcPr>
          <w:p w:rsidR="00A57986" w:rsidRDefault="00701A6B">
            <w:pPr>
              <w:jc w:val="center"/>
            </w:pPr>
            <w:r>
              <w:rPr>
                <w:rFonts w:ascii="宋体" w:hAnsi="宋体"/>
                <w:color w:val="000000"/>
                <w:kern w:val="0"/>
                <w:szCs w:val="21"/>
              </w:rPr>
              <w:t>23.08%</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57986" w:rsidRDefault="00701A6B">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254408" w:rsidRPr="004F0662" w:rsidRDefault="00254408" w:rsidP="0025440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二〇一九年三月二十七日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AD" w:rsidRDefault="00AA22AD">
      <w:r>
        <w:separator/>
      </w:r>
    </w:p>
  </w:endnote>
  <w:endnote w:type="continuationSeparator" w:id="0">
    <w:p w:rsidR="00AA22AD" w:rsidRDefault="00A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37179C"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37179C">
      <w:rPr>
        <w:kern w:val="0"/>
        <w:szCs w:val="21"/>
      </w:rPr>
      <w:fldChar w:fldCharType="begin"/>
    </w:r>
    <w:r>
      <w:rPr>
        <w:kern w:val="0"/>
        <w:szCs w:val="21"/>
      </w:rPr>
      <w:instrText xml:space="preserve"> PAGE </w:instrText>
    </w:r>
    <w:r w:rsidR="0037179C">
      <w:rPr>
        <w:kern w:val="0"/>
        <w:szCs w:val="21"/>
      </w:rPr>
      <w:fldChar w:fldCharType="separate"/>
    </w:r>
    <w:r w:rsidR="001E33F0">
      <w:rPr>
        <w:noProof/>
        <w:kern w:val="0"/>
        <w:szCs w:val="21"/>
      </w:rPr>
      <w:t>14</w:t>
    </w:r>
    <w:r w:rsidR="0037179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7179C">
      <w:rPr>
        <w:kern w:val="0"/>
        <w:szCs w:val="21"/>
      </w:rPr>
      <w:fldChar w:fldCharType="begin"/>
    </w:r>
    <w:r>
      <w:rPr>
        <w:kern w:val="0"/>
        <w:szCs w:val="21"/>
      </w:rPr>
      <w:instrText xml:space="preserve"> NUMPAGES </w:instrText>
    </w:r>
    <w:r w:rsidR="0037179C">
      <w:rPr>
        <w:kern w:val="0"/>
        <w:szCs w:val="21"/>
      </w:rPr>
      <w:fldChar w:fldCharType="separate"/>
    </w:r>
    <w:r w:rsidR="001E33F0">
      <w:rPr>
        <w:noProof/>
        <w:kern w:val="0"/>
        <w:szCs w:val="21"/>
      </w:rPr>
      <w:t>36</w:t>
    </w:r>
    <w:r w:rsidR="0037179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AD" w:rsidRDefault="00AA22AD">
      <w:r>
        <w:separator/>
      </w:r>
    </w:p>
  </w:footnote>
  <w:footnote w:type="continuationSeparator" w:id="0">
    <w:p w:rsidR="00AA22AD" w:rsidRDefault="00AA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713CB1" w:rsidRDefault="00713CB1" w:rsidP="00B56BD2">
    <w:pPr>
      <w:pStyle w:val="a9"/>
      <w:pBdr>
        <w:bottom w:val="single" w:sz="6" w:space="0" w:color="auto"/>
      </w:pBdr>
      <w:jc w:val="right"/>
      <w:rPr>
        <w:sz w:val="24"/>
        <w:szCs w:val="24"/>
      </w:rPr>
    </w:pPr>
    <w:r w:rsidRPr="00FB2916">
      <w:rPr>
        <w:sz w:val="24"/>
        <w:szCs w:val="24"/>
      </w:rPr>
      <w:t>交银施罗德货币市场证券投资基金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3F0"/>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A76"/>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2B15"/>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9C"/>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6A57"/>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1A6B"/>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3CB1"/>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A50"/>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86"/>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2AD"/>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0F52"/>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0A0"/>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A1C4B9EB-FF23-4280-8B7C-F5EBC804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F2F3-4F6A-484B-9BD2-E154120A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36</Pages>
  <Words>3758</Words>
  <Characters>21423</Characters>
  <Application>Microsoft Office Word</Application>
  <DocSecurity>0</DocSecurity>
  <Lines>178</Lines>
  <Paragraphs>50</Paragraphs>
  <ScaleCrop>false</ScaleCrop>
  <Company/>
  <LinksUpToDate>false</LinksUpToDate>
  <CharactersWithSpaces>25131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731</cp:revision>
  <cp:lastPrinted>2007-07-19T00:46:00Z</cp:lastPrinted>
  <dcterms:created xsi:type="dcterms:W3CDTF">2013-06-22T02:32:00Z</dcterms:created>
  <dcterms:modified xsi:type="dcterms:W3CDTF">2019-03-26T07:41:00Z</dcterms:modified>
</cp:coreProperties>
</file>