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4,834,609,531.53</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54,341,188.25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4,780,268,343.28</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214,356.39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47,510,360.71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214,356.39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47,510,360.71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54,341,188.25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4,780,268,343.28</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0.6623%</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0.5741%</w:t>
            </w:r>
          </w:p>
        </w:tc>
        <w:tc>
          <w:tcPr>
            <w:vAlign w:val="center"/>
          </w:tcPr>
          <w:p>
            <w:pPr>
              <w:jc w:val="center"/>
            </w:pPr>
            <w:r>
              <w:rPr>
                <w:rFonts w:ascii="Times New Roman" w:hAnsi="Times New Roman"/>
                <w:color w:val="000000"/>
              </w:rPr>
              <w:t>0.0024%</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0.7221%</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0.6339%</w:t>
            </w:r>
          </w:p>
        </w:tc>
        <w:tc>
          <w:tcPr>
            <w:vAlign w:val="center"/>
          </w:tcPr>
          <w:p>
            <w:pPr>
              <w:jc w:val="center"/>
            </w:pPr>
            <w:r>
              <w:rPr>
                <w:rFonts w:ascii="Times New Roman" w:hAnsi="Times New Roman"/>
                <w:color w:val="000000"/>
              </w:rPr>
              <w:t>0.0024%</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在市场宽松预期下维持十二月的加息操作，同时顺应市场对2019年的前瞻性指引给出较为宽松的表态。本报告期内，十年期国债收益率从3.61%水平下行至3.22%。国内货币政策方面，央行对流动性定调为合理充裕，短端利率维持低位，银行间七天质押式回购利率除年底前最后一周因时点性原因有所波动外，基本维持在3.00%以下水平。</w:t>
      </w:r>
    </w:p>
    <w:p>
      <w:pPr>
        <w:spacing w:before="29" w:line="288" w:lineRule="auto"/>
        <w:ind w:firstLine="480" w:firstLineChars="200"/>
        <w:rPr>
          <w:color w:val="000000"/>
          <w:sz w:val="24"/>
        </w:rPr>
      </w:pPr>
      <w:r>
        <w:rPr>
          <w:color w:val="000000"/>
          <w:sz w:val="24"/>
        </w:rPr>
        <w:t>基金操作方面，多投资于估值波动较小的银行存款存单与回购等，组合整体流动性良好。在2018年年末资产收益有一定幅度的上行，我们视组合流动性情况适当拉长久期，增加杠杆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相对紧张的时点可能出现在2019年一月中旬和二月初。此外，需要注意的是在银行流动性指标监管体系下，银行和非银的分层仍将延续，正式跨年前非银的短期资金面或略有紧张。</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2,727,095,272.25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50.05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2,677,095,272.25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49.14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0.92</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1,098,532,647.80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20.16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1,610,685,754.92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29.56</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12,086,965.74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5,448,400,640.71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3.76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611,135,323.30</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12.64</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21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28.94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12.64</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21.26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62.25</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112.45</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12.64</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229,719,323.11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4.75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110,115,263.40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2.28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110,115,263.40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2.28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320,185,723.32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6.62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2,017,074,962.42</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41.72</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2,677,095,272.25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55.37</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189948</w:t>
            </w:r>
          </w:p>
        </w:tc>
        <w:tc>
          <w:tcPr>
            <w:vAlign w:val="center"/>
          </w:tcPr>
          <w:p>
            <w:pPr>
              <w:jc w:val="center"/>
            </w:pPr>
            <w:r>
              <w:rPr>
                <w:color w:val="000000"/>
                <w:sz w:val="24"/>
              </w:rPr>
              <w:t>18贴现国债48</w:t>
            </w:r>
          </w:p>
        </w:tc>
        <w:tc>
          <w:tcPr>
            <w:vAlign w:val="center"/>
          </w:tcPr>
          <w:p>
            <w:pPr>
              <w:jc w:val="right"/>
            </w:pPr>
            <w:r>
              <w:rPr>
                <w:color w:val="000000"/>
                <w:sz w:val="24"/>
              </w:rPr>
              <w:t>2,300,000</w:t>
            </w:r>
          </w:p>
        </w:tc>
        <w:tc>
          <w:tcPr>
            <w:vAlign w:val="center"/>
          </w:tcPr>
          <w:p>
            <w:pPr>
              <w:jc w:val="right"/>
            </w:pPr>
            <w:r>
              <w:rPr>
                <w:color w:val="000000"/>
                <w:sz w:val="24"/>
              </w:rPr>
              <w:t>229,719,323.11</w:t>
            </w:r>
          </w:p>
        </w:tc>
        <w:tc>
          <w:tcPr>
            <w:vAlign w:val="center"/>
          </w:tcPr>
          <w:p>
            <w:pPr>
              <w:jc w:val="right"/>
            </w:pPr>
            <w:r>
              <w:rPr>
                <w:color w:val="000000"/>
                <w:sz w:val="24"/>
              </w:rPr>
              <w:t>4.75</w:t>
            </w:r>
          </w:p>
        </w:tc>
      </w:tr>
      <w:tr>
        <w:tc>
          <w:tcPr>
            <w:vAlign w:val="center"/>
          </w:tcPr>
          <w:p>
            <w:pPr>
              <w:jc w:val="center"/>
            </w:pPr>
            <w:r>
              <w:rPr>
                <w:color w:val="000000"/>
                <w:sz w:val="24"/>
              </w:rPr>
              <w:t>2</w:t>
            </w:r>
          </w:p>
        </w:tc>
        <w:tc>
          <w:tcPr>
            <w:vAlign w:val="center"/>
          </w:tcPr>
          <w:p>
            <w:pPr>
              <w:jc w:val="center"/>
            </w:pPr>
            <w:r>
              <w:rPr>
                <w:color w:val="000000"/>
                <w:sz w:val="24"/>
              </w:rPr>
              <w:t>111821361</w:t>
            </w:r>
          </w:p>
        </w:tc>
        <w:tc>
          <w:tcPr>
            <w:vAlign w:val="center"/>
          </w:tcPr>
          <w:p>
            <w:pPr>
              <w:jc w:val="center"/>
            </w:pPr>
            <w:r>
              <w:rPr>
                <w:color w:val="000000"/>
                <w:sz w:val="24"/>
              </w:rPr>
              <w:t>18渤海银行CD361</w:t>
            </w:r>
          </w:p>
        </w:tc>
        <w:tc>
          <w:tcPr>
            <w:vAlign w:val="center"/>
          </w:tcPr>
          <w:p>
            <w:pPr>
              <w:jc w:val="right"/>
            </w:pPr>
            <w:r>
              <w:rPr>
                <w:color w:val="000000"/>
                <w:sz w:val="24"/>
              </w:rPr>
              <w:t>2,000,000</w:t>
            </w:r>
          </w:p>
        </w:tc>
        <w:tc>
          <w:tcPr>
            <w:vAlign w:val="center"/>
          </w:tcPr>
          <w:p>
            <w:pPr>
              <w:jc w:val="right"/>
            </w:pPr>
            <w:r>
              <w:rPr>
                <w:color w:val="000000"/>
                <w:sz w:val="24"/>
              </w:rPr>
              <w:t>198,899,066.93</w:t>
            </w:r>
          </w:p>
        </w:tc>
        <w:tc>
          <w:tcPr>
            <w:vAlign w:val="center"/>
          </w:tcPr>
          <w:p>
            <w:pPr>
              <w:jc w:val="right"/>
            </w:pPr>
            <w:r>
              <w:rPr>
                <w:color w:val="000000"/>
                <w:sz w:val="24"/>
              </w:rPr>
              <w:t>4.11</w:t>
            </w:r>
          </w:p>
        </w:tc>
      </w:tr>
      <w:tr>
        <w:tc>
          <w:tcPr>
            <w:vAlign w:val="center"/>
          </w:tcPr>
          <w:p>
            <w:pPr>
              <w:jc w:val="center"/>
            </w:pPr>
            <w:r>
              <w:rPr>
                <w:color w:val="000000"/>
                <w:sz w:val="24"/>
              </w:rPr>
              <w:t>3</w:t>
            </w:r>
          </w:p>
        </w:tc>
        <w:tc>
          <w:tcPr>
            <w:vAlign w:val="center"/>
          </w:tcPr>
          <w:p>
            <w:pPr>
              <w:jc w:val="center"/>
            </w:pPr>
            <w:r>
              <w:rPr>
                <w:color w:val="000000"/>
                <w:sz w:val="24"/>
              </w:rPr>
              <w:t>111894414</w:t>
            </w:r>
          </w:p>
        </w:tc>
        <w:tc>
          <w:tcPr>
            <w:vAlign w:val="center"/>
          </w:tcPr>
          <w:p>
            <w:pPr>
              <w:jc w:val="center"/>
            </w:pPr>
            <w:r>
              <w:rPr>
                <w:color w:val="000000"/>
                <w:sz w:val="24"/>
              </w:rPr>
              <w:t>18广州银行CD032</w:t>
            </w:r>
          </w:p>
        </w:tc>
        <w:tc>
          <w:tcPr>
            <w:vAlign w:val="center"/>
          </w:tcPr>
          <w:p>
            <w:pPr>
              <w:jc w:val="right"/>
            </w:pPr>
            <w:r>
              <w:rPr>
                <w:color w:val="000000"/>
                <w:sz w:val="24"/>
              </w:rPr>
              <w:t>2,000,000</w:t>
            </w:r>
          </w:p>
        </w:tc>
        <w:tc>
          <w:tcPr>
            <w:vAlign w:val="center"/>
          </w:tcPr>
          <w:p>
            <w:pPr>
              <w:jc w:val="right"/>
            </w:pPr>
            <w:r>
              <w:rPr>
                <w:color w:val="000000"/>
                <w:sz w:val="24"/>
              </w:rPr>
              <w:t>198,512,514.27</w:t>
            </w:r>
          </w:p>
        </w:tc>
        <w:tc>
          <w:tcPr>
            <w:vAlign w:val="center"/>
          </w:tcPr>
          <w:p>
            <w:pPr>
              <w:jc w:val="right"/>
            </w:pPr>
            <w:r>
              <w:rPr>
                <w:color w:val="000000"/>
                <w:sz w:val="24"/>
              </w:rPr>
              <w:t>4.11</w:t>
            </w:r>
          </w:p>
        </w:tc>
      </w:tr>
      <w:tr>
        <w:tc>
          <w:tcPr>
            <w:vAlign w:val="center"/>
          </w:tcPr>
          <w:p>
            <w:pPr>
              <w:jc w:val="center"/>
            </w:pPr>
            <w:r>
              <w:rPr>
                <w:color w:val="000000"/>
                <w:sz w:val="24"/>
              </w:rPr>
              <w:t>4</w:t>
            </w:r>
          </w:p>
        </w:tc>
        <w:tc>
          <w:tcPr>
            <w:vAlign w:val="center"/>
          </w:tcPr>
          <w:p>
            <w:pPr>
              <w:jc w:val="center"/>
            </w:pPr>
            <w:r>
              <w:rPr>
                <w:color w:val="000000"/>
                <w:sz w:val="24"/>
              </w:rPr>
              <w:t>111897987</w:t>
            </w:r>
          </w:p>
        </w:tc>
        <w:tc>
          <w:tcPr>
            <w:vAlign w:val="center"/>
          </w:tcPr>
          <w:p>
            <w:pPr>
              <w:jc w:val="center"/>
            </w:pPr>
            <w:r>
              <w:rPr>
                <w:color w:val="000000"/>
                <w:sz w:val="24"/>
              </w:rPr>
              <w:t>18锦州银行CD102</w:t>
            </w:r>
          </w:p>
        </w:tc>
        <w:tc>
          <w:tcPr>
            <w:vAlign w:val="center"/>
          </w:tcPr>
          <w:p>
            <w:pPr>
              <w:jc w:val="right"/>
            </w:pPr>
            <w:r>
              <w:rPr>
                <w:color w:val="000000"/>
                <w:sz w:val="24"/>
              </w:rPr>
              <w:t>1,000,000</w:t>
            </w:r>
          </w:p>
        </w:tc>
        <w:tc>
          <w:tcPr>
            <w:vAlign w:val="center"/>
          </w:tcPr>
          <w:p>
            <w:pPr>
              <w:jc w:val="right"/>
            </w:pPr>
            <w:r>
              <w:rPr>
                <w:color w:val="000000"/>
                <w:sz w:val="24"/>
              </w:rPr>
              <w:t>99,494,141.25</w:t>
            </w:r>
          </w:p>
        </w:tc>
        <w:tc>
          <w:tcPr>
            <w:vAlign w:val="center"/>
          </w:tcPr>
          <w:p>
            <w:pPr>
              <w:jc w:val="right"/>
            </w:pPr>
            <w:r>
              <w:rPr>
                <w:color w:val="000000"/>
                <w:sz w:val="24"/>
              </w:rPr>
              <w:t>2.06</w:t>
            </w:r>
          </w:p>
        </w:tc>
      </w:tr>
      <w:tr>
        <w:tc>
          <w:tcPr>
            <w:vAlign w:val="center"/>
          </w:tcPr>
          <w:p>
            <w:pPr>
              <w:jc w:val="center"/>
            </w:pPr>
            <w:r>
              <w:rPr>
                <w:color w:val="000000"/>
                <w:sz w:val="24"/>
              </w:rPr>
              <w:t>5</w:t>
            </w:r>
          </w:p>
        </w:tc>
        <w:tc>
          <w:tcPr>
            <w:vAlign w:val="center"/>
          </w:tcPr>
          <w:p>
            <w:pPr>
              <w:jc w:val="center"/>
            </w:pPr>
            <w:r>
              <w:rPr>
                <w:color w:val="000000"/>
                <w:sz w:val="24"/>
              </w:rPr>
              <w:t>111814272</w:t>
            </w:r>
          </w:p>
        </w:tc>
        <w:tc>
          <w:tcPr>
            <w:vAlign w:val="center"/>
          </w:tcPr>
          <w:p>
            <w:pPr>
              <w:jc w:val="center"/>
            </w:pPr>
            <w:r>
              <w:rPr>
                <w:color w:val="000000"/>
                <w:sz w:val="24"/>
              </w:rPr>
              <w:t>18江苏银行CD272</w:t>
            </w:r>
          </w:p>
        </w:tc>
        <w:tc>
          <w:tcPr>
            <w:vAlign w:val="center"/>
          </w:tcPr>
          <w:p>
            <w:pPr>
              <w:jc w:val="right"/>
            </w:pPr>
            <w:r>
              <w:rPr>
                <w:color w:val="000000"/>
                <w:sz w:val="24"/>
              </w:rPr>
              <w:t>1,000,000</w:t>
            </w:r>
          </w:p>
        </w:tc>
        <w:tc>
          <w:tcPr>
            <w:vAlign w:val="center"/>
          </w:tcPr>
          <w:p>
            <w:pPr>
              <w:jc w:val="right"/>
            </w:pPr>
            <w:r>
              <w:rPr>
                <w:color w:val="000000"/>
                <w:sz w:val="24"/>
              </w:rPr>
              <w:t>99,486,939.96</w:t>
            </w:r>
          </w:p>
        </w:tc>
        <w:tc>
          <w:tcPr>
            <w:vAlign w:val="center"/>
          </w:tcPr>
          <w:p>
            <w:pPr>
              <w:jc w:val="right"/>
            </w:pPr>
            <w:r>
              <w:rPr>
                <w:color w:val="000000"/>
                <w:sz w:val="24"/>
              </w:rPr>
              <w:t>2.06</w:t>
            </w:r>
          </w:p>
        </w:tc>
      </w:tr>
      <w:tr>
        <w:tc>
          <w:tcPr>
            <w:vAlign w:val="center"/>
          </w:tcPr>
          <w:p>
            <w:pPr>
              <w:jc w:val="center"/>
            </w:pPr>
            <w:r>
              <w:rPr>
                <w:color w:val="000000"/>
                <w:sz w:val="24"/>
              </w:rPr>
              <w:t>6</w:t>
            </w:r>
          </w:p>
        </w:tc>
        <w:tc>
          <w:tcPr>
            <w:vAlign w:val="center"/>
          </w:tcPr>
          <w:p>
            <w:pPr>
              <w:jc w:val="center"/>
            </w:pPr>
            <w:r>
              <w:rPr>
                <w:color w:val="000000"/>
                <w:sz w:val="24"/>
              </w:rPr>
              <w:t>111870619</w:t>
            </w:r>
          </w:p>
        </w:tc>
        <w:tc>
          <w:tcPr>
            <w:vAlign w:val="center"/>
          </w:tcPr>
          <w:p>
            <w:pPr>
              <w:jc w:val="center"/>
            </w:pPr>
            <w:r>
              <w:rPr>
                <w:color w:val="000000"/>
                <w:sz w:val="24"/>
              </w:rPr>
              <w:t>18大连银行CD189</w:t>
            </w:r>
          </w:p>
        </w:tc>
        <w:tc>
          <w:tcPr>
            <w:vAlign w:val="center"/>
          </w:tcPr>
          <w:p>
            <w:pPr>
              <w:jc w:val="right"/>
            </w:pPr>
            <w:r>
              <w:rPr>
                <w:color w:val="000000"/>
                <w:sz w:val="24"/>
              </w:rPr>
              <w:t>1,000,000</w:t>
            </w:r>
          </w:p>
        </w:tc>
        <w:tc>
          <w:tcPr>
            <w:vAlign w:val="center"/>
          </w:tcPr>
          <w:p>
            <w:pPr>
              <w:jc w:val="right"/>
            </w:pPr>
            <w:r>
              <w:rPr>
                <w:color w:val="000000"/>
                <w:sz w:val="24"/>
              </w:rPr>
              <w:t>99,434,343.61</w:t>
            </w:r>
          </w:p>
        </w:tc>
        <w:tc>
          <w:tcPr>
            <w:vAlign w:val="center"/>
          </w:tcPr>
          <w:p>
            <w:pPr>
              <w:jc w:val="right"/>
            </w:pPr>
            <w:r>
              <w:rPr>
                <w:color w:val="000000"/>
                <w:sz w:val="24"/>
              </w:rPr>
              <w:t>2.06</w:t>
            </w:r>
          </w:p>
        </w:tc>
      </w:tr>
      <w:tr>
        <w:tc>
          <w:tcPr>
            <w:vAlign w:val="center"/>
          </w:tcPr>
          <w:p>
            <w:pPr>
              <w:jc w:val="center"/>
            </w:pPr>
            <w:r>
              <w:rPr>
                <w:color w:val="000000"/>
                <w:sz w:val="24"/>
              </w:rPr>
              <w:t>7</w:t>
            </w:r>
          </w:p>
        </w:tc>
        <w:tc>
          <w:tcPr>
            <w:vAlign w:val="center"/>
          </w:tcPr>
          <w:p>
            <w:pPr>
              <w:jc w:val="center"/>
            </w:pPr>
            <w:r>
              <w:rPr>
                <w:color w:val="000000"/>
                <w:sz w:val="24"/>
              </w:rPr>
              <w:t>111871034</w:t>
            </w:r>
          </w:p>
        </w:tc>
        <w:tc>
          <w:tcPr>
            <w:vAlign w:val="center"/>
          </w:tcPr>
          <w:p>
            <w:pPr>
              <w:jc w:val="center"/>
            </w:pPr>
            <w:r>
              <w:rPr>
                <w:color w:val="000000"/>
                <w:sz w:val="24"/>
              </w:rPr>
              <w:t>18苏州银行CD159</w:t>
            </w:r>
          </w:p>
        </w:tc>
        <w:tc>
          <w:tcPr>
            <w:vAlign w:val="center"/>
          </w:tcPr>
          <w:p>
            <w:pPr>
              <w:jc w:val="right"/>
            </w:pPr>
            <w:r>
              <w:rPr>
                <w:color w:val="000000"/>
                <w:sz w:val="24"/>
              </w:rPr>
              <w:t>1,000,000</w:t>
            </w:r>
          </w:p>
        </w:tc>
        <w:tc>
          <w:tcPr>
            <w:vAlign w:val="center"/>
          </w:tcPr>
          <w:p>
            <w:pPr>
              <w:jc w:val="right"/>
            </w:pPr>
            <w:r>
              <w:rPr>
                <w:color w:val="000000"/>
                <w:sz w:val="24"/>
              </w:rPr>
              <w:t>99,395,795.31</w:t>
            </w:r>
          </w:p>
        </w:tc>
        <w:tc>
          <w:tcPr>
            <w:vAlign w:val="center"/>
          </w:tcPr>
          <w:p>
            <w:pPr>
              <w:jc w:val="right"/>
            </w:pPr>
            <w:r>
              <w:rPr>
                <w:color w:val="000000"/>
                <w:sz w:val="24"/>
              </w:rPr>
              <w:t>2.06</w:t>
            </w:r>
          </w:p>
        </w:tc>
      </w:tr>
      <w:tr>
        <w:tc>
          <w:tcPr>
            <w:vAlign w:val="center"/>
          </w:tcPr>
          <w:p>
            <w:pPr>
              <w:jc w:val="center"/>
            </w:pPr>
            <w:r>
              <w:rPr>
                <w:color w:val="000000"/>
                <w:sz w:val="24"/>
              </w:rPr>
              <w:t>8</w:t>
            </w:r>
          </w:p>
        </w:tc>
        <w:tc>
          <w:tcPr>
            <w:vAlign w:val="center"/>
          </w:tcPr>
          <w:p>
            <w:pPr>
              <w:jc w:val="center"/>
            </w:pPr>
            <w:r>
              <w:rPr>
                <w:color w:val="000000"/>
                <w:sz w:val="24"/>
              </w:rPr>
              <w:t>111871872</w:t>
            </w:r>
          </w:p>
        </w:tc>
        <w:tc>
          <w:tcPr>
            <w:vAlign w:val="center"/>
          </w:tcPr>
          <w:p>
            <w:pPr>
              <w:jc w:val="center"/>
            </w:pPr>
            <w:r>
              <w:rPr>
                <w:color w:val="000000"/>
                <w:sz w:val="24"/>
              </w:rPr>
              <w:t>18徽商银行CD192</w:t>
            </w:r>
          </w:p>
        </w:tc>
        <w:tc>
          <w:tcPr>
            <w:vAlign w:val="center"/>
          </w:tcPr>
          <w:p>
            <w:pPr>
              <w:jc w:val="right"/>
            </w:pPr>
            <w:r>
              <w:rPr>
                <w:color w:val="000000"/>
                <w:sz w:val="24"/>
              </w:rPr>
              <w:t>1,000,000</w:t>
            </w:r>
          </w:p>
        </w:tc>
        <w:tc>
          <w:tcPr>
            <w:vAlign w:val="center"/>
          </w:tcPr>
          <w:p>
            <w:pPr>
              <w:jc w:val="right"/>
            </w:pPr>
            <w:r>
              <w:rPr>
                <w:color w:val="000000"/>
                <w:sz w:val="24"/>
              </w:rPr>
              <w:t>99,307,704.39</w:t>
            </w:r>
          </w:p>
        </w:tc>
        <w:tc>
          <w:tcPr>
            <w:vAlign w:val="center"/>
          </w:tcPr>
          <w:p>
            <w:pPr>
              <w:jc w:val="right"/>
            </w:pPr>
            <w:r>
              <w:rPr>
                <w:color w:val="000000"/>
                <w:sz w:val="24"/>
              </w:rPr>
              <w:t>2.05</w:t>
            </w:r>
          </w:p>
        </w:tc>
      </w:tr>
      <w:tr>
        <w:tc>
          <w:tcPr>
            <w:vAlign w:val="center"/>
          </w:tcPr>
          <w:p>
            <w:pPr>
              <w:jc w:val="center"/>
            </w:pPr>
            <w:r>
              <w:rPr>
                <w:color w:val="000000"/>
                <w:sz w:val="24"/>
              </w:rPr>
              <w:t>9</w:t>
            </w:r>
          </w:p>
        </w:tc>
        <w:tc>
          <w:tcPr>
            <w:vAlign w:val="center"/>
          </w:tcPr>
          <w:p>
            <w:pPr>
              <w:jc w:val="center"/>
            </w:pPr>
            <w:r>
              <w:rPr>
                <w:color w:val="000000"/>
                <w:sz w:val="24"/>
              </w:rPr>
              <w:t>111872108</w:t>
            </w:r>
          </w:p>
        </w:tc>
        <w:tc>
          <w:tcPr>
            <w:vAlign w:val="center"/>
          </w:tcPr>
          <w:p>
            <w:pPr>
              <w:jc w:val="center"/>
            </w:pPr>
            <w:r>
              <w:rPr>
                <w:color w:val="000000"/>
                <w:sz w:val="24"/>
              </w:rPr>
              <w:t>18徽商银行CD199</w:t>
            </w:r>
          </w:p>
        </w:tc>
        <w:tc>
          <w:tcPr>
            <w:vAlign w:val="center"/>
          </w:tcPr>
          <w:p>
            <w:pPr>
              <w:jc w:val="right"/>
            </w:pPr>
            <w:r>
              <w:rPr>
                <w:color w:val="000000"/>
                <w:sz w:val="24"/>
              </w:rPr>
              <w:t>1,000,000</w:t>
            </w:r>
          </w:p>
        </w:tc>
        <w:tc>
          <w:tcPr>
            <w:vAlign w:val="center"/>
          </w:tcPr>
          <w:p>
            <w:pPr>
              <w:jc w:val="right"/>
            </w:pPr>
            <w:r>
              <w:rPr>
                <w:color w:val="000000"/>
                <w:sz w:val="24"/>
              </w:rPr>
              <w:t>99,258,055.66</w:t>
            </w:r>
          </w:p>
        </w:tc>
        <w:tc>
          <w:tcPr>
            <w:vAlign w:val="center"/>
          </w:tcPr>
          <w:p>
            <w:pPr>
              <w:jc w:val="right"/>
            </w:pPr>
            <w:r>
              <w:rPr>
                <w:color w:val="000000"/>
                <w:sz w:val="24"/>
              </w:rPr>
              <w:t>2.05</w:t>
            </w:r>
          </w:p>
        </w:tc>
      </w:tr>
      <w:tr>
        <w:tc>
          <w:tcPr>
            <w:vAlign w:val="center"/>
          </w:tcPr>
          <w:p>
            <w:pPr>
              <w:jc w:val="center"/>
            </w:pPr>
            <w:r>
              <w:rPr>
                <w:color w:val="000000"/>
                <w:sz w:val="24"/>
              </w:rPr>
              <w:t>10</w:t>
            </w:r>
          </w:p>
        </w:tc>
        <w:tc>
          <w:tcPr>
            <w:vAlign w:val="center"/>
          </w:tcPr>
          <w:p>
            <w:pPr>
              <w:jc w:val="center"/>
            </w:pPr>
            <w:r>
              <w:rPr>
                <w:color w:val="000000"/>
                <w:sz w:val="24"/>
              </w:rPr>
              <w:t>111821390</w:t>
            </w:r>
          </w:p>
        </w:tc>
        <w:tc>
          <w:tcPr>
            <w:vAlign w:val="center"/>
          </w:tcPr>
          <w:p>
            <w:pPr>
              <w:jc w:val="center"/>
            </w:pPr>
            <w:r>
              <w:rPr>
                <w:color w:val="000000"/>
                <w:sz w:val="24"/>
              </w:rPr>
              <w:t>18渤海银行CD390</w:t>
            </w:r>
          </w:p>
        </w:tc>
        <w:tc>
          <w:tcPr>
            <w:vAlign w:val="center"/>
          </w:tcPr>
          <w:p>
            <w:pPr>
              <w:jc w:val="right"/>
            </w:pPr>
            <w:r>
              <w:rPr>
                <w:color w:val="000000"/>
                <w:sz w:val="24"/>
              </w:rPr>
              <w:t>1,000,000</w:t>
            </w:r>
          </w:p>
        </w:tc>
        <w:tc>
          <w:tcPr>
            <w:vAlign w:val="center"/>
          </w:tcPr>
          <w:p>
            <w:pPr>
              <w:jc w:val="right"/>
            </w:pPr>
            <w:r>
              <w:rPr>
                <w:color w:val="000000"/>
                <w:sz w:val="24"/>
              </w:rPr>
              <w:t>99,189,911.73</w:t>
            </w:r>
          </w:p>
        </w:tc>
        <w:tc>
          <w:tcPr>
            <w:vAlign w:val="center"/>
          </w:tcPr>
          <w:p>
            <w:pPr>
              <w:jc w:val="right"/>
            </w:pPr>
            <w:r>
              <w:rPr>
                <w:color w:val="000000"/>
                <w:sz w:val="24"/>
              </w:rPr>
              <w:t>2.05</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0.0721%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-0.0303%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0.0367%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156288</w:t>
            </w:r>
          </w:p>
        </w:tc>
        <w:tc>
          <w:tcPr>
            <w:vAlign w:val="center"/>
          </w:tcPr>
          <w:p>
            <w:pPr>
              <w:jc w:val="center"/>
            </w:pPr>
            <w:r>
              <w:rPr>
                <w:color w:val="000000"/>
                <w:sz w:val="24"/>
              </w:rPr>
              <w:t>宁远07A1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1.03</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12,086,965.74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12,086,965.74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1,901,197.06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5,831,931,959.96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54,911,694.21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6,328,707,200.55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2,471,703.02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7,380,370,817.23</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54,341,188.25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4,780,268,343.28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1,649,734,672.84</w:t>
            </w:r>
          </w:p>
        </w:tc>
        <w:tc>
          <w:tcPr>
            <w:vAlign w:val="center"/>
          </w:tcPr>
          <w:p>
            <w:pPr>
              <w:jc w:val="center"/>
            </w:pPr>
            <w:r>
              <w:rPr>
                <w:rFonts w:ascii="宋体" w:hAnsi="宋体" w:hint="eastAsia"/>
                <w:color w:val="000000"/>
                <w:kern w:val="0"/>
                <w:szCs w:val="21"/>
              </w:rPr>
              <w:t>423,627,953.43</w:t>
            </w:r>
          </w:p>
        </w:tc>
        <w:tc>
          <w:tcPr>
            <w:vAlign w:val="center"/>
          </w:tcPr>
          <w:p>
            <w:pPr>
              <w:jc w:val="center"/>
            </w:pPr>
            <w:r>
              <w:rPr>
                <w:rFonts w:ascii="宋体" w:hAnsi="宋体" w:hint="eastAsia"/>
                <w:color w:val="000000"/>
                <w:kern w:val="0"/>
                <w:szCs w:val="21"/>
              </w:rPr>
              <w:t>700,000,000.00</w:t>
            </w:r>
          </w:p>
        </w:tc>
        <w:tc>
          <w:tcPr>
            <w:vAlign w:val="center"/>
          </w:tcPr>
          <w:p>
            <w:pPr>
              <w:jc w:val="center"/>
            </w:pPr>
            <w:r>
              <w:rPr>
                <w:rFonts w:ascii="宋体" w:hAnsi="宋体" w:hint="eastAsia"/>
                <w:color w:val="000000"/>
                <w:kern w:val="0"/>
                <w:szCs w:val="21"/>
              </w:rPr>
              <w:t>1,373,362,626.27</w:t>
            </w:r>
          </w:p>
        </w:tc>
        <w:tc>
          <w:tcPr>
            <w:vAlign w:val="center"/>
          </w:tcPr>
          <w:p>
            <w:pPr>
              <w:jc w:val="center"/>
            </w:pPr>
            <w:r>
              <w:rPr>
                <w:rFonts w:ascii="宋体" w:hAnsi="宋体" w:hint="eastAsia"/>
                <w:color w:val="000000"/>
                <w:kern w:val="0"/>
                <w:szCs w:val="21"/>
              </w:rPr>
              <w:t>28.41%</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606,137,919.33</w:t>
            </w:r>
          </w:p>
        </w:tc>
        <w:tc>
          <w:tcPr>
            <w:vAlign w:val="center"/>
          </w:tcPr>
          <w:p>
            <w:pPr>
              <w:jc w:val="center"/>
            </w:pPr>
            <w:r>
              <w:rPr>
                <w:rFonts w:ascii="宋体" w:hAnsi="宋体" w:hint="eastAsia"/>
                <w:color w:val="000000"/>
                <w:kern w:val="0"/>
                <w:szCs w:val="21"/>
              </w:rPr>
              <w:t>504,902,811.01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1,111,040,730.34</w:t>
            </w:r>
          </w:p>
        </w:tc>
        <w:tc>
          <w:tcPr>
            <w:vAlign w:val="center"/>
          </w:tcPr>
          <w:p>
            <w:pPr>
              <w:jc w:val="center"/>
            </w:pPr>
            <w:r>
              <w:rPr>
                <w:rFonts w:ascii="宋体" w:hAnsi="宋体" w:hint="eastAsia"/>
                <w:color w:val="000000"/>
                <w:kern w:val="0"/>
                <w:szCs w:val="21"/>
              </w:rPr>
              <w:t>22.98%</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1,517,538,673.10</w:t>
            </w:r>
          </w:p>
        </w:tc>
        <w:tc>
          <w:tcPr>
            <w:vAlign w:val="center"/>
          </w:tcPr>
          <w:p>
            <w:pPr>
              <w:jc w:val="center"/>
            </w:pPr>
            <w:r>
              <w:rPr>
                <w:rFonts w:ascii="宋体" w:hAnsi="宋体" w:hint="eastAsia"/>
                <w:color w:val="000000"/>
                <w:kern w:val="0"/>
                <w:szCs w:val="21"/>
              </w:rPr>
              <w:t>606,650,727.88</w:t>
            </w:r>
          </w:p>
        </w:tc>
        <w:tc>
          <w:tcPr>
            <w:vAlign w:val="center"/>
          </w:tcPr>
          <w:p>
            <w:pPr>
              <w:jc w:val="center"/>
            </w:pPr>
            <w:r>
              <w:rPr>
                <w:rFonts w:ascii="宋体" w:hAnsi="宋体" w:hint="eastAsia"/>
                <w:color w:val="000000"/>
                <w:kern w:val="0"/>
                <w:szCs w:val="21"/>
              </w:rPr>
              <w:t>1,522,664,380.32</w:t>
            </w:r>
          </w:p>
        </w:tc>
        <w:tc>
          <w:tcPr>
            <w:vAlign w:val="center"/>
          </w:tcPr>
          <w:p>
            <w:pPr>
              <w:jc w:val="center"/>
            </w:pPr>
            <w:r>
              <w:rPr>
                <w:rFonts w:ascii="宋体" w:hAnsi="宋体" w:hint="eastAsia"/>
                <w:color w:val="000000"/>
                <w:kern w:val="0"/>
                <w:szCs w:val="21"/>
              </w:rPr>
              <w:t>601,525,020.66</w:t>
            </w:r>
          </w:p>
        </w:tc>
        <w:tc>
          <w:tcPr>
            <w:vAlign w:val="center"/>
          </w:tcPr>
          <w:p>
            <w:pPr>
              <w:jc w:val="center"/>
            </w:pPr>
            <w:r>
              <w:rPr>
                <w:rFonts w:ascii="宋体" w:hAnsi="宋体" w:hint="eastAsia"/>
                <w:color w:val="000000"/>
                <w:kern w:val="0"/>
                <w:szCs w:val="21"/>
              </w:rPr>
              <w:t>12.44%</w:t>
            </w:r>
          </w:p>
        </w:tc>
      </w:tr>
      <w:tr>
        <w:tc>
          <w:tcPr>
            <w:vMerge/>
          </w:tcPr>
          <w:p/>
        </w:tc>
        <w:tc>
          <w:tcPr>
            <w:vAlign w:val="center"/>
          </w:tcPr>
          <w:p>
            <w:pPr>
              <w:jc w:val="center"/>
            </w:pPr>
            <w:r>
              <w:rPr>
                <w:rFonts w:ascii="宋体" w:hAnsi="宋体" w:hint="eastAsia"/>
                <w:color w:val="000000"/>
                <w:kern w:val="0"/>
                <w:szCs w:val="21"/>
              </w:rPr>
              <w:t>4</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1,002,530,858.57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1,002,530,858.57</w:t>
            </w:r>
          </w:p>
        </w:tc>
        <w:tc>
          <w:tcPr>
            <w:vAlign w:val="center"/>
          </w:tcPr>
          <w:p>
            <w:pPr>
              <w:jc w:val="center"/>
            </w:pPr>
            <w:r>
              <w:rPr>
                <w:rFonts w:ascii="宋体" w:hAnsi="宋体" w:hint="eastAsia"/>
                <w:color w:val="000000"/>
                <w:kern w:val="0"/>
                <w:szCs w:val="21"/>
              </w:rPr>
              <w:t>20.74%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交银施罗德天益宝货币市场基金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