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交银施罗德天鑫宝货币市场基金</w:t>
      </w: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2018年第4季度报告</w:t>
      </w:r>
    </w:p>
    <w:p w:rsidP="00281564" w:rsidR="002B45A4" w:rsidRDefault="00D87D00"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2018年12月31日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
      </w:r>
      <w:proofErr w:type="spellStart"/>
      <w:r w:rsidRPr="001E1B20">
        <w:rPr>
          <w:b/>
          <w:color w:val="000000"/>
          <w:sz w:val="24"/>
        </w:rPr>
        <w:t/>
      </w:r>
      <w:proofErr w:type="spellEnd"/>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
      </w:r>
      <w:proofErr w:type="spellStart"/>
      <w:r w:rsidRPr="001E1B20">
        <w:rPr>
          <w:b/>
          <w:color w:val="000000"/>
          <w:sz w:val="24"/>
        </w:rPr>
        <w:t/>
      </w:r>
      <w:proofErr w:type="spellEnd"/>
      <w:r w:rsidRPr="001E1B20">
        <w:rPr>
          <w:b/>
          <w:color w:val="000000"/>
          <w:sz w:val="24"/>
        </w:rPr>
        <w:t>兴业银行股份有限公司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proofErr w:type="spellStart"/>
      <w:r w:rsidR="00EF56FA" w:rsidRPr="001E1B20">
        <w:rPr>
          <w:b/>
          <w:color w:val="000000"/>
          <w:sz w:val="24"/>
        </w:rPr>
        <w:t/>
      </w:r>
      <w:r w:rsidR="00D87D00" w:rsidRPr="001E1B20">
        <w:rPr>
          <w:b/>
          <w:color w:val="000000"/>
          <w:sz w:val="24"/>
        </w:rPr>
        <w:t/>
      </w:r>
      <w:proofErr w:type="spellEnd"/>
      <w:r w:rsidR="00EF56FA" w:rsidRPr="001E1B20">
        <w:rPr>
          <w:b/>
          <w:color w:val="000000"/>
          <w:sz w:val="24"/>
        </w:rPr>
        <w:t>二〇一九年一月二十一日</w:t>
      </w:r>
    </w:p>
    <w:p w:rsidP="00841EB4" w:rsidR="00902E3F" w:rsidRDefault="00902E3F" w:rsidRPr="000E4C40">
      <w:pPr>
        <w:pStyle w:val="1"/>
        <w:spacing w:afterLines="100"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基金托管人兴业银行股份有限公司根据本基金合同规定，于2019年1月18日复核了本报告中的财务指标、净值表现和投资组合报告等内容，保证复核内容不存在虚假记载、误导性陈述或者重大遗漏。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本报告期自2018年10月1日起至12月31日止。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交银天鑫宝货币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003482</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2016年12月7日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11,668,999,005.45</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兴业银行股份有限公司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交银天鑫宝货币A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交银天鑫宝货币E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003482</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003483</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004702DF"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40,775,558.60</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11,628,223,446.85</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w:t>
            </w:r>
            <w:proofErr w:type="spellStart"/>
            <w:r w:rsidRPr="000E4C40">
              <w:rPr>
                <w:color w:val="000000"/>
                <w:sz w:val="24"/>
              </w:rPr>
              <w:t/>
            </w:r>
            <w:proofErr w:type="spellEnd"/>
            <w:r w:rsidRPr="000E4C40">
              <w:rPr>
                <w:color w:val="000000"/>
                <w:sz w:val="24"/>
              </w:rPr>
              <w:t>2018年10月1日-</w:t>
            </w:r>
            <w:proofErr w:type="spellStart"/>
            <w:r w:rsidRPr="000E4C40">
              <w:rPr>
                <w:color w:val="000000"/>
                <w:sz w:val="24"/>
              </w:rPr>
              <w:t/>
            </w:r>
            <w:proofErr w:type="spellEnd"/>
            <w:r w:rsidRPr="000E4C40">
              <w:rPr>
                <w:color w:val="000000"/>
                <w:sz w:val="24"/>
              </w:rPr>
              <w:t>2018年12月31日)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proofErr w:type="spellStart"/>
            <w:r w:rsidRPr="000E4C40">
              <w:rPr>
                <w:color w:val="000000"/>
                <w:kern w:val="0"/>
                <w:sz w:val="24"/>
              </w:rPr>
              <w:t/>
            </w:r>
            <w:r w:rsidRPr="000E4C40">
              <w:rPr>
                <w:sz w:val="24"/>
              </w:rPr>
              <w:t/>
            </w:r>
            <w:proofErr w:type="spellEnd"/>
            <w:r w:rsidRPr="000E4C40">
              <w:rPr>
                <w:sz w:val="24"/>
              </w:rPr>
              <w:t>交银天鑫宝货币A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交银天鑫宝货币E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460,232.75</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129,331,472.47</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460,232.75</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129,331,472.47</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40,775,558.60</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11,628,223,446.85</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w:r>
      <w:proofErr w:type="spellStart"/>
      <w:r w:rsidRPr="000E4C40">
        <w:rPr>
          <w:color w:val="000000"/>
          <w:sz w:val="24"/>
        </w:rPr>
        <w:t/>
      </w:r>
      <w:proofErr w:type="spellEnd"/>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proofErr w:type="spellStart"/>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
      </w:r>
      <w:proofErr w:type="spellEnd"/>
      <w:r w:rsidR="00834F7F" w:rsidRPr="000E4C40">
        <w:rPr>
          <w:rFonts w:ascii="Times New Roman" w:hAnsi="Times New Roman"/>
          <w:b/>
          <w:color w:val="auto"/>
        </w:rPr>
        <w:t>交银天鑫宝货币A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roofErr w:type="spellStart"/>
            <w:r w:rsidR="00636B17" w:rsidRPr="000E4C40">
              <w:rPr>
                <w:rFonts w:ascii="Times New Roman" w:hAnsi="Times New Roman"/>
                <w:color w:val="000000"/>
                <w:szCs w:val="24"/>
              </w:rPr>
              <w:t/>
            </w:r>
            <w:proofErr w:type="spellEnd"/>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0.6291%</w:t>
            </w:r>
          </w:p>
        </w:tc>
        <w:tc>
          <w:tcPr>
            <w:vAlign w:val="center"/>
          </w:tcPr>
          <w:p>
            <w:pPr>
              <w:jc w:val="center"/>
            </w:pPr>
            <w:r>
              <w:rPr>
                <w:rFonts w:ascii="Times New Roman" w:hAnsi="Times New Roman"/>
                <w:color w:val="000000"/>
              </w:rPr>
              <w:t>0.0010%</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0.5409%</w:t>
            </w:r>
          </w:p>
        </w:tc>
        <w:tc>
          <w:tcPr>
            <w:vAlign w:val="center"/>
          </w:tcPr>
          <w:p>
            <w:pPr>
              <w:jc w:val="center"/>
            </w:pPr>
            <w:r>
              <w:rPr>
                <w:rFonts w:ascii="Times New Roman" w:hAnsi="Times New Roman"/>
                <w:color w:val="000000"/>
              </w:rPr>
              <w:t>0.0010%</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交银天鑫宝货币E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roofErr w:type="spellStart"/>
            <w:r w:rsidRPr="000E4C40">
              <w:rPr>
                <w:rFonts w:ascii="Times New Roman" w:hAnsi="Times New Roman"/>
                <w:color w:val="000000"/>
                <w:szCs w:val="24"/>
              </w:rPr>
              <w:t/>
            </w:r>
            <w:proofErr w:type="spellEnd"/>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0.6911%</w:t>
            </w:r>
          </w:p>
        </w:tc>
        <w:tc>
          <w:tcPr>
            <w:vAlign w:val="center"/>
          </w:tcPr>
          <w:p>
            <w:pPr>
              <w:jc w:val="center"/>
            </w:pPr>
            <w:r>
              <w:rPr>
                <w:rFonts w:ascii="Times New Roman" w:hAnsi="Times New Roman"/>
                <w:color w:val="000000"/>
              </w:rPr>
              <w:t>0.0010%</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0.6029%</w:t>
            </w:r>
          </w:p>
        </w:tc>
        <w:tc>
          <w:tcPr>
            <w:vAlign w:val="center"/>
          </w:tcPr>
          <w:p>
            <w:pPr>
              <w:jc w:val="center"/>
            </w:pPr>
            <w:r>
              <w:rPr>
                <w:rFonts w:ascii="Times New Roman" w:hAnsi="Times New Roman"/>
                <w:color w:val="000000"/>
              </w:rPr>
              <w:t>0.0010%</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
      </w:r>
      <w:proofErr w:type="spellStart"/>
      <w:r w:rsidR="00A21753" w:rsidRPr="00D8505A">
        <w:rPr>
          <w:rFonts w:hint="eastAsia"/>
          <w:b/>
          <w:color w:val="000000"/>
          <w:kern w:val="0"/>
          <w:sz w:val="24"/>
        </w:rPr>
        <w:t/>
      </w:r>
      <w:proofErr w:type="spellEnd"/>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
      </w:r>
      <w:proofErr w:type="spellStart"/>
      <w:r w:rsidRPr="000E4C40">
        <w:rPr>
          <w:sz w:val="24"/>
        </w:rPr>
        <w:t/>
      </w:r>
      <w:proofErr w:type="spellEnd"/>
      <w:r w:rsidRPr="000E4C40">
        <w:rPr>
          <w:sz w:val="24"/>
        </w:rPr>
        <w:t>交银施罗德天鑫宝货币市场基金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
      </w:r>
      <w:proofErr w:type="spellStart"/>
      <w:r w:rsidR="00D87D00" w:rsidRPr="000E4C40">
        <w:rPr>
          <w:color w:val="000000"/>
          <w:kern w:val="0"/>
          <w:sz w:val="24"/>
        </w:rPr>
        <w:t/>
      </w:r>
      <w:proofErr w:type="spellEnd"/>
      <w:r w:rsidR="00D87D00" w:rsidRPr="000E4C40">
        <w:rPr>
          <w:color w:val="000000"/>
          <w:kern w:val="0"/>
          <w:sz w:val="24"/>
        </w:rPr>
        <w:t>2016年12月7日</w:t>
      </w:r>
      <w:r w:rsidR="00A7219D" w:rsidRPr="000E4C40">
        <w:rPr>
          <w:rFonts w:hAnsi="宋体"/>
          <w:color w:val="000000"/>
          <w:kern w:val="0"/>
          <w:sz w:val="24"/>
        </w:rPr>
        <w:t>至</w:t>
      </w:r>
      <w:r w:rsidR="00A7219D" w:rsidRPr="000E4C40">
        <w:rPr>
          <w:color w:val="000000"/>
          <w:kern w:val="0"/>
          <w:sz w:val="24"/>
        </w:rPr>
        <w:t/>
      </w:r>
      <w:proofErr w:type="spellStart"/>
      <w:r w:rsidR="00A7219D" w:rsidRPr="000E4C40">
        <w:rPr>
          <w:color w:val="000000"/>
          <w:kern w:val="0"/>
          <w:sz w:val="24"/>
        </w:rPr>
        <w:t/>
      </w:r>
      <w:proofErr w:type="spellEnd"/>
      <w:r w:rsidR="00A7219D" w:rsidRPr="000E4C40">
        <w:rPr>
          <w:color w:val="000000"/>
          <w:kern w:val="0"/>
          <w:sz w:val="24"/>
        </w:rPr>
        <w:t>2018年12月31日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交银天鑫宝货币A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交银天鑫宝货币E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货币、交银理财21天债券、交银现金宝货币、交银丰享收益债券、交银裕通纯债债券、交银活期通货币、交银天利宝货币、交银裕隆纯债债券、交银天鑫宝货币、交银天益宝货币、交银境尚收益债券的基金经理</w:t>
            </w:r>
          </w:p>
        </w:tc>
        <w:tc>
          <w:tcPr>
            <w:vAlign w:val="center"/>
          </w:tcPr>
          <w:p>
            <w:pPr>
              <w:jc w:val="center"/>
            </w:pPr>
            <w:r>
              <w:rPr>
                <w:color w:val="000000"/>
                <w:sz w:val="24"/>
              </w:rPr>
              <w:t>2016-12-07</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w:t>
            </w:r>
          </w:p>
        </w:tc>
      </w:tr>
      <w:tr>
        <w:tc>
          <w:tcPr>
            <w:vAlign w:val="center"/>
          </w:tcPr>
          <w:p>
            <w:pPr>
              <w:jc w:val="center"/>
            </w:pPr>
            <w:r>
              <w:rPr>
                <w:color w:val="000000"/>
                <w:sz w:val="24"/>
              </w:rPr>
              <w:t>连端清</w:t>
            </w:r>
          </w:p>
        </w:tc>
        <w:tc>
          <w:tcPr>
            <w:vAlign w:val="center"/>
          </w:tcPr>
          <w:p>
            <w:pPr>
              <w:jc w:val="center"/>
            </w:pPr>
            <w:r>
              <w:rPr>
                <w:color w:val="000000"/>
                <w:sz w:val="24"/>
              </w:rPr>
              <w:t>交银货币、交银理财60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vAlign w:val="center"/>
          </w:tcPr>
          <w:p>
            <w:pPr>
              <w:jc w:val="center"/>
            </w:pPr>
            <w:r>
              <w:rPr>
                <w:color w:val="000000"/>
                <w:sz w:val="24"/>
              </w:rPr>
              <w:t>2016-12-07</w:t>
            </w:r>
          </w:p>
        </w:tc>
        <w:tc>
          <w:tcPr>
            <w:vAlign w:val="center"/>
          </w:tcPr>
          <w:p>
            <w:pPr>
              <w:jc w:val="center"/>
            </w:pPr>
            <w:r>
              <w:rPr>
                <w:color w:val="000000"/>
                <w:sz w:val="24"/>
              </w:rPr>
              <w:t>-</w:t>
            </w:r>
          </w:p>
        </w:tc>
        <w:tc>
          <w:tcPr>
            <w:vAlign w:val="center"/>
          </w:tcPr>
          <w:p>
            <w:pPr>
              <w:jc w:val="center"/>
            </w:pPr>
            <w:r>
              <w:rPr>
                <w:color w:val="000000"/>
                <w:sz w:val="24"/>
              </w:rPr>
              <w:t>5年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随着经济持续下行的预期被证实，以及国内外风险资产大幅回落，债券市场走出了牛市第二阶段行情。具体看来，在通胀方面，国内猪肉和国际原油价格的下行中，前期市场担忧的“滞胀”风险减轻，为债券收益率下行打开空间。虽然中美贸易战的负面影响在G20之后有所缓解，但中美在有限时间内达成协议的不确定性仍然较高，并且贸易数据在“抢出口”的效果减弱后初现疲态，十一月的进出口增长分别跌落至3.00%和5.40%，出口对于经济的拉动减弱。全球货币政策方面，美联储在市场宽松预期下维持十二月的加息操作，同时顺应市场对2019年的前瞻性指引给出较为宽松的表态。本报告期内，十年期国债收益率从3.61%水平下行至3.22%。国内货币政策方面，央行对流动性定调为合理充裕，短端利率维持低位，银行间七天质押式回购利率除年底前最后一周因时点性原因有所波动外，基本维持在3.00%以下水平。</w:t>
      </w:r>
    </w:p>
    <w:p>
      <w:pPr>
        <w:spacing w:before="29" w:line="288" w:lineRule="auto"/>
        <w:ind w:firstLine="480" w:firstLineChars="200"/>
        <w:rPr>
          <w:color w:val="000000"/>
          <w:sz w:val="24"/>
        </w:rPr>
      </w:pPr>
      <w:r>
        <w:rPr>
          <w:color w:val="000000"/>
          <w:sz w:val="24"/>
        </w:rPr>
        <w:t>基金操作方面，多投资于估值波动较小的银行存款存单与回购等，组合整体流动性良好。在2018年年末资产收益有一定幅度的上行，我们视组合流动性情况适当拉长久期，增加杠杆增配了部分高评级的同业存单、短期融资券等资产，提高了组合收益。</w:t>
      </w:r>
    </w:p>
    <w:p>
      <w:pPr>
        <w:spacing w:before="29" w:line="288" w:lineRule="auto"/>
        <w:ind w:firstLine="480" w:firstLineChars="200"/>
        <w:rPr>
          <w:color w:val="000000"/>
          <w:sz w:val="24"/>
        </w:rPr>
      </w:pPr>
      <w:r>
        <w:rPr>
          <w:color w:val="000000"/>
          <w:sz w:val="24"/>
        </w:rPr>
        <w:t>展望2019年一季度，虽然政治局会议进一步加强稳增长政策的力度，但是无论是资金供给端还是需求端都限制了信贷社融的大幅扩大，预计从政策实施到经济企稳仍有较长的时滞，债券市场行情或将延续。综合考虑资金量和央行表态，我们预期春节前后流动性将保持相对稳定，相对紧张的时点可能出现在2019年一月中旬和二月初。此外，需要注意的是在银行流动性指标监管体系下，银行和非银的分层仍将延续，正式跨年前非银的短期资金面或略有紧张。</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我们将继续关注银行同业存单和超短融信用债的发行情况，持续观察银行理财子公司的发展以及类货币基金型理财产品对行业生态的影响。策略方面，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
      </w:r>
      <w:proofErr w:type="spellStart"/>
      <w:r w:rsidRPr="000E4C40">
        <w:rPr>
          <w:color w:val="000000"/>
          <w:sz w:val="24"/>
        </w:rPr>
        <w:t/>
      </w:r>
      <w:proofErr w:type="spellEnd"/>
      <w:r w:rsidRPr="000E4C40">
        <w:rPr>
          <w:color w:val="000000"/>
          <w:sz w:val="24"/>
        </w:rPr>
        <w:t>本基金（各类）份额净值及业绩表现请见“3.1 主要财务指标” 及“3.2.1本报告期基金份额净值增长率及其与同期业绩比较基准收益率的比较”部分披露。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6,235,204,742.61</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48.52</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6,135,204,742.61</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47.74</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100,000,000.00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0.78</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1,874,216,050.83</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14.59</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4,709,732,585.38</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36.65</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lastRenderedPageBreak/>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30,893,705.54</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0.24</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12,850,047,084.36</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2.22</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1,175,133,717.29</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10.07</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55</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proofErr w:type="spellEnd"/>
            <w:r w:rsidRPr="000E4C40">
              <w:rPr>
                <w:color w:val="000000"/>
                <w:sz w:val="24"/>
              </w:rPr>
              <w:t>59</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21</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val="0000"/>
      </w:tblPr>
      <w:tblGrid>
        <w:gridCol w:w="829"/>
        <w:gridCol w:w="3240"/>
        <w:gridCol w:w="2447"/>
        <w:gridCol w:w="2352"/>
      </w:tblGrid>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19.91</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10.07</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45.84</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44.10</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r w:rsidRPr="000E4C40">
              <w:rPr>
                <w:color w:val="000000"/>
                <w:sz w:val="24"/>
              </w:rPr>
              <w:lastRenderedPageBreak/>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4202"/>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109.86</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10.07</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roofErr w:type="spellStart"/>
            <w:r w:rsidR="006214E4" w:rsidRPr="000E4C40">
              <w:rPr>
                <w:color w:val="000000"/>
                <w:sz w:val="24"/>
              </w:rPr>
              <w:t/>
            </w:r>
            <w:proofErr w:type="spellEnd"/>
            <w:r w:rsidR="006214E4" w:rsidRPr="000E4C40">
              <w:rPr>
                <w:color w:val="000000"/>
                <w:sz w:val="24"/>
              </w:rPr>
              <w:t/>
            </w:r>
          </w:p>
        </w:tc>
        <w:tc>
          <w:tcPr>
            <w:tcW w:type="dxa" w:w="3097"/>
            <w:vAlign w:val="center"/>
          </w:tcPr>
          <w:p w:rsidP="00281564" w:rsidR="007521F9" w:rsidRDefault="003D21F4" w:rsidRPr="000E4C40">
            <w:pPr>
              <w:spacing w:before="29" w:line="288" w:lineRule="auto"/>
              <w:ind w:left="17"/>
              <w:jc w:val="center"/>
              <w:rPr>
                <w:color w:val="000000"/>
                <w:sz w:val="24"/>
              </w:rPr>
            </w:pPr>
            <w:r w:rsidRPr="000E4C40">
              <w:rPr>
                <w:rFonts w:hAnsi="宋体"/>
                <w:sz w:val="24"/>
              </w:rPr>
              <w:t>摊余成本（元）</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289,580,530.35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2.48</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470,171,735.28</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4.03</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470,171,735.28</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4.03</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570,498,785.42</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4.89</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10,125,314.02</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0.09</w:t>
            </w:r>
          </w:p>
        </w:tc>
      </w:tr>
      <w:tr w:rsidR="00F41AA6" w:rsidRPr="000E4C40" w:rsidTr="0006711A">
        <w:trPr>
          <w:jc w:val="center"/>
        </w:trPr>
        <w:tc>
          <w:tcPr>
            <w:tcW w:type="dxa" w:w="786"/>
            <w:vAlign w:val="center"/>
          </w:tcPr>
          <w:p w:rsidP="0006711A"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06711A"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4,794,828,377.54</w:t>
            </w:r>
          </w:p>
        </w:tc>
        <w:tc>
          <w:tcPr>
            <w:tcW w:type="dxa" w:w="1889"/>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41.09</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6,135,204,742.61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52.58</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type="dxa" w:w="8868"/>
        <w:jc w:val="center"/>
        <w:tblInd w:type="dxa" w:w="15"/>
        <w:tblCellMar>
          <w:top w:type="dxa" w:w="57"/>
          <w:bottom w:type="dxa" w:w="57"/>
        </w:tblCellMar>
        <w:tblLook w:val="04A0"/>
      </w:tblPr>
      <w:tblGrid>
        <w:gridCol w:w="1203"/>
        <w:gridCol w:w="1258"/>
        <w:gridCol w:w="1437"/>
        <w:gridCol w:w="1334"/>
        <w:gridCol w:w="2244"/>
        <w:gridCol w:w="1811"/>
      </w:tblGrid>
      <w:tr w:rsidR="0044671E" w:rsidRPr="000E4C40" w:rsidTr="00B13F60">
        <w:trPr>
          <w:jc w:val="center"/>
        </w:trPr>
        <w:tc>
          <w:tcPr>
            <w:tcW w:type="dxa" w:w="1187"/>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274"/>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55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23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type="dxa" w:w="2360"/>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type="dxa" w:w="167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111814258</w:t>
            </w:r>
          </w:p>
        </w:tc>
        <w:tc>
          <w:tcPr>
            <w:vAlign w:val="center"/>
          </w:tcPr>
          <w:p>
            <w:pPr>
              <w:jc w:val="center"/>
            </w:pPr>
            <w:r>
              <w:rPr>
                <w:color w:val="000000"/>
                <w:sz w:val="24"/>
              </w:rPr>
              <w:t>18江苏银行CD258</w:t>
            </w:r>
          </w:p>
        </w:tc>
        <w:tc>
          <w:tcPr>
            <w:vAlign w:val="center"/>
          </w:tcPr>
          <w:p>
            <w:pPr>
              <w:jc w:val="right"/>
            </w:pPr>
            <w:r>
              <w:rPr>
                <w:color w:val="000000"/>
                <w:sz w:val="24"/>
              </w:rPr>
              <w:t>4,000,000</w:t>
            </w:r>
          </w:p>
        </w:tc>
        <w:tc>
          <w:tcPr>
            <w:vAlign w:val="center"/>
          </w:tcPr>
          <w:p>
            <w:pPr>
              <w:jc w:val="right"/>
            </w:pPr>
            <w:r>
              <w:rPr>
                <w:color w:val="000000"/>
                <w:sz w:val="24"/>
              </w:rPr>
              <w:t>398,222,689.94</w:t>
            </w:r>
          </w:p>
        </w:tc>
        <w:tc>
          <w:tcPr>
            <w:vAlign w:val="center"/>
          </w:tcPr>
          <w:p>
            <w:pPr>
              <w:jc w:val="right"/>
            </w:pPr>
            <w:r>
              <w:rPr>
                <w:color w:val="000000"/>
                <w:sz w:val="24"/>
              </w:rPr>
              <w:t>3.41</w:t>
            </w:r>
          </w:p>
        </w:tc>
      </w:tr>
      <w:tr>
        <w:tc>
          <w:tcPr>
            <w:vAlign w:val="center"/>
          </w:tcPr>
          <w:p>
            <w:pPr>
              <w:jc w:val="center"/>
            </w:pPr>
            <w:r>
              <w:rPr>
                <w:color w:val="000000"/>
                <w:sz w:val="24"/>
              </w:rPr>
              <w:t>2</w:t>
            </w:r>
          </w:p>
        </w:tc>
        <w:tc>
          <w:tcPr>
            <w:vAlign w:val="center"/>
          </w:tcPr>
          <w:p>
            <w:pPr>
              <w:jc w:val="center"/>
            </w:pPr>
            <w:r>
              <w:rPr>
                <w:color w:val="000000"/>
                <w:sz w:val="24"/>
              </w:rPr>
              <w:t>111819469</w:t>
            </w:r>
          </w:p>
        </w:tc>
        <w:tc>
          <w:tcPr>
            <w:vAlign w:val="center"/>
          </w:tcPr>
          <w:p>
            <w:pPr>
              <w:jc w:val="center"/>
            </w:pPr>
            <w:r>
              <w:rPr>
                <w:color w:val="000000"/>
                <w:sz w:val="24"/>
              </w:rPr>
              <w:t>18恒丰银行CD469</w:t>
            </w:r>
          </w:p>
        </w:tc>
        <w:tc>
          <w:tcPr>
            <w:vAlign w:val="center"/>
          </w:tcPr>
          <w:p>
            <w:pPr>
              <w:jc w:val="right"/>
            </w:pPr>
            <w:r>
              <w:rPr>
                <w:color w:val="000000"/>
                <w:sz w:val="24"/>
              </w:rPr>
              <w:t>4,000,000</w:t>
            </w:r>
          </w:p>
        </w:tc>
        <w:tc>
          <w:tcPr>
            <w:vAlign w:val="center"/>
          </w:tcPr>
          <w:p>
            <w:pPr>
              <w:jc w:val="right"/>
            </w:pPr>
            <w:r>
              <w:rPr>
                <w:color w:val="000000"/>
                <w:sz w:val="24"/>
              </w:rPr>
              <w:t>398,131,651.00</w:t>
            </w:r>
          </w:p>
        </w:tc>
        <w:tc>
          <w:tcPr>
            <w:vAlign w:val="center"/>
          </w:tcPr>
          <w:p>
            <w:pPr>
              <w:jc w:val="right"/>
            </w:pPr>
            <w:r>
              <w:rPr>
                <w:color w:val="000000"/>
                <w:sz w:val="24"/>
              </w:rPr>
              <w:t>3.41</w:t>
            </w:r>
          </w:p>
        </w:tc>
      </w:tr>
      <w:tr>
        <w:tc>
          <w:tcPr>
            <w:vAlign w:val="center"/>
          </w:tcPr>
          <w:p>
            <w:pPr>
              <w:jc w:val="center"/>
            </w:pPr>
            <w:r>
              <w:rPr>
                <w:color w:val="000000"/>
                <w:sz w:val="24"/>
              </w:rPr>
              <w:t>3</w:t>
            </w:r>
          </w:p>
        </w:tc>
        <w:tc>
          <w:tcPr>
            <w:vAlign w:val="center"/>
          </w:tcPr>
          <w:p>
            <w:pPr>
              <w:jc w:val="center"/>
            </w:pPr>
            <w:r>
              <w:rPr>
                <w:color w:val="000000"/>
                <w:sz w:val="24"/>
              </w:rPr>
              <w:t>160208</w:t>
            </w:r>
          </w:p>
        </w:tc>
        <w:tc>
          <w:tcPr>
            <w:vAlign w:val="center"/>
          </w:tcPr>
          <w:p>
            <w:pPr>
              <w:jc w:val="center"/>
            </w:pPr>
            <w:r>
              <w:rPr>
                <w:color w:val="000000"/>
                <w:sz w:val="24"/>
              </w:rPr>
              <w:t>16国开08</w:t>
            </w:r>
          </w:p>
        </w:tc>
        <w:tc>
          <w:tcPr>
            <w:vAlign w:val="center"/>
          </w:tcPr>
          <w:p>
            <w:pPr>
              <w:jc w:val="right"/>
            </w:pPr>
            <w:r>
              <w:rPr>
                <w:color w:val="000000"/>
                <w:sz w:val="24"/>
              </w:rPr>
              <w:t>2,400,000</w:t>
            </w:r>
          </w:p>
        </w:tc>
        <w:tc>
          <w:tcPr>
            <w:vAlign w:val="center"/>
          </w:tcPr>
          <w:p>
            <w:pPr>
              <w:jc w:val="right"/>
            </w:pPr>
            <w:r>
              <w:rPr>
                <w:color w:val="000000"/>
                <w:sz w:val="24"/>
              </w:rPr>
              <w:t>240,033,390.84</w:t>
            </w:r>
          </w:p>
        </w:tc>
        <w:tc>
          <w:tcPr>
            <w:vAlign w:val="center"/>
          </w:tcPr>
          <w:p>
            <w:pPr>
              <w:jc w:val="right"/>
            </w:pPr>
            <w:r>
              <w:rPr>
                <w:color w:val="000000"/>
                <w:sz w:val="24"/>
              </w:rPr>
              <w:t>2.06</w:t>
            </w:r>
          </w:p>
        </w:tc>
      </w:tr>
      <w:tr>
        <w:tc>
          <w:tcPr>
            <w:vAlign w:val="center"/>
          </w:tcPr>
          <w:p>
            <w:pPr>
              <w:jc w:val="center"/>
            </w:pPr>
            <w:r>
              <w:rPr>
                <w:color w:val="000000"/>
                <w:sz w:val="24"/>
              </w:rPr>
              <w:t>4</w:t>
            </w:r>
          </w:p>
        </w:tc>
        <w:tc>
          <w:tcPr>
            <w:vAlign w:val="center"/>
          </w:tcPr>
          <w:p>
            <w:pPr>
              <w:jc w:val="center"/>
            </w:pPr>
            <w:r>
              <w:rPr>
                <w:color w:val="000000"/>
                <w:sz w:val="24"/>
              </w:rPr>
              <w:t>111821352</w:t>
            </w:r>
          </w:p>
        </w:tc>
        <w:tc>
          <w:tcPr>
            <w:vAlign w:val="center"/>
          </w:tcPr>
          <w:p>
            <w:pPr>
              <w:jc w:val="center"/>
            </w:pPr>
            <w:r>
              <w:rPr>
                <w:color w:val="000000"/>
                <w:sz w:val="24"/>
              </w:rPr>
              <w:t>18渤海银行CD352</w:t>
            </w:r>
          </w:p>
        </w:tc>
        <w:tc>
          <w:tcPr>
            <w:vAlign w:val="center"/>
          </w:tcPr>
          <w:p>
            <w:pPr>
              <w:jc w:val="right"/>
            </w:pPr>
            <w:r>
              <w:rPr>
                <w:color w:val="000000"/>
                <w:sz w:val="24"/>
              </w:rPr>
              <w:t>2,000,000</w:t>
            </w:r>
          </w:p>
        </w:tc>
        <w:tc>
          <w:tcPr>
            <w:vAlign w:val="center"/>
          </w:tcPr>
          <w:p>
            <w:pPr>
              <w:jc w:val="right"/>
            </w:pPr>
            <w:r>
              <w:rPr>
                <w:color w:val="000000"/>
                <w:sz w:val="24"/>
              </w:rPr>
              <w:t>199,088,287.88</w:t>
            </w:r>
          </w:p>
        </w:tc>
        <w:tc>
          <w:tcPr>
            <w:vAlign w:val="center"/>
          </w:tcPr>
          <w:p>
            <w:pPr>
              <w:jc w:val="right"/>
            </w:pPr>
            <w:r>
              <w:rPr>
                <w:color w:val="000000"/>
                <w:sz w:val="24"/>
              </w:rPr>
              <w:t>1.71</w:t>
            </w:r>
          </w:p>
        </w:tc>
      </w:tr>
      <w:tr>
        <w:tc>
          <w:tcPr>
            <w:vAlign w:val="center"/>
          </w:tcPr>
          <w:p>
            <w:pPr>
              <w:jc w:val="center"/>
            </w:pPr>
            <w:r>
              <w:rPr>
                <w:color w:val="000000"/>
                <w:sz w:val="24"/>
              </w:rPr>
              <w:t>5</w:t>
            </w:r>
          </w:p>
        </w:tc>
        <w:tc>
          <w:tcPr>
            <w:vAlign w:val="center"/>
          </w:tcPr>
          <w:p>
            <w:pPr>
              <w:jc w:val="center"/>
            </w:pPr>
            <w:r>
              <w:rPr>
                <w:color w:val="000000"/>
                <w:sz w:val="24"/>
              </w:rPr>
              <w:t>111821355</w:t>
            </w:r>
          </w:p>
        </w:tc>
        <w:tc>
          <w:tcPr>
            <w:vAlign w:val="center"/>
          </w:tcPr>
          <w:p>
            <w:pPr>
              <w:jc w:val="center"/>
            </w:pPr>
            <w:r>
              <w:rPr>
                <w:color w:val="000000"/>
                <w:sz w:val="24"/>
              </w:rPr>
              <w:t>18渤海银行CD355</w:t>
            </w:r>
          </w:p>
        </w:tc>
        <w:tc>
          <w:tcPr>
            <w:vAlign w:val="center"/>
          </w:tcPr>
          <w:p>
            <w:pPr>
              <w:jc w:val="right"/>
            </w:pPr>
            <w:r>
              <w:rPr>
                <w:color w:val="000000"/>
                <w:sz w:val="24"/>
              </w:rPr>
              <w:t>2,000,000</w:t>
            </w:r>
          </w:p>
        </w:tc>
        <w:tc>
          <w:tcPr>
            <w:vAlign w:val="center"/>
          </w:tcPr>
          <w:p>
            <w:pPr>
              <w:jc w:val="right"/>
            </w:pPr>
            <w:r>
              <w:rPr>
                <w:color w:val="000000"/>
                <w:sz w:val="24"/>
              </w:rPr>
              <w:t>199,009,736.40</w:t>
            </w:r>
          </w:p>
        </w:tc>
        <w:tc>
          <w:tcPr>
            <w:vAlign w:val="center"/>
          </w:tcPr>
          <w:p>
            <w:pPr>
              <w:jc w:val="right"/>
            </w:pPr>
            <w:r>
              <w:rPr>
                <w:color w:val="000000"/>
                <w:sz w:val="24"/>
              </w:rPr>
              <w:t>1.71</w:t>
            </w:r>
          </w:p>
        </w:tc>
      </w:tr>
      <w:tr>
        <w:tc>
          <w:tcPr>
            <w:vAlign w:val="center"/>
          </w:tcPr>
          <w:p>
            <w:pPr>
              <w:jc w:val="center"/>
            </w:pPr>
            <w:r>
              <w:rPr>
                <w:color w:val="000000"/>
                <w:sz w:val="24"/>
              </w:rPr>
              <w:t>6</w:t>
            </w:r>
          </w:p>
        </w:tc>
        <w:tc>
          <w:tcPr>
            <w:vAlign w:val="center"/>
          </w:tcPr>
          <w:p>
            <w:pPr>
              <w:jc w:val="center"/>
            </w:pPr>
            <w:r>
              <w:rPr>
                <w:color w:val="000000"/>
                <w:sz w:val="24"/>
              </w:rPr>
              <w:t>111889920</w:t>
            </w:r>
          </w:p>
        </w:tc>
        <w:tc>
          <w:tcPr>
            <w:vAlign w:val="center"/>
          </w:tcPr>
          <w:p>
            <w:pPr>
              <w:jc w:val="center"/>
            </w:pPr>
            <w:r>
              <w:rPr>
                <w:color w:val="000000"/>
                <w:sz w:val="24"/>
              </w:rPr>
              <w:t>18锦州银行CD268</w:t>
            </w:r>
          </w:p>
        </w:tc>
        <w:tc>
          <w:tcPr>
            <w:vAlign w:val="center"/>
          </w:tcPr>
          <w:p>
            <w:pPr>
              <w:jc w:val="right"/>
            </w:pPr>
            <w:r>
              <w:rPr>
                <w:color w:val="000000"/>
                <w:sz w:val="24"/>
              </w:rPr>
              <w:t>2,000,000</w:t>
            </w:r>
          </w:p>
        </w:tc>
        <w:tc>
          <w:tcPr>
            <w:vAlign w:val="center"/>
          </w:tcPr>
          <w:p>
            <w:pPr>
              <w:jc w:val="right"/>
            </w:pPr>
            <w:r>
              <w:rPr>
                <w:color w:val="000000"/>
                <w:sz w:val="24"/>
              </w:rPr>
              <w:t>198,994,146.90</w:t>
            </w:r>
          </w:p>
        </w:tc>
        <w:tc>
          <w:tcPr>
            <w:vAlign w:val="center"/>
          </w:tcPr>
          <w:p>
            <w:pPr>
              <w:jc w:val="right"/>
            </w:pPr>
            <w:r>
              <w:rPr>
                <w:color w:val="000000"/>
                <w:sz w:val="24"/>
              </w:rPr>
              <w:t>1.71</w:t>
            </w:r>
          </w:p>
        </w:tc>
      </w:tr>
      <w:tr>
        <w:tc>
          <w:tcPr>
            <w:vAlign w:val="center"/>
          </w:tcPr>
          <w:p>
            <w:pPr>
              <w:jc w:val="center"/>
            </w:pPr>
            <w:r>
              <w:rPr>
                <w:color w:val="000000"/>
                <w:sz w:val="24"/>
              </w:rPr>
              <w:t>7</w:t>
            </w:r>
          </w:p>
        </w:tc>
        <w:tc>
          <w:tcPr>
            <w:vAlign w:val="center"/>
          </w:tcPr>
          <w:p>
            <w:pPr>
              <w:jc w:val="center"/>
            </w:pPr>
            <w:r>
              <w:rPr>
                <w:color w:val="000000"/>
                <w:sz w:val="24"/>
              </w:rPr>
              <w:t>111889944</w:t>
            </w:r>
          </w:p>
        </w:tc>
        <w:tc>
          <w:tcPr>
            <w:vAlign w:val="center"/>
          </w:tcPr>
          <w:p>
            <w:pPr>
              <w:jc w:val="center"/>
            </w:pPr>
            <w:r>
              <w:rPr>
                <w:color w:val="000000"/>
                <w:sz w:val="24"/>
              </w:rPr>
              <w:t>18盛京银行CD517</w:t>
            </w:r>
          </w:p>
        </w:tc>
        <w:tc>
          <w:tcPr>
            <w:vAlign w:val="center"/>
          </w:tcPr>
          <w:p>
            <w:pPr>
              <w:jc w:val="right"/>
            </w:pPr>
            <w:r>
              <w:rPr>
                <w:color w:val="000000"/>
                <w:sz w:val="24"/>
              </w:rPr>
              <w:t>2,000,000</w:t>
            </w:r>
          </w:p>
        </w:tc>
        <w:tc>
          <w:tcPr>
            <w:vAlign w:val="center"/>
          </w:tcPr>
          <w:p>
            <w:pPr>
              <w:jc w:val="right"/>
            </w:pPr>
            <w:r>
              <w:rPr>
                <w:color w:val="000000"/>
                <w:sz w:val="24"/>
              </w:rPr>
              <w:t>198,994,146.90</w:t>
            </w:r>
          </w:p>
        </w:tc>
        <w:tc>
          <w:tcPr>
            <w:vAlign w:val="center"/>
          </w:tcPr>
          <w:p>
            <w:pPr>
              <w:jc w:val="right"/>
            </w:pPr>
            <w:r>
              <w:rPr>
                <w:color w:val="000000"/>
                <w:sz w:val="24"/>
              </w:rPr>
              <w:t>1.71</w:t>
            </w:r>
          </w:p>
        </w:tc>
      </w:tr>
      <w:tr>
        <w:tc>
          <w:tcPr>
            <w:vAlign w:val="center"/>
          </w:tcPr>
          <w:p>
            <w:pPr>
              <w:jc w:val="center"/>
            </w:pPr>
            <w:r>
              <w:rPr>
                <w:color w:val="000000"/>
                <w:sz w:val="24"/>
              </w:rPr>
              <w:t>8</w:t>
            </w:r>
          </w:p>
        </w:tc>
        <w:tc>
          <w:tcPr>
            <w:vAlign w:val="center"/>
          </w:tcPr>
          <w:p>
            <w:pPr>
              <w:jc w:val="center"/>
            </w:pPr>
            <w:r>
              <w:rPr>
                <w:color w:val="000000"/>
                <w:sz w:val="24"/>
              </w:rPr>
              <w:t>111870069</w:t>
            </w:r>
          </w:p>
        </w:tc>
        <w:tc>
          <w:tcPr>
            <w:vAlign w:val="center"/>
          </w:tcPr>
          <w:p>
            <w:pPr>
              <w:jc w:val="center"/>
            </w:pPr>
            <w:r>
              <w:rPr>
                <w:color w:val="000000"/>
                <w:sz w:val="24"/>
              </w:rPr>
              <w:t>18天津银行CD338</w:t>
            </w:r>
          </w:p>
        </w:tc>
        <w:tc>
          <w:tcPr>
            <w:vAlign w:val="center"/>
          </w:tcPr>
          <w:p>
            <w:pPr>
              <w:jc w:val="right"/>
            </w:pPr>
            <w:r>
              <w:rPr>
                <w:color w:val="000000"/>
                <w:sz w:val="24"/>
              </w:rPr>
              <w:t>2,000,000</w:t>
            </w:r>
          </w:p>
        </w:tc>
        <w:tc>
          <w:tcPr>
            <w:vAlign w:val="center"/>
          </w:tcPr>
          <w:p>
            <w:pPr>
              <w:jc w:val="right"/>
            </w:pPr>
            <w:r>
              <w:rPr>
                <w:color w:val="000000"/>
                <w:sz w:val="24"/>
              </w:rPr>
              <w:t>198,991,644.64</w:t>
            </w:r>
          </w:p>
        </w:tc>
        <w:tc>
          <w:tcPr>
            <w:vAlign w:val="center"/>
          </w:tcPr>
          <w:p>
            <w:pPr>
              <w:jc w:val="right"/>
            </w:pPr>
            <w:r>
              <w:rPr>
                <w:color w:val="000000"/>
                <w:sz w:val="24"/>
              </w:rPr>
              <w:t>1.71</w:t>
            </w:r>
          </w:p>
        </w:tc>
      </w:tr>
      <w:tr>
        <w:tc>
          <w:tcPr>
            <w:vAlign w:val="center"/>
          </w:tcPr>
          <w:p>
            <w:pPr>
              <w:jc w:val="center"/>
            </w:pPr>
            <w:r>
              <w:rPr>
                <w:color w:val="000000"/>
                <w:sz w:val="24"/>
              </w:rPr>
              <w:t>9</w:t>
            </w:r>
          </w:p>
        </w:tc>
        <w:tc>
          <w:tcPr>
            <w:vAlign w:val="center"/>
          </w:tcPr>
          <w:p>
            <w:pPr>
              <w:jc w:val="center"/>
            </w:pPr>
            <w:r>
              <w:rPr>
                <w:color w:val="000000"/>
                <w:sz w:val="24"/>
              </w:rPr>
              <w:t>111870018</w:t>
            </w:r>
          </w:p>
        </w:tc>
        <w:tc>
          <w:tcPr>
            <w:vAlign w:val="center"/>
          </w:tcPr>
          <w:p>
            <w:pPr>
              <w:jc w:val="center"/>
            </w:pPr>
            <w:r>
              <w:rPr>
                <w:color w:val="000000"/>
                <w:sz w:val="24"/>
              </w:rPr>
              <w:t>18成都农商银行CD032</w:t>
            </w:r>
          </w:p>
        </w:tc>
        <w:tc>
          <w:tcPr>
            <w:vAlign w:val="center"/>
          </w:tcPr>
          <w:p>
            <w:pPr>
              <w:jc w:val="right"/>
            </w:pPr>
            <w:r>
              <w:rPr>
                <w:color w:val="000000"/>
                <w:sz w:val="24"/>
              </w:rPr>
              <w:t>2,000,000</w:t>
            </w:r>
          </w:p>
        </w:tc>
        <w:tc>
          <w:tcPr>
            <w:vAlign w:val="center"/>
          </w:tcPr>
          <w:p>
            <w:pPr>
              <w:jc w:val="right"/>
            </w:pPr>
            <w:r>
              <w:rPr>
                <w:color w:val="000000"/>
                <w:sz w:val="24"/>
              </w:rPr>
              <w:t>198,988,537.18</w:t>
            </w:r>
          </w:p>
        </w:tc>
        <w:tc>
          <w:tcPr>
            <w:vAlign w:val="center"/>
          </w:tcPr>
          <w:p>
            <w:pPr>
              <w:jc w:val="right"/>
            </w:pPr>
            <w:r>
              <w:rPr>
                <w:color w:val="000000"/>
                <w:sz w:val="24"/>
              </w:rPr>
              <w:t>1.71</w:t>
            </w:r>
          </w:p>
        </w:tc>
      </w:tr>
      <w:tr>
        <w:tc>
          <w:tcPr>
            <w:vAlign w:val="center"/>
          </w:tcPr>
          <w:p>
            <w:pPr>
              <w:jc w:val="center"/>
            </w:pPr>
            <w:r>
              <w:rPr>
                <w:color w:val="000000"/>
                <w:sz w:val="24"/>
              </w:rPr>
              <w:t>10</w:t>
            </w:r>
          </w:p>
        </w:tc>
        <w:tc>
          <w:tcPr>
            <w:vAlign w:val="center"/>
          </w:tcPr>
          <w:p>
            <w:pPr>
              <w:jc w:val="center"/>
            </w:pPr>
            <w:r>
              <w:rPr>
                <w:color w:val="000000"/>
                <w:sz w:val="24"/>
              </w:rPr>
              <w:t>111870082</w:t>
            </w:r>
          </w:p>
        </w:tc>
        <w:tc>
          <w:tcPr>
            <w:vAlign w:val="center"/>
          </w:tcPr>
          <w:p>
            <w:pPr>
              <w:jc w:val="center"/>
            </w:pPr>
            <w:r>
              <w:rPr>
                <w:color w:val="000000"/>
                <w:sz w:val="24"/>
              </w:rPr>
              <w:t>18盛京银行CD521</w:t>
            </w:r>
          </w:p>
        </w:tc>
        <w:tc>
          <w:tcPr>
            <w:vAlign w:val="center"/>
          </w:tcPr>
          <w:p>
            <w:pPr>
              <w:jc w:val="right"/>
            </w:pPr>
            <w:r>
              <w:rPr>
                <w:color w:val="000000"/>
                <w:sz w:val="24"/>
              </w:rPr>
              <w:t>2,000,000</w:t>
            </w:r>
          </w:p>
        </w:tc>
        <w:tc>
          <w:tcPr>
            <w:vAlign w:val="center"/>
          </w:tcPr>
          <w:p>
            <w:pPr>
              <w:jc w:val="right"/>
            </w:pPr>
            <w:r>
              <w:rPr>
                <w:color w:val="000000"/>
                <w:sz w:val="24"/>
              </w:rPr>
              <w:t>198,979,338.89</w:t>
            </w:r>
          </w:p>
        </w:tc>
        <w:tc>
          <w:tcPr>
            <w:vAlign w:val="center"/>
          </w:tcPr>
          <w:p>
            <w:pPr>
              <w:jc w:val="right"/>
            </w:pPr>
            <w:r>
              <w:rPr>
                <w:color w:val="000000"/>
                <w:sz w:val="24"/>
              </w:rPr>
              <w:t>1.71</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roofErr w:type="spellStart"/>
            <w:r w:rsidR="006D4647" w:rsidRPr="000E4C40">
              <w:rPr>
                <w:color w:val="000000"/>
                <w:kern w:val="0"/>
                <w:sz w:val="24"/>
              </w:rPr>
              <w:t/>
            </w:r>
            <w:proofErr w:type="spellEnd"/>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0.0302%</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-0.0383%</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0.0193%</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type="dxa" w:w="8868"/>
        <w:jc w:val="center"/>
        <w:tblCellMar>
          <w:top w:type="dxa" w:w="57"/>
          <w:bottom w:type="dxa" w:w="57"/>
        </w:tblCellMar>
        <w:tblLook w:val="04A0"/>
      </w:tblPr>
      <w:tblGrid>
        <w:gridCol w:w="1465"/>
        <w:gridCol w:w="1464"/>
        <w:gridCol w:w="1464"/>
        <w:gridCol w:w="1567"/>
        <w:gridCol w:w="1567"/>
        <w:gridCol w:w="1775"/>
      </w:tblGrid>
      <w:tr w:rsidR="00BF1111" w:rsidRPr="000E4C40" w:rsidTr="00B13F60">
        <w:trPr>
          <w:jc w:val="center"/>
        </w:trPr>
        <w:tc>
          <w:tcPr>
            <w:tcW w:type="dxa" w:w="1547"/>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156288</w:t>
            </w:r>
          </w:p>
        </w:tc>
        <w:tc>
          <w:tcPr>
            <w:vAlign w:val="center"/>
          </w:tcPr>
          <w:p>
            <w:pPr>
              <w:jc w:val="center"/>
            </w:pPr>
            <w:r>
              <w:rPr>
                <w:color w:val="000000"/>
                <w:sz w:val="24"/>
              </w:rPr>
              <w:t>宁远07A1(总价)</w:t>
            </w:r>
          </w:p>
        </w:tc>
        <w:tc>
          <w:tcPr>
            <w:vAlign w:val="center"/>
          </w:tcPr>
          <w:p>
            <w:pPr>
              <w:jc w:val="right"/>
            </w:pPr>
            <w:r>
              <w:rPr>
                <w:color w:val="000000"/>
                <w:sz w:val="24"/>
              </w:rPr>
              <w:t>1,000,000</w:t>
            </w:r>
          </w:p>
        </w:tc>
        <w:tc>
          <w:tcPr>
            <w:vAlign w:val="center"/>
          </w:tcPr>
          <w:p>
            <w:pPr>
              <w:jc w:val="right"/>
            </w:pPr>
            <w:r>
              <w:rPr>
                <w:color w:val="000000"/>
                <w:sz w:val="24"/>
              </w:rPr>
              <w:t>100,000,000.00</w:t>
            </w:r>
          </w:p>
        </w:tc>
        <w:tc>
          <w:tcPr>
            <w:vAlign w:val="center"/>
          </w:tcPr>
          <w:p>
            <w:pPr>
              <w:jc w:val="right"/>
            </w:pPr>
            <w:r>
              <w:rPr>
                <w:color w:val="000000"/>
                <w:sz w:val="24"/>
              </w:rPr>
              <w:t>0.86</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0E4C40">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P="00930856" w:rsidR="00D40363" w:rsidRDefault="00D40363" w:rsidRPr="000E4C40">
      <w:pPr>
        <w:spacing w:before="29" w:line="288" w:lineRule="auto"/>
        <w:rPr>
          <w:color w:val="000000"/>
          <w:sz w:val="24"/>
        </w:rPr>
      </w:pPr>
      <w:r w:rsidRPr="000E4C40">
        <w:rPr>
          <w:color w:val="000000"/>
          <w:sz w:val="24"/>
        </w:rPr>
        <w:lastRenderedPageBreak/>
        <w:t/>
      </w:r>
      <w:proofErr w:type="spellStart"/>
      <w:r w:rsidRPr="000E4C40">
        <w:rPr>
          <w:color w:val="000000"/>
          <w:sz w:val="24"/>
        </w:rPr>
        <w:t/>
      </w:r>
      <w:proofErr w:type="spellEnd"/>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0E4C40">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type="dxa" w:w="8868"/>
        <w:jc w:val="center"/>
        <w:tblInd w:type="dxa" w:w="17"/>
        <w:tblLayout w:type="fixed"/>
        <w:tblLook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30,878,305.54</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15,400.00</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30,893,705.54</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0E4C40">
      <w:pPr>
        <w:spacing w:before="29" w:line="288" w:lineRule="auto"/>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2304D5">
        <w:rPr>
          <w:color w:val="000000"/>
          <w:kern w:val="0"/>
          <w:sz w:val="24"/>
        </w:rPr>
        <w:t>5.9.4</w:t>
      </w:r>
      <w:r w:rsidR="00DE7C60" w:rsidRPr="000E4C40">
        <w:rPr>
          <w:rFonts w:hAnsi="宋体"/>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proofErr w:type="spellStart"/>
      <w:r w:rsidR="000C469F" w:rsidRPr="000E4C40">
        <w:rPr>
          <w:color w:val="000000"/>
          <w:sz w:val="24"/>
        </w:rPr>
        <w:t/>
      </w:r>
      <w:proofErr w:type="spellEnd"/>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color w:val="000000"/>
                <w:kern w:val="0"/>
                <w:sz w:val="24"/>
              </w:rPr>
              <w:t/>
            </w:r>
            <w:r w:rsidRPr="000E4C40">
              <w:rPr>
                <w:sz w:val="24"/>
              </w:rPr>
              <w:t/>
            </w:r>
            <w:r w:rsidR="00327FB0" w:rsidRPr="000E4C40">
              <w:rPr>
                <w:sz w:val="24"/>
              </w:rPr>
              <w:t/>
            </w:r>
            <w:r w:rsidRPr="000E4C40">
              <w:rPr>
                <w:sz w:val="24"/>
              </w:rPr>
              <w:t/>
            </w:r>
            <w:proofErr w:type="spellEnd"/>
            <w:r w:rsidRPr="000E4C40">
              <w:rPr>
                <w:sz w:val="24"/>
              </w:rPr>
              <w:t>交银天鑫宝货币A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00327FB0" w:rsidRPr="000E4C40">
              <w:rPr>
                <w:sz w:val="24"/>
              </w:rPr>
              <w:t/>
            </w:r>
            <w:r w:rsidR="000F78F3">
              <w:rPr>
                <w:sz w:val="24"/>
              </w:rPr>
              <w:t/>
            </w:r>
            <w:r w:rsidR="000F78F3">
              <w:rPr>
                <w:rFonts w:hint="eastAsia"/>
                <w:sz w:val="24"/>
              </w:rPr>
              <w:t/>
            </w:r>
            <w:r w:rsidRPr="000E4C40">
              <w:rPr>
                <w:sz w:val="24"/>
              </w:rPr>
              <w:t>交银天鑫宝货币E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130,734,392.18</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18,222,449,489.36</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Pr="000E4C40">
              <w:rPr>
                <w:color w:val="000000"/>
                <w:kern w:val="0"/>
                <w:sz w:val="24"/>
              </w:rPr>
              <w:lastRenderedPageBreak/>
              <w:t/>
            </w:r>
            <w:r w:rsidR="00327FB0" w:rsidRPr="000E4C40">
              <w:rPr>
                <w:color w:val="000000"/>
                <w:kern w:val="0"/>
                <w:sz w:val="24"/>
              </w:rPr>
              <w:t/>
            </w:r>
            <w:r w:rsidRPr="000E4C40">
              <w:rPr>
                <w:color w:val="000000"/>
                <w:kern w:val="0"/>
                <w:sz w:val="24"/>
              </w:rPr>
              <w:t/>
            </w:r>
            <w:proofErr w:type="spellEnd"/>
            <w:r w:rsidRPr="000E4C40">
              <w:rPr>
                <w:color w:val="000000"/>
                <w:kern w:val="0"/>
                <w:sz w:val="24"/>
              </w:rPr>
              <w:t>125,101,504.97</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lastRenderedPageBreak/>
              <w:t/>
            </w:r>
            <w:r w:rsidRPr="000E4C40">
              <w:rPr>
                <w:color w:val="000000"/>
                <w:kern w:val="0"/>
                <w:sz w:val="24"/>
              </w:rPr>
              <w:lastRenderedPageBreak/>
              <w:t/>
            </w:r>
            <w:r w:rsidR="00327FB0" w:rsidRPr="000E4C40">
              <w:rPr>
                <w:color w:val="000000"/>
                <w:kern w:val="0"/>
                <w:sz w:val="24"/>
              </w:rPr>
              <w:t/>
            </w:r>
            <w:r w:rsidR="000F78F3">
              <w:rPr>
                <w:rFonts w:hint="eastAsia"/>
                <w:color w:val="000000"/>
                <w:kern w:val="0"/>
                <w:sz w:val="24"/>
              </w:rPr>
              <w:t/>
            </w:r>
            <w:r w:rsidRPr="000E4C40">
              <w:rPr>
                <w:color w:val="000000"/>
                <w:kern w:val="0"/>
                <w:sz w:val="24"/>
              </w:rPr>
              <w:t>6,686,841,473.41</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27FB0" w:rsidRPr="000E4C40">
              <w:rPr>
                <w:color w:val="000000"/>
                <w:kern w:val="0"/>
                <w:sz w:val="24"/>
              </w:rPr>
              <w:t/>
            </w:r>
            <w:r w:rsidRPr="000E4C40">
              <w:rPr>
                <w:color w:val="000000"/>
                <w:kern w:val="0"/>
                <w:sz w:val="24"/>
              </w:rPr>
              <w:t/>
            </w:r>
            <w:proofErr w:type="spellEnd"/>
            <w:r w:rsidRPr="000E4C40">
              <w:rPr>
                <w:color w:val="000000"/>
                <w:kern w:val="0"/>
                <w:sz w:val="24"/>
              </w:rPr>
              <w:t>215,060,338.55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13,281,067,515.92</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40,775,558.60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11,628,223,446.85</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r w:rsidR="00AA5B03" w:rsidRPr="000E4C40">
        <w:rPr>
          <w:color w:val="000000"/>
          <w:sz w:val="24"/>
        </w:rPr>
        <w:t/>
      </w:r>
      <w:proofErr w:type="spellStart"/>
      <w:r w:rsidR="00AA5B03" w:rsidRPr="000E4C40">
        <w:rPr>
          <w:color w:val="000000"/>
          <w:sz w:val="24"/>
        </w:rPr>
        <w:t/>
      </w:r>
      <w:proofErr w:type="spellEnd"/>
      <w:r w:rsidR="00AA5B03" w:rsidRPr="000E4C40">
        <w:rPr>
          <w:color w:val="000000"/>
          <w:sz w:val="24"/>
        </w:rPr>
        <w:t xml:space="preserve"> 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Lines="100" w:beforeLines="100" w:line="288" w:lineRule="auto"/>
        <w:jc w:val="center"/>
        <w:rPr>
          <w:color w:val="000000"/>
          <w:kern w:val="0"/>
          <w:sz w:val="24"/>
          <w:szCs w:val="24"/>
        </w:rPr>
      </w:pPr>
      <w:r w:rsidRPr="000E4C40">
        <w:rPr>
          <w:color w:val="000000"/>
          <w:kern w:val="0"/>
          <w:sz w:val="24"/>
          <w:szCs w:val="24"/>
        </w:rPr>
        <w:t/>
      </w:r>
      <w:proofErr w:type="spellStart"/>
      <w:r w:rsidRPr="000E4C40">
        <w:rPr>
          <w:color w:val="000000"/>
          <w:kern w:val="0"/>
          <w:sz w:val="24"/>
          <w:szCs w:val="24"/>
        </w:rPr>
        <w:t/>
      </w:r>
      <w:proofErr w:type="spellEnd"/>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本基金管理人本报告期内未进行本基金的申购、赎回、红利再投等；本基金管理人本报告期末持有本基金份额0.00份，占本基金期末总份额的0.00%。</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Lines="100"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
      </w:r>
      <w:proofErr w:type="spellStart"/>
      <w:r>
        <w:rPr>
          <w:rFonts w:asciiTheme="minorEastAsia" w:cs="Arial" w:eastAsiaTheme="minorEastAsia" w:hAnsiTheme="minorEastAsia" w:hint="eastAsia"/>
          <w:color w:themeColor="text1" w:val="000000"/>
          <w:kern w:val="0"/>
          <w:sz w:val="24"/>
          <w:szCs w:val="24"/>
        </w:rPr>
        <w:t/>
      </w:r>
      <w:proofErr w:type="spellEnd"/>
      <w:r>
        <w:rPr>
          <w:rFonts w:asciiTheme="minorEastAsia" w:cs="Arial" w:eastAsiaTheme="minorEastAsia" w:hAnsiTheme="minorEastAsia" w:hint="eastAsia"/>
          <w:color w:themeColor="text1" w:val="000000"/>
          <w:kern w:val="0"/>
          <w:sz w:val="24"/>
          <w:szCs w:val="24"/>
        </w:rPr>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proofErr w:type="spellStart"/>
      <w:r>
        <w:rPr>
          <w:rFonts w:ascii="宋体" w:hAnsi="宋体" w:hint="eastAsia"/>
          <w:b/>
          <w:color w:val="000000"/>
          <w:kern w:val="0"/>
          <w:sz w:val="24"/>
        </w:rPr>
        <w:t/>
      </w:r>
      <w:proofErr w:type="spellEnd"/>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hint="eastAsia"/>
                <w:color w:val="000000"/>
                <w:kern w:val="0"/>
                <w:szCs w:val="21"/>
              </w:rPr>
              <w:lastRenderedPageBreak/>
              <w:t/>
            </w:r>
            <w:proofErr w:type="spellStart"/>
            <w:r>
              <w:rPr>
                <w:rFonts w:ascii="宋体" w:hAnsi="宋体" w:hint="eastAsia"/>
                <w:color w:val="000000"/>
                <w:kern w:val="0"/>
                <w:szCs w:val="21"/>
              </w:rPr>
              <w:t/>
            </w:r>
            <w:proofErr w:type="spellEnd"/>
            <w:r>
              <w:rPr>
                <w:rFonts w:ascii="宋体" w:hAnsi="宋体" w:hint="eastAsia"/>
                <w:color w:val="000000"/>
                <w:kern w:val="0"/>
                <w:szCs w:val="21"/>
              </w:rPr>
              <w:t/>
            </w:r>
            <w:proofErr w:type="spellStart"/>
            <w:r>
              <w:rPr>
                <w:rFonts w:ascii="宋体" w:hAnsi="宋体" w:hint="eastAsia"/>
                <w:color w:val="000000"/>
                <w:kern w:val="0"/>
                <w:szCs w:val="21"/>
              </w:rPr>
              <w:t/>
            </w:r>
            <w:proofErr w:type="spellEnd"/>
            <w:r>
              <w:rPr>
                <w:rFonts w:ascii="宋体" w:hAnsi="宋体" w:hint="eastAsia"/>
                <w:color w:val="000000"/>
                <w:kern w:val="0"/>
                <w:szCs w:val="21"/>
              </w:rPr>
              <w:t xml:space="preserve">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lastRenderedPageBreak/>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w:t>
            </w:r>
            <w:r>
              <w:rPr>
                <w:rFonts w:ascii="宋体" w:hAnsi="宋体" w:hint="eastAsia"/>
                <w:color w:val="000000"/>
                <w:kern w:val="0"/>
                <w:szCs w:val="21"/>
              </w:rPr>
              <w:lastRenderedPageBreak/>
              <w:t>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期初份</w:t>
            </w:r>
            <w:r>
              <w:rPr>
                <w:rFonts w:ascii="宋体" w:hAnsi="宋体" w:hint="eastAsia"/>
                <w:color w:val="000000"/>
                <w:kern w:val="0"/>
                <w:szCs w:val="21"/>
              </w:rPr>
              <w:lastRenderedPageBreak/>
              <w:t>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申购份</w:t>
            </w:r>
            <w:r>
              <w:rPr>
                <w:rFonts w:ascii="宋体" w:hAnsi="宋体" w:hint="eastAsia"/>
                <w:color w:val="000000"/>
                <w:kern w:val="0"/>
                <w:szCs w:val="21"/>
              </w:rPr>
              <w:lastRenderedPageBreak/>
              <w:t>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2018/10/1-2018/12/31</w:t>
            </w:r>
          </w:p>
        </w:tc>
        <w:tc>
          <w:tcPr>
            <w:vAlign w:val="center"/>
          </w:tcPr>
          <w:p>
            <w:pPr>
              <w:jc w:val="center"/>
            </w:pPr>
            <w:r>
              <w:rPr>
                <w:rFonts w:ascii="宋体" w:hAnsi="宋体" w:hint="eastAsia"/>
                <w:color w:val="000000"/>
                <w:kern w:val="0"/>
                <w:szCs w:val="21"/>
              </w:rPr>
              <w:t>5,486,005,924.63</w:t>
            </w:r>
          </w:p>
        </w:tc>
        <w:tc>
          <w:tcPr>
            <w:vAlign w:val="center"/>
          </w:tcPr>
          <w:p>
            <w:pPr>
              <w:jc w:val="center"/>
            </w:pPr>
            <w:r>
              <w:rPr>
                <w:rFonts w:ascii="宋体" w:hAnsi="宋体" w:hint="eastAsia"/>
                <w:color w:val="000000"/>
                <w:kern w:val="0"/>
                <w:szCs w:val="21"/>
              </w:rPr>
              <w:t>538,019,949.09</w:t>
            </w:r>
          </w:p>
        </w:tc>
        <w:tc>
          <w:tcPr>
            <w:vAlign w:val="center"/>
          </w:tcPr>
          <w:p>
            <w:pPr>
              <w:jc w:val="center"/>
            </w:pPr>
            <w:r>
              <w:rPr>
                <w:rFonts w:ascii="宋体" w:hAnsi="宋体" w:hint="eastAsia"/>
                <w:color w:val="000000"/>
                <w:kern w:val="0"/>
                <w:szCs w:val="21"/>
              </w:rPr>
              <w:t>2,500,000,000.00</w:t>
            </w:r>
          </w:p>
        </w:tc>
        <w:tc>
          <w:tcPr>
            <w:vAlign w:val="center"/>
          </w:tcPr>
          <w:p>
            <w:pPr>
              <w:jc w:val="center"/>
            </w:pPr>
            <w:r>
              <w:rPr>
                <w:rFonts w:ascii="宋体" w:hAnsi="宋体" w:hint="eastAsia"/>
                <w:color w:val="000000"/>
                <w:kern w:val="0"/>
                <w:szCs w:val="21"/>
              </w:rPr>
              <w:t>3,524,025,873.72</w:t>
            </w:r>
          </w:p>
        </w:tc>
        <w:tc>
          <w:tcPr>
            <w:vAlign w:val="center"/>
          </w:tcPr>
          <w:p>
            <w:pPr>
              <w:jc w:val="center"/>
            </w:pPr>
            <w:r>
              <w:rPr>
                <w:rFonts w:ascii="宋体" w:hAnsi="宋体" w:hint="eastAsia"/>
                <w:color w:val="000000"/>
                <w:kern w:val="0"/>
                <w:szCs w:val="21"/>
              </w:rPr>
              <w:t>30.20%</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roofErr w:type="spellStart"/>
            <w:r>
              <w:rPr>
                <w:rFonts w:ascii="宋体" w:hAnsi="宋体" w:hint="eastAsia"/>
                <w:kern w:val="0"/>
                <w:szCs w:val="21"/>
              </w:rPr>
              <w:t/>
            </w:r>
            <w:proofErr w:type="spellEnd"/>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841EB4" w:rsidR="00C03EF8" w:rsidRDefault="009D74FC" w:rsidRPr="009268A2">
      <w:pPr>
        <w:pStyle w:val="1"/>
        <w:spacing w:afterLines="100"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1、中国证监会准予交银施罗德天鑫宝货币市场基金募集注册的文件； </w:t>
      </w:r>
    </w:p>
    <w:p>
      <w:pPr>
        <w:spacing w:before="29" w:line="288" w:lineRule="auto"/>
        <w:ind w:firstLine="480" w:firstLineChars="200"/>
        <w:rPr>
          <w:color w:val="000000"/>
          <w:sz w:val="24"/>
        </w:rPr>
      </w:pPr>
      <w:r>
        <w:rPr>
          <w:color w:val="000000"/>
          <w:sz w:val="24"/>
        </w:rPr>
        <w:t xml:space="preserve">2、《交银施罗德天鑫宝货币市场基金基金合同》； </w:t>
      </w:r>
    </w:p>
    <w:p>
      <w:pPr>
        <w:spacing w:before="29" w:line="288" w:lineRule="auto"/>
        <w:ind w:firstLine="480" w:firstLineChars="200"/>
        <w:rPr>
          <w:color w:val="000000"/>
          <w:sz w:val="24"/>
        </w:rPr>
      </w:pPr>
      <w:r>
        <w:rPr>
          <w:color w:val="000000"/>
          <w:sz w:val="24"/>
        </w:rPr>
        <w:t xml:space="preserve">3、《交银施罗德天鑫宝货币市场基金招募说明书》； </w:t>
      </w:r>
    </w:p>
    <w:p>
      <w:pPr>
        <w:spacing w:before="29" w:line="288" w:lineRule="auto"/>
        <w:ind w:firstLine="480" w:firstLineChars="200"/>
        <w:rPr>
          <w:color w:val="000000"/>
          <w:sz w:val="24"/>
        </w:rPr>
      </w:pPr>
      <w:r>
        <w:rPr>
          <w:color w:val="000000"/>
          <w:sz w:val="24"/>
        </w:rPr>
        <w:t xml:space="preserve">4、《交银施罗德天鑫宝货币市场基金托管协议》； </w:t>
      </w:r>
    </w:p>
    <w:p>
      <w:pPr>
        <w:spacing w:before="29" w:line="288" w:lineRule="auto"/>
        <w:ind w:firstLine="480" w:firstLineChars="200"/>
        <w:rPr>
          <w:color w:val="000000"/>
          <w:sz w:val="24"/>
        </w:rPr>
      </w:pPr>
      <w:r>
        <w:rPr>
          <w:color w:val="000000"/>
          <w:sz w:val="24"/>
        </w:rPr>
        <w:t xml:space="preserve">5、关于申请募集注册交银施罗德天鑫宝货币市场基金的法律意见书；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8、报告期内交银施罗德天鑫宝货币市场基金在指定报刊上各项公告的原稿。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5FF" w:rsidRDefault="006245FF">
      <w:r>
        <w:separator/>
      </w:r>
    </w:p>
  </w:endnote>
  <w:endnote w:type="continuationSeparator" w:id="0">
    <w:p w:rsidR="006245FF" w:rsidRDefault="006245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1D0DB0" w:rsidR="00D1705E" w:rsidRDefault="00D1705E" w:rsidRPr="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841EB4">
      <w:rPr>
        <w:noProof/>
        <w:kern w:val="0"/>
        <w:szCs w:val="21"/>
      </w:rPr>
      <w:t>2</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841EB4">
      <w:rPr>
        <w:noProof/>
        <w:kern w:val="0"/>
        <w:szCs w:val="21"/>
      </w:rPr>
      <w:t>23</w:t>
    </w:r>
    <w:r w:rsidR="00457CD3">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6245FF" w:rsidRDefault="006245FF">
      <w:r>
        <w:separator/>
      </w:r>
    </w:p>
  </w:footnote>
  <w:footnote w:id="0" w:type="continuationSeparator">
    <w:p w:rsidR="006245FF" w:rsidRDefault="006245FF">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8379E2" w:rsidR="00D1705E" w:rsidRDefault="00841EB4" w:rsidRPr="00841EB4">
    <w:pPr>
      <w:pStyle w:val="a4"/>
      <w:pBdr>
        <w:bottom w:color="auto" w:space="0" w:sz="6" w:val="single"/>
      </w:pBdr>
      <w:jc w:val="right"/>
      <w:rPr>
        <w:sz w:val="24"/>
        <w:szCs w:val="24"/>
      </w:rPr>
    </w:pPr>
    <w:r w:rsidRPr="003E676C">
      <w:rPr>
        <w:sz w:val="24"/>
        <w:szCs w:val="24"/>
      </w:rPr>
      <w:t/>
    </w:r>
    <w:proofErr w:type="spellStart"/>
    <w:r w:rsidRPr="003E676C">
      <w:rPr>
        <w:sz w:val="24"/>
        <w:szCs w:val="24"/>
      </w:rPr>
      <w:t/>
    </w:r>
    <w:proofErr w:type="spellEnd"/>
    <w:r w:rsidRPr="003E676C">
      <w:rPr>
        <w:sz w:val="24"/>
        <w:szCs w:val="24"/>
      </w:rPr>
      <w:t>交银施罗德天鑫宝货币市场基金</w:t>
    </w:r>
    <w:proofErr w:type="spellStart"/>
    <w:r w:rsidRPr="003E676C">
      <w:rPr>
        <w:sz w:val="24"/>
        <w:szCs w:val="24"/>
      </w:rPr>
      <w:t/>
    </w:r>
    <w:proofErr w:type="spellEnd"/>
    <w:r w:rsidRPr="003E676C">
      <w:rPr>
        <w:sz w:val="24"/>
        <w:szCs w:val="24"/>
      </w:rPr>
      <w:t>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bordersDoNotSurroundHeader/>
  <w:bordersDoNotSurroundFooter/>
  <w:proofState w:spelling="clean"/>
  <w:stylePaneFormatFilter w:val="3F01"/>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8194" v:ext="edit"/>
    <o:shapelayout v:ext="edit">
      <o:idmap data="1" v:ext="edit"/>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header" w:uiPriority="99"/>
    <w:lsdException w:name="caption" w:qFormat="1" w:semiHidden="1" w:unhideWhenUsed="1"/>
    <w:lsdException w:name="Title" w:qFormat="1"/>
    <w:lsdException w:name="Subtitle" w:qFormat="1"/>
    <w:lsdException w:name="Strong" w:qFormat="1" w:uiPriority="22"/>
    <w:lsdException w:name="Emphasis" w:qFormat="1"/>
    <w:lsdException w:name="Plain Text" w:uiPriority="99"/>
    <w:lsdException w:name="Table Grid"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Ind w:type="dxa" w:w="0"/>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s>
</file>

<file path=word/webSettings.xml><?xml version="1.0" encoding="utf-8"?>
<w:webSettings xmlns:r="http://schemas.openxmlformats.org/officeDocument/2006/relationships" xmlns:w="http://schemas.openxmlformats.org/wordprocessingml/2006/main">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18"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2A1109-F435-45F1-BF4E-42ABB0D9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23</Pages>
  <Words>3593</Words>
  <Characters>20485</Characters>
  <Application>Microsoft Office Word</Application>
  <DocSecurity>0</DocSecurity>
  <Lines>170</Lines>
  <Paragraphs>48</Paragraphs>
  <ScaleCrop>false</ScaleCrop>
  <Company>jysld</Company>
  <LinksUpToDate>false</LinksUpToDate>
  <CharactersWithSpaces>24030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Administrator</cp:lastModifiedBy>
  <cp:lastPrinted>2009-01-22T10:11:00Z</cp:lastPrinted>
  <dcterms:modified xsi:type="dcterms:W3CDTF">2018-03-30T07:36:00Z</dcterms:modified>
  <cp:revision>314</cp:revision>
</cp:coreProperties>
</file>