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交银施罗德安心收益债券型证券投资基金</w:t>
      </w:r>
    </w:p>
    <w:p w:rsidP="00C15CAC" w:rsidR="002279D3" w:rsidRDefault="002279D3" w:rsidRPr="0081286B">
      <w:pPr>
        <w:spacing w:before="29" w:line="288" w:lineRule="auto"/>
        <w:jc w:val="center"/>
        <w:rPr>
          <w:b/>
          <w:sz w:val="36"/>
          <w:szCs w:val="36"/>
        </w:rPr>
      </w:pPr>
      <w:r w:rsidRPr="0081286B">
        <w:rPr>
          <w:b/>
          <w:sz w:val="36"/>
          <w:szCs w:val="36"/>
        </w:rPr>
        <w:t>2018年第4季度报告</w:t>
      </w:r>
    </w:p>
    <w:p w:rsidP="00C15CAC" w:rsidR="004061AC" w:rsidRDefault="00655CD8" w:rsidRPr="0081286B">
      <w:pPr>
        <w:spacing w:before="29" w:line="288" w:lineRule="auto"/>
        <w:jc w:val="center"/>
        <w:rPr>
          <w:b/>
          <w:sz w:val="36"/>
          <w:szCs w:val="36"/>
        </w:rPr>
      </w:pPr>
      <w:r w:rsidRPr="0081286B">
        <w:rPr>
          <w:b/>
          <w:sz w:val="36"/>
          <w:szCs w:val="36"/>
        </w:rPr>
        <w:t>2018年12月31日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中国民生银行股份有限公司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二〇一九年一月二十一日</w:t>
      </w:r>
    </w:p>
    <w:p w:rsidP="0011537B" w:rsidR="004061AC" w:rsidRDefault="004061AC" w:rsidRPr="00414345">
      <w:pPr>
        <w:pStyle w:val="1"/>
        <w:spacing w:afterLines="100"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基金托管人中国民生银行股份有限公司根据本基金合同规定，于2019年1月18日复核了本报告中的财务指标、净值表现和投资组合报告等内容，保证复核内容不存在虚假记载、误导性陈述或者重大遗漏。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本报告期自2018年10月1日起至12月31日止。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Lines="100"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交银安心收益债券</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519753</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5845"/>
            <w:gridSpan w:val="2"/>
            <w:tcBorders>
              <w:top w:color="auto" w:space="0" w:sz="4" w:val="single"/>
              <w:left w:color="auto" w:space="0" w:sz="4" w:val="single"/>
              <w:bottom w:color="auto" w:space="0" w:sz="4" w:val="single"/>
              <w:right w:color="auto" w:space="0" w:sz="4" w:val="single"/>
            </w:tcBorders>
            <w:vAlign w:val="center"/>
          </w:tcPr>
          <w:p w:rsidP="00C15CAC" w:rsidR="001B2F35" w:rsidRDefault="00C5218C" w:rsidRPr="00414345">
            <w:pPr>
              <w:adjustRightInd w:val="0"/>
              <w:spacing w:before="29" w:line="288" w:lineRule="auto"/>
              <w:ind w:left="17"/>
              <w:jc w:val="left"/>
              <w:rPr>
                <w:color w:val="000000"/>
                <w:kern w:val="0"/>
                <w:sz w:val="24"/>
                <w:szCs w:val="24"/>
              </w:rPr>
            </w:pPr>
            <w:r w:rsidRPr="00414345">
              <w:rPr>
                <w:kern w:val="0"/>
                <w:sz w:val="24"/>
              </w:rPr>
              <w:t>519753</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2018年6月2日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69,447,099.27</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在严格控制投资风险和保持资产流动性的基础上，力争实现基金资产的长期稳定增值。</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中债综合全价指数</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本基金为债券型证券投资基金，其长期平均的预期收益和风险高于货币市场基金，低于混合型基金和股票型基金。</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中国民生银行股份有限公司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Lines="100"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(2018年10月1日-2018年12月31日)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305,114.19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633,935.95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0.0085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70,914,111.42</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1.021</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0.79%</w:t>
            </w:r>
          </w:p>
        </w:tc>
        <w:tc>
          <w:tcPr>
            <w:vAlign w:val="center"/>
          </w:tcPr>
          <w:p>
            <w:pPr>
              <w:jc w:val="center"/>
            </w:pPr>
            <w:r>
              <w:rPr>
                <w:color w:val="000000"/>
                <w:sz w:val="24"/>
                <w:szCs w:val="24"/>
              </w:rPr>
              <w:t>0.10%</w:t>
            </w:r>
          </w:p>
        </w:tc>
        <w:tc>
          <w:tcPr>
            <w:vAlign w:val="center"/>
          </w:tcPr>
          <w:p>
            <w:pPr>
              <w:jc w:val="center"/>
            </w:pPr>
            <w:r>
              <w:rPr>
                <w:color w:val="000000"/>
                <w:sz w:val="24"/>
                <w:szCs w:val="24"/>
              </w:rPr>
              <w:t>1.99%</w:t>
            </w:r>
          </w:p>
        </w:tc>
        <w:tc>
          <w:tcPr>
            <w:vAlign w:val="center"/>
          </w:tcPr>
          <w:p>
            <w:pPr>
              <w:jc w:val="center"/>
            </w:pPr>
            <w:r>
              <w:rPr>
                <w:color w:val="000000"/>
                <w:sz w:val="24"/>
                <w:szCs w:val="24"/>
              </w:rPr>
              <w:t>0.05%</w:t>
            </w:r>
          </w:p>
        </w:tc>
        <w:tc>
          <w:tcPr>
            <w:vAlign w:val="center"/>
          </w:tcPr>
          <w:p>
            <w:pPr>
              <w:jc w:val="center"/>
            </w:pPr>
            <w:r>
              <w:rPr>
                <w:color w:val="000000"/>
                <w:sz w:val="24"/>
                <w:szCs w:val="24"/>
              </w:rPr>
              <w:t>-1.20%</w:t>
            </w:r>
          </w:p>
        </w:tc>
        <w:tc>
          <w:tcPr>
            <w:vAlign w:val="center"/>
          </w:tcPr>
          <w:p>
            <w:pPr>
              <w:jc w:val="center"/>
            </w:pPr>
            <w:r>
              <w:rPr>
                <w:color w:val="000000"/>
                <w:sz w:val="24"/>
                <w:szCs w:val="24"/>
              </w:rPr>
              <w:t>0.05%</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交银施罗德安心收益债券型证券投资基金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2018年6月2日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2018年12月31日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由交银施罗德荣和保本混合型证券投资基金转型而来。本基金转型日为2018年6月2日，基金转型日至报告期期末，本基金转型时间未满一年。本基金的投资转型期为交银施罗德荣和保本混合型证券投资基金保本周期到期期间截止日的次日（即2018年6月2日）起的3个月。截至投资转型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Lines="100"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唐赟</w:t>
            </w:r>
          </w:p>
        </w:tc>
        <w:tc>
          <w:tcPr>
            <w:vAlign w:val="center"/>
          </w:tcPr>
          <w:p>
            <w:pPr>
              <w:jc w:val="center"/>
            </w:pPr>
            <w:r>
              <w:rPr>
                <w:color w:val="000000"/>
                <w:sz w:val="24"/>
                <w:szCs w:val="24"/>
              </w:rPr>
              <w:t>交银信用添利债券(LOF)、交银双利债券、交银双轮动债券、交银裕通纯债债券、交银安心收益债券的基金经理</w:t>
            </w:r>
          </w:p>
        </w:tc>
        <w:tc>
          <w:tcPr>
            <w:vAlign w:val="center"/>
          </w:tcPr>
          <w:p>
            <w:pPr>
              <w:jc w:val="center"/>
            </w:pPr>
            <w:r>
              <w:rPr>
                <w:color w:val="000000"/>
                <w:sz w:val="24"/>
                <w:szCs w:val="24"/>
              </w:rPr>
              <w:t>2015-11-07</w:t>
            </w:r>
          </w:p>
        </w:tc>
        <w:tc>
          <w:tcPr>
            <w:vAlign w:val="center"/>
          </w:tcPr>
          <w:p>
            <w:pPr>
              <w:jc w:val="center"/>
            </w:pPr>
            <w:r>
              <w:rPr>
                <w:color w:val="000000"/>
                <w:sz w:val="24"/>
                <w:szCs w:val="24"/>
              </w:rPr>
              <w:t>-</w:t>
            </w:r>
          </w:p>
        </w:tc>
        <w:tc>
          <w:tcPr>
            <w:vAlign w:val="center"/>
          </w:tcPr>
          <w:p>
            <w:pPr>
              <w:jc w:val="center"/>
            </w:pPr>
            <w:r>
              <w:rPr>
                <w:color w:val="000000"/>
                <w:sz w:val="24"/>
                <w:szCs w:val="24"/>
              </w:rPr>
              <w:t>8年</w:t>
            </w:r>
          </w:p>
        </w:tc>
        <w:tc>
          <w:tcPr>
            <w:vAlign w:val="center"/>
          </w:tcPr>
          <w:p>
            <w:pPr>
              <w:jc w:val="both"/>
            </w:pPr>
            <w:r>
              <w:rPr>
                <w:color w:val="000000"/>
                <w:sz w:val="24"/>
                <w:szCs w:val="24"/>
              </w:rPr>
              <w:t>唐赟先生，香港城市大学电子工程硕士。历任渣打银行环球企业部助理客户经理、平安资产管理公司信用分析员。2012年加入交银施罗德基金管理有限公司，历任固定收益研究员、基金经理助理。2015年11月7日至2018年6月1日担任转型前的交银施罗德荣和保本混合型证券投资基金的基金经理。</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2018年以来中美贸易争端不断发酵和去杠杆政策下非标融资大幅收缩成为主导债市走势的两大基本面因素。四季度伊始，央行公布降准一个百分点且对资金投向方面的限制放宽松，大规模投放流动性使得资金面极度宽松，回购利率中枢一度下行至接近八月份的年内最低水平，加之地方债政府专项债发行量减少、经济基本面数据持续弱势，带动债券市场收益率在十月持续下行。进入十一月，在汇率贬值的压力下，央行连续多个交易日暂停公开市场操作，引导短端利率较十月小幅抬升，同业存单发行利率中枢也随之提高，虽然十月底的政治局会议基调相对于七月的政治局会议措辞有所放松，但是十一月公布的信贷和社融数据断崖式下跌、贸易战谈判带动市场情绪波动的影响下，长端利率整体上延续十月的下行趋势。十二月，政治局会议和中央经济工作会议均侧重稳增长，强调逆周期调节，提出稳定总需求，利率债双向波动加大，体现出小幅震荡的格局。</w:t>
      </w:r>
    </w:p>
    <w:p>
      <w:pPr>
        <w:spacing w:before="29" w:line="288" w:lineRule="auto"/>
        <w:ind w:firstLine="480" w:firstLineChars="200"/>
        <w:rPr>
          <w:color w:val="000000"/>
          <w:sz w:val="24"/>
          <w:szCs w:val="24"/>
        </w:rPr>
      </w:pPr>
      <w:r>
        <w:rPr>
          <w:color w:val="000000"/>
          <w:sz w:val="24"/>
          <w:szCs w:val="24"/>
        </w:rPr>
        <w:t>报告期内，基于对经济持续下滑、资金面维持大体宽松、长端利率有下行空间、信用利差主导压缩的判断，本基金在维持债券底仓整体久期的同时，对底仓的结构做出部分调整，提升静态收益率和杠杆套息利差，并择机进行长久期利率债的波段操作。同时，基于对权益市场较为谨慎的看法，控制组合的权益仓位，选择个别具有防御性板块个股进行波段操作为组合增强收益。</w:t>
      </w:r>
    </w:p>
    <w:p>
      <w:pPr>
        <w:spacing w:before="29" w:line="288" w:lineRule="auto"/>
        <w:ind w:firstLine="480" w:firstLineChars="200"/>
        <w:rPr>
          <w:color w:val="000000"/>
          <w:sz w:val="24"/>
          <w:szCs w:val="24"/>
        </w:rPr>
      </w:pPr>
      <w:r>
        <w:rPr>
          <w:color w:val="000000"/>
          <w:sz w:val="24"/>
          <w:szCs w:val="24"/>
        </w:rPr>
        <w:t>展望2019年一季度，我们认为一方面，国内的宏观基本面整体上仍将有利于债券市场，同时期限利差虽有收窄但仍在高位，利率进一步下行或有空间。海外方面，G20会议决定美国对中国商品关税提升暂缓三个月，考虑到中美关税再次提升前“抢出口”效应已经基本透支，且中方答应美方尽快从美国进口大量农产品，2019年一季度的净出口预计会对GDP有一定拖累。但是另一方面，为了应对外需和内需同时回落的压力，国内稳增长的诉求将会提高，或在促进消费、基建补短板、减税降费领域出台更加积极的对冲政策。在地方政府隐性债务的监管和资管新规的大框架下，基建投资资金来源会更多依赖地方政府专项债，从而导致专项债的供给可能会超出预期，对利率债产生一定的挤出效应。综合以上，我们认为后期债券市场的主要机会来自于净出口以及地产投资等方面的下行带来的基本面回落，风险点可能来自超预期的稳增长和托底政策。</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xml:space="preserve">可转债方面，我们认为虽然有长期配置价值，但是可能面临纯债类资产的机会成本等因素，未来预计仍然将维持较低仓位，等待权益类资产的机会。权益市场方面，目前市场估值预计已处于相对底部区间，市场出现继续大幅下跌的可能性较小，但市场何时见底乃至出现趋势性上升行情仍不能确定。我们仍将维持较低的权益仓位，等待市场趋势性机会的出现。 </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 主要财务指标” 及“3.2.1本报告期基金份额净值增长率及其与同期业绩比较基准收益率的比较”部分披露。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Lines="100"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rsidRPr="007B5F21">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tbl>
      <w:tblPr>
        <w:tblStyle w:val="af7"/>
        <w:tblW w:type="dxa" w:w="8897"/>
        <w:tblInd w:type="dxa" w:w="108"/>
        <w:tblLayout w:type="fixed"/>
        <w:tblLook w:val="04A0"/>
      </w:tblPr>
      <w:tblGrid>
        <w:gridCol w:w="720"/>
        <w:gridCol w:w="2824"/>
        <w:gridCol w:w="2552"/>
        <w:gridCol w:w="2801"/>
      </w:tblGrid>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824"/>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r w:rsidRPr="007B5F21">
              <w:rPr>
                <w:rFonts w:eastAsiaTheme="minorEastAsia"/>
                <w:color w:themeColor="text1" w:val="000000"/>
                <w:sz w:val="24"/>
                <w:szCs w:val="24"/>
              </w:rPr>
              <w:t>(</w:t>
            </w:r>
            <w:r w:rsidRPr="007B5F21">
              <w:rPr>
                <w:rFonts w:eastAsiaTheme="minorEastAsia"/>
                <w:color w:themeColor="text1" w:val="000000"/>
                <w:sz w:val="24"/>
                <w:szCs w:val="24"/>
              </w:rPr>
              <w:t>元</w:t>
            </w: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1</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283,400.00</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0.39</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283,400.00</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0.39</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63,359,140.00</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88.21</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63,359,140.00</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88.21</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824"/>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824"/>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4,000,000.00</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5.57</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2,243,194.65</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3.12</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824"/>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1,944,185.90</w:t>
            </w:r>
          </w:p>
        </w:tc>
        <w:tc>
          <w:tcPr>
            <w:tcW w:type="dxa" w:w="2801"/>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2.71</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824"/>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71,829,920.55</w:t>
            </w:r>
          </w:p>
        </w:tc>
        <w:tc>
          <w:tcPr>
            <w:tcW w:type="dxa" w:w="2801"/>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rsidRPr="00F51C4E">
      <w:pPr>
        <w:rPr>
          <w:b/>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公允价值（元）</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lastRenderedPageBreak/>
              <w:t/>
            </w:r>
            <w:r w:rsidRPr="00414345">
              <w:rPr>
                <w:sz w:val="24"/>
                <w:szCs w:val="24"/>
              </w:rPr>
              <w:lastRenderedPageBreak/>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283,400.00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0.40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283,400.00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0.40</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300252</w:t>
            </w:r>
          </w:p>
        </w:tc>
        <w:tc>
          <w:tcPr>
            <w:vAlign w:val="center"/>
          </w:tcPr>
          <w:p>
            <w:pPr>
              <w:jc w:val="center"/>
            </w:pPr>
            <w:r>
              <w:rPr>
                <w:color w:val="000000"/>
                <w:sz w:val="24"/>
                <w:szCs w:val="24"/>
              </w:rPr>
              <w:t>金信诺</w:t>
            </w:r>
          </w:p>
        </w:tc>
        <w:tc>
          <w:tcPr>
            <w:vAlign w:val="center"/>
          </w:tcPr>
          <w:p>
            <w:pPr>
              <w:jc w:val="right"/>
            </w:pPr>
            <w:r>
              <w:rPr>
                <w:color w:val="000000"/>
                <w:sz w:val="24"/>
                <w:szCs w:val="24"/>
              </w:rPr>
              <w:t>26,000</w:t>
            </w:r>
          </w:p>
        </w:tc>
        <w:tc>
          <w:tcPr>
            <w:vAlign w:val="center"/>
          </w:tcPr>
          <w:p>
            <w:pPr>
              <w:jc w:val="right"/>
            </w:pPr>
            <w:r>
              <w:rPr>
                <w:color w:val="000000"/>
                <w:sz w:val="24"/>
                <w:szCs w:val="24"/>
              </w:rPr>
              <w:t>283,400.00</w:t>
            </w:r>
          </w:p>
        </w:tc>
        <w:tc>
          <w:tcPr>
            <w:vAlign w:val="center"/>
          </w:tcPr>
          <w:p>
            <w:pPr>
              <w:jc w:val="right"/>
            </w:pPr>
            <w:r>
              <w:rPr>
                <w:color w:val="000000"/>
                <w:sz w:val="24"/>
                <w:szCs w:val="24"/>
              </w:rPr>
              <w:t>0.40</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type="dxa" w:w="8868"/>
        <w:jc w:val="center"/>
        <w:tblLayout w:type="fixed"/>
        <w:tblLook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17,193,140.00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24.25</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17,193,140.00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24.25</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20,457,000.00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28.85</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25,709,000.00</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36.25</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63,359,140.00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89.35</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type="dxa" w:w="8868"/>
        <w:jc w:val="center"/>
        <w:tblLayout w:type="fixed"/>
        <w:tblCellMar>
          <w:top w:type="dxa" w:w="57"/>
          <w:bottom w:type="dxa" w:w="57"/>
        </w:tblCellMar>
        <w:tblLook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180210</w:t>
            </w:r>
          </w:p>
        </w:tc>
        <w:tc>
          <w:tcPr>
            <w:vAlign w:val="center"/>
          </w:tcPr>
          <w:p>
            <w:pPr>
              <w:jc w:val="center"/>
            </w:pPr>
            <w:r>
              <w:rPr>
                <w:color w:val="000000"/>
                <w:sz w:val="24"/>
                <w:szCs w:val="24"/>
              </w:rPr>
              <w:t>18国开10</w:t>
            </w:r>
          </w:p>
        </w:tc>
        <w:tc>
          <w:tcPr>
            <w:vAlign w:val="center"/>
          </w:tcPr>
          <w:p>
            <w:pPr>
              <w:jc w:val="right"/>
            </w:pPr>
            <w:r>
              <w:rPr>
                <w:color w:val="000000"/>
                <w:sz w:val="24"/>
                <w:szCs w:val="24"/>
              </w:rPr>
              <w:t>100,000</w:t>
            </w:r>
          </w:p>
        </w:tc>
        <w:tc>
          <w:tcPr>
            <w:vAlign w:val="center"/>
          </w:tcPr>
          <w:p>
            <w:pPr>
              <w:jc w:val="right"/>
            </w:pPr>
            <w:r>
              <w:rPr>
                <w:color w:val="000000"/>
                <w:sz w:val="24"/>
                <w:szCs w:val="24"/>
              </w:rPr>
              <w:t>10,313,000.00</w:t>
            </w:r>
          </w:p>
        </w:tc>
        <w:tc>
          <w:tcPr>
            <w:vAlign w:val="center"/>
          </w:tcPr>
          <w:p>
            <w:pPr>
              <w:jc w:val="right"/>
            </w:pPr>
            <w:r>
              <w:rPr>
                <w:color w:val="000000"/>
                <w:sz w:val="24"/>
                <w:szCs w:val="24"/>
              </w:rPr>
              <w:t>14.54</w:t>
            </w:r>
          </w:p>
        </w:tc>
      </w:tr>
      <w:tr>
        <w:tc>
          <w:tcPr>
            <w:vAlign w:val="center"/>
          </w:tcPr>
          <w:p>
            <w:pPr>
              <w:jc w:val="center"/>
            </w:pPr>
            <w:r>
              <w:rPr>
                <w:color w:val="000000"/>
                <w:sz w:val="24"/>
                <w:szCs w:val="24"/>
              </w:rPr>
              <w:t>2</w:t>
            </w:r>
          </w:p>
        </w:tc>
        <w:tc>
          <w:tcPr>
            <w:vAlign w:val="center"/>
          </w:tcPr>
          <w:p>
            <w:pPr>
              <w:jc w:val="center"/>
            </w:pPr>
            <w:r>
              <w:rPr>
                <w:color w:val="000000"/>
                <w:sz w:val="24"/>
                <w:szCs w:val="24"/>
              </w:rPr>
              <w:t>018005</w:t>
            </w:r>
          </w:p>
        </w:tc>
        <w:tc>
          <w:tcPr>
            <w:vAlign w:val="center"/>
          </w:tcPr>
          <w:p>
            <w:pPr>
              <w:jc w:val="center"/>
            </w:pPr>
            <w:r>
              <w:rPr>
                <w:color w:val="000000"/>
                <w:sz w:val="24"/>
                <w:szCs w:val="24"/>
              </w:rPr>
              <w:t>国开1701</w:t>
            </w:r>
          </w:p>
        </w:tc>
        <w:tc>
          <w:tcPr>
            <w:vAlign w:val="center"/>
          </w:tcPr>
          <w:p>
            <w:pPr>
              <w:jc w:val="right"/>
            </w:pPr>
            <w:r>
              <w:rPr>
                <w:color w:val="000000"/>
                <w:sz w:val="24"/>
                <w:szCs w:val="24"/>
              </w:rPr>
              <w:t>68,500</w:t>
            </w:r>
          </w:p>
        </w:tc>
        <w:tc>
          <w:tcPr>
            <w:vAlign w:val="center"/>
          </w:tcPr>
          <w:p>
            <w:pPr>
              <w:jc w:val="right"/>
            </w:pPr>
            <w:r>
              <w:rPr>
                <w:color w:val="000000"/>
                <w:sz w:val="24"/>
                <w:szCs w:val="24"/>
              </w:rPr>
              <w:t>6,880,140.00</w:t>
            </w:r>
          </w:p>
        </w:tc>
        <w:tc>
          <w:tcPr>
            <w:vAlign w:val="center"/>
          </w:tcPr>
          <w:p>
            <w:pPr>
              <w:jc w:val="right"/>
            </w:pPr>
            <w:r>
              <w:rPr>
                <w:color w:val="000000"/>
                <w:sz w:val="24"/>
                <w:szCs w:val="24"/>
              </w:rPr>
              <w:t>9.70</w:t>
            </w:r>
          </w:p>
        </w:tc>
      </w:tr>
      <w:tr>
        <w:tc>
          <w:tcPr>
            <w:vAlign w:val="center"/>
          </w:tcPr>
          <w:p>
            <w:pPr>
              <w:jc w:val="center"/>
            </w:pPr>
            <w:r>
              <w:rPr>
                <w:color w:val="000000"/>
                <w:sz w:val="24"/>
                <w:szCs w:val="24"/>
              </w:rPr>
              <w:t>3</w:t>
            </w:r>
          </w:p>
        </w:tc>
        <w:tc>
          <w:tcPr>
            <w:vAlign w:val="center"/>
          </w:tcPr>
          <w:p>
            <w:pPr>
              <w:jc w:val="center"/>
            </w:pPr>
            <w:r>
              <w:rPr>
                <w:color w:val="000000"/>
                <w:sz w:val="24"/>
                <w:szCs w:val="24"/>
              </w:rPr>
              <w:t>101800160</w:t>
            </w:r>
          </w:p>
        </w:tc>
        <w:tc>
          <w:tcPr>
            <w:vAlign w:val="center"/>
          </w:tcPr>
          <w:p>
            <w:pPr>
              <w:jc w:val="center"/>
            </w:pPr>
            <w:r>
              <w:rPr>
                <w:color w:val="000000"/>
                <w:sz w:val="24"/>
                <w:szCs w:val="24"/>
              </w:rPr>
              <w:t>18港兴港投MTN001</w:t>
            </w:r>
          </w:p>
        </w:tc>
        <w:tc>
          <w:tcPr>
            <w:vAlign w:val="center"/>
          </w:tcPr>
          <w:p>
            <w:pPr>
              <w:jc w:val="right"/>
            </w:pPr>
            <w:r>
              <w:rPr>
                <w:color w:val="000000"/>
                <w:sz w:val="24"/>
                <w:szCs w:val="24"/>
              </w:rPr>
              <w:t>50,000</w:t>
            </w:r>
          </w:p>
        </w:tc>
        <w:tc>
          <w:tcPr>
            <w:vAlign w:val="center"/>
          </w:tcPr>
          <w:p>
            <w:pPr>
              <w:jc w:val="right"/>
            </w:pPr>
            <w:r>
              <w:rPr>
                <w:color w:val="000000"/>
                <w:sz w:val="24"/>
                <w:szCs w:val="24"/>
              </w:rPr>
              <w:t>5,195,000.00</w:t>
            </w:r>
          </w:p>
        </w:tc>
        <w:tc>
          <w:tcPr>
            <w:vAlign w:val="center"/>
          </w:tcPr>
          <w:p>
            <w:pPr>
              <w:jc w:val="right"/>
            </w:pPr>
            <w:r>
              <w:rPr>
                <w:color w:val="000000"/>
                <w:sz w:val="24"/>
                <w:szCs w:val="24"/>
              </w:rPr>
              <w:t>7.33</w:t>
            </w:r>
          </w:p>
        </w:tc>
      </w:tr>
      <w:tr>
        <w:tc>
          <w:tcPr>
            <w:vAlign w:val="center"/>
          </w:tcPr>
          <w:p>
            <w:pPr>
              <w:jc w:val="center"/>
            </w:pPr>
            <w:r>
              <w:rPr>
                <w:color w:val="000000"/>
                <w:sz w:val="24"/>
                <w:szCs w:val="24"/>
              </w:rPr>
              <w:t>4</w:t>
            </w:r>
          </w:p>
        </w:tc>
        <w:tc>
          <w:tcPr>
            <w:vAlign w:val="center"/>
          </w:tcPr>
          <w:p>
            <w:pPr>
              <w:jc w:val="center"/>
            </w:pPr>
            <w:r>
              <w:rPr>
                <w:color w:val="000000"/>
                <w:sz w:val="24"/>
                <w:szCs w:val="24"/>
              </w:rPr>
              <w:t>143734</w:t>
            </w:r>
          </w:p>
        </w:tc>
        <w:tc>
          <w:tcPr>
            <w:vAlign w:val="center"/>
          </w:tcPr>
          <w:p>
            <w:pPr>
              <w:jc w:val="center"/>
            </w:pPr>
            <w:r>
              <w:rPr>
                <w:color w:val="000000"/>
                <w:sz w:val="24"/>
                <w:szCs w:val="24"/>
              </w:rPr>
              <w:t>18金隅02</w:t>
            </w:r>
          </w:p>
        </w:tc>
        <w:tc>
          <w:tcPr>
            <w:vAlign w:val="center"/>
          </w:tcPr>
          <w:p>
            <w:pPr>
              <w:jc w:val="right"/>
            </w:pPr>
            <w:r>
              <w:rPr>
                <w:color w:val="000000"/>
                <w:sz w:val="24"/>
                <w:szCs w:val="24"/>
              </w:rPr>
              <w:t>50,000</w:t>
            </w:r>
          </w:p>
        </w:tc>
        <w:tc>
          <w:tcPr>
            <w:vAlign w:val="center"/>
          </w:tcPr>
          <w:p>
            <w:pPr>
              <w:jc w:val="right"/>
            </w:pPr>
            <w:r>
              <w:rPr>
                <w:color w:val="000000"/>
                <w:sz w:val="24"/>
                <w:szCs w:val="24"/>
              </w:rPr>
              <w:t>5,194,000.00</w:t>
            </w:r>
          </w:p>
        </w:tc>
        <w:tc>
          <w:tcPr>
            <w:vAlign w:val="center"/>
          </w:tcPr>
          <w:p>
            <w:pPr>
              <w:jc w:val="right"/>
            </w:pPr>
            <w:r>
              <w:rPr>
                <w:color w:val="000000"/>
                <w:sz w:val="24"/>
                <w:szCs w:val="24"/>
              </w:rPr>
              <w:t>7.32</w:t>
            </w:r>
          </w:p>
        </w:tc>
      </w:tr>
      <w:tr>
        <w:tc>
          <w:tcPr>
            <w:vAlign w:val="center"/>
          </w:tcPr>
          <w:p>
            <w:pPr>
              <w:jc w:val="center"/>
            </w:pPr>
            <w:r>
              <w:rPr>
                <w:color w:val="000000"/>
                <w:sz w:val="24"/>
                <w:szCs w:val="24"/>
              </w:rPr>
              <w:t>5</w:t>
            </w:r>
          </w:p>
        </w:tc>
        <w:tc>
          <w:tcPr>
            <w:vAlign w:val="center"/>
          </w:tcPr>
          <w:p>
            <w:pPr>
              <w:jc w:val="center"/>
            </w:pPr>
            <w:r>
              <w:rPr>
                <w:color w:val="000000"/>
                <w:sz w:val="24"/>
                <w:szCs w:val="24"/>
              </w:rPr>
              <w:t>101800933</w:t>
            </w:r>
          </w:p>
        </w:tc>
        <w:tc>
          <w:tcPr>
            <w:vAlign w:val="center"/>
          </w:tcPr>
          <w:p>
            <w:pPr>
              <w:jc w:val="center"/>
            </w:pPr>
            <w:r>
              <w:rPr>
                <w:color w:val="000000"/>
                <w:sz w:val="24"/>
                <w:szCs w:val="24"/>
              </w:rPr>
              <w:t>18武汉地产MTN002</w:t>
            </w:r>
          </w:p>
        </w:tc>
        <w:tc>
          <w:tcPr>
            <w:vAlign w:val="center"/>
          </w:tcPr>
          <w:p>
            <w:pPr>
              <w:jc w:val="right"/>
            </w:pPr>
            <w:r>
              <w:rPr>
                <w:color w:val="000000"/>
                <w:sz w:val="24"/>
                <w:szCs w:val="24"/>
              </w:rPr>
              <w:t>50,000</w:t>
            </w:r>
          </w:p>
        </w:tc>
        <w:tc>
          <w:tcPr>
            <w:vAlign w:val="center"/>
          </w:tcPr>
          <w:p>
            <w:pPr>
              <w:jc w:val="right"/>
            </w:pPr>
            <w:r>
              <w:rPr>
                <w:color w:val="000000"/>
                <w:sz w:val="24"/>
                <w:szCs w:val="24"/>
              </w:rPr>
              <w:t>5,193,500.00</w:t>
            </w:r>
          </w:p>
        </w:tc>
        <w:tc>
          <w:tcPr>
            <w:vAlign w:val="center"/>
          </w:tcPr>
          <w:p>
            <w:pPr>
              <w:jc w:val="right"/>
            </w:pPr>
            <w:r>
              <w:rPr>
                <w:color w:val="000000"/>
                <w:sz w:val="24"/>
                <w:szCs w:val="24"/>
              </w:rPr>
              <w:t>7.32</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sz w:val="24"/>
          <w:szCs w:val="24"/>
        </w:rPr>
      </w:pP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lastRenderedPageBreak/>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5.11.1报告期内本基金投资的前十名证券的发行主体未被监管部门立案调查，在本报告编制日前一年内本基金投资的前十名证券的发行主体未受到公开谴责和处罚。</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5.11.2本基金投资的前十名股票中，没有超出基金合同规定的备选股票库之外的股票。</w:t>
      </w: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horzAnchor="margin" w:leftFromText="180" w:rightFromText="180" w:tblpXSpec="center" w:tblpY="265" w:vertAnchor="text"/>
        <w:tblW w:type="dxa" w:w="8868"/>
        <w:jc w:val="center"/>
        <w:tblLayout w:type="fixed"/>
        <w:tblCellMar>
          <w:top w:type="dxa" w:w="-1"/>
          <w:bottom w:type="dxa" w:w="-1"/>
        </w:tblCellMar>
        <w:tblLook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56,289.56</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616,143.79</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1,271,345.02</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407.53</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1,944,185.90</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本基金本报告期末未持有处于转股期的可转换债券。</w:t>
      </w:r>
    </w:p>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8E326D" w:rsidRPr="00414345">
        <w:rPr>
          <w:color w:val="000000"/>
          <w:sz w:val="24"/>
          <w:szCs w:val="24"/>
        </w:rPr>
        <w:t/>
      </w:r>
      <w:r w:rsidR="004061AC" w:rsidRPr="00414345">
        <w:rPr>
          <w:color w:val="000000"/>
          <w:sz w:val="24"/>
          <w:szCs w:val="24"/>
        </w:rPr>
        <w:t>本基金本报告期末前十名股票中不存在流通受限情况。</w:t>
      </w:r>
    </w:p>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D02347"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r w:rsidR="003259C8"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11537B" w:rsidR="001F3E2A" w:rsidRDefault="001F3E2A" w:rsidRPr="00575270">
      <w:pPr>
        <w:pStyle w:val="1"/>
        <w:spacing w:afterLines="100" w:beforeLines="100" w:line="360" w:lineRule="auto"/>
        <w:jc w:val="center"/>
        <w:rPr>
          <w:rFonts w:eastAsiaTheme="minorEastAsia"/>
          <w:color w:themeColor="text1" w:val="000000"/>
          <w:kern w:val="0"/>
          <w:sz w:val="24"/>
          <w:szCs w:val="24"/>
        </w:rPr>
      </w:pPr>
      <w:r w:rsidRPr="00575270">
        <w:rPr>
          <w:rFonts w:eastAsiaTheme="minorEastAsia"/>
          <w:color w:themeColor="text1" w:val="000000"/>
          <w:kern w:val="0"/>
          <w:sz w:val="24"/>
          <w:szCs w:val="24"/>
        </w:rPr>
        <w:lastRenderedPageBreak/>
        <w:t>§6</w:t>
      </w:r>
      <w:r w:rsidRPr="00575270">
        <w:rPr>
          <w:rFonts w:eastAsiaTheme="minorEastAsia" w:hint="eastAsia"/>
          <w:color w:themeColor="text1" w:val="000000"/>
          <w:kern w:val="0"/>
          <w:sz w:val="24"/>
          <w:szCs w:val="24"/>
        </w:rPr>
        <w:t xml:space="preserve">  </w:t>
      </w:r>
      <w:r w:rsidRPr="00575270">
        <w:rPr>
          <w:rFonts w:eastAsiaTheme="minorEastAsia" w:hint="eastAsia"/>
          <w:color w:themeColor="text1" w:val="000000"/>
          <w:kern w:val="0"/>
          <w:sz w:val="24"/>
          <w:szCs w:val="24"/>
        </w:rPr>
        <w:t>基金中基金</w:t>
      </w:r>
    </w:p>
    <w:p w:rsidP="001F3E2A" w:rsidR="001F3E2A" w:rsidRDefault="001F3E2A" w:rsidRPr="00575270">
      <w:pPr>
        <w:adjustRightInd w:val="0"/>
        <w:snapToGrid w:val="0"/>
        <w:spacing w:line="360" w:lineRule="auto"/>
        <w:rPr>
          <w:rFonts w:eastAsiaTheme="minorEastAsia"/>
          <w:b/>
          <w:color w:themeColor="text1" w:val="000000"/>
          <w:kern w:val="0"/>
          <w:sz w:val="24"/>
          <w:szCs w:val="24"/>
        </w:rPr>
      </w:pPr>
      <w:r w:rsidRPr="00575270">
        <w:rPr>
          <w:rFonts w:eastAsiaTheme="minorEastAsia"/>
          <w:b/>
          <w:color w:themeColor="text1" w:val="000000"/>
          <w:kern w:val="0"/>
          <w:sz w:val="24"/>
          <w:szCs w:val="24"/>
        </w:rPr>
        <w:t>6.</w:t>
      </w:r>
      <w:r w:rsidRPr="00575270">
        <w:rPr>
          <w:rFonts w:eastAsiaTheme="minorEastAsia" w:hint="eastAsia"/>
          <w:b/>
          <w:color w:themeColor="text1" w:val="000000"/>
          <w:kern w:val="0"/>
          <w:sz w:val="24"/>
          <w:szCs w:val="24"/>
        </w:rPr>
        <w:t/>
      </w:r>
      <w:r w:rsidRPr="00575270">
        <w:rPr>
          <w:rFonts w:eastAsiaTheme="minorEastAsia"/>
          <w:b/>
          <w:color w:themeColor="text1" w:val="000000"/>
          <w:kern w:val="0"/>
          <w:sz w:val="24"/>
          <w:szCs w:val="24"/>
        </w:rPr>
        <w:t>1</w:t>
      </w:r>
      <w:r w:rsidRPr="00575270">
        <w:rPr>
          <w:rFonts w:eastAsiaTheme="minorEastAsia" w:hint="eastAsia"/>
          <w:b/>
          <w:color w:themeColor="text1" w:val="000000"/>
          <w:kern w:val="0"/>
          <w:sz w:val="24"/>
          <w:szCs w:val="24"/>
        </w:rPr>
        <w:t xml:space="preserve"> </w:t>
      </w:r>
      <w:r w:rsidRPr="00575270">
        <w:rPr>
          <w:rFonts w:eastAsiaTheme="minorEastAsia" w:hint="eastAsia"/>
          <w:b/>
          <w:color w:themeColor="text1" w:val="000000"/>
          <w:kern w:val="0"/>
          <w:sz w:val="24"/>
          <w:szCs w:val="24"/>
        </w:rPr>
        <w:t>报告期末按公允价值占基金资产净值比例大小排序的前十名基金投资明细</w:t>
      </w:r>
    </w:p>
    <w:p w:rsidP="001F3E2A" w:rsidR="001F3E2A" w:rsidRDefault="001F3E2A" w:rsidRPr="00575270">
      <w:pPr>
        <w:autoSpaceDE w:val="0"/>
        <w:autoSpaceDN w:val="0"/>
        <w:adjustRightInd w:val="0"/>
        <w:spacing w:line="360" w:lineRule="auto"/>
        <w:ind w:firstLine="480" w:firstLineChars="200"/>
        <w:jc w:val="left"/>
        <w:rPr>
          <w:rFonts w:eastAsiaTheme="minorEastAsia"/>
          <w:color w:themeColor="text1" w:val="000000"/>
          <w:sz w:val="24"/>
          <w:szCs w:val="24"/>
        </w:rPr>
      </w:pPr>
      <w:r w:rsidRPr="00575270">
        <w:rPr>
          <w:rFonts w:eastAsiaTheme="minorEastAsia"/>
          <w:color w:themeColor="text1" w:val="000000"/>
          <w:sz w:val="24"/>
          <w:szCs w:val="24"/>
        </w:rPr>
        <w:t>本基金本报告期末未持有基金。</w:t>
      </w:r>
    </w:p>
    <w:p w:rsidP="0011537B" w:rsidR="001F3E2A" w:rsidRDefault="001F3E2A" w:rsidRPr="00575270">
      <w:pPr>
        <w:adjustRightInd w:val="0"/>
        <w:snapToGrid w:val="0"/>
        <w:spacing w:beforeLines="50" w:line="360" w:lineRule="auto"/>
        <w:rPr>
          <w:rFonts w:eastAsiaTheme="minorEastAsia"/>
          <w:b/>
          <w:color w:themeColor="text1" w:val="000000"/>
          <w:kern w:val="0"/>
          <w:sz w:val="24"/>
          <w:szCs w:val="24"/>
        </w:rPr>
      </w:pPr>
      <w:r w:rsidRPr="00575270">
        <w:rPr>
          <w:rFonts w:eastAsiaTheme="minorEastAsia"/>
          <w:b/>
          <w:color w:themeColor="text1" w:val="000000"/>
          <w:kern w:val="0"/>
          <w:sz w:val="24"/>
          <w:szCs w:val="24"/>
        </w:rPr>
        <w:t>6.</w:t>
      </w:r>
      <w:r w:rsidRPr="00575270">
        <w:rPr>
          <w:rFonts w:eastAsiaTheme="minorEastAsia" w:hint="eastAsia"/>
          <w:b/>
          <w:color w:themeColor="text1" w:val="000000"/>
          <w:kern w:val="0"/>
          <w:sz w:val="24"/>
          <w:szCs w:val="24"/>
        </w:rPr>
        <w:t/>
      </w:r>
      <w:r w:rsidRPr="00575270">
        <w:rPr>
          <w:rFonts w:eastAsiaTheme="minorEastAsia"/>
          <w:b/>
          <w:color w:themeColor="text1" w:val="000000"/>
          <w:kern w:val="0"/>
          <w:sz w:val="24"/>
          <w:szCs w:val="24"/>
        </w:rPr>
        <w:t>2</w:t>
      </w:r>
      <w:r w:rsidRPr="00575270">
        <w:rPr>
          <w:rFonts w:eastAsiaTheme="minorEastAsia" w:hint="eastAsia"/>
          <w:b/>
          <w:color w:themeColor="text1" w:val="000000"/>
          <w:kern w:val="0"/>
          <w:sz w:val="24"/>
          <w:szCs w:val="24"/>
        </w:rPr>
        <w:t xml:space="preserve"> </w:t>
      </w:r>
      <w:r w:rsidRPr="00575270">
        <w:rPr>
          <w:rFonts w:eastAsiaTheme="minorEastAsia" w:hint="eastAsia"/>
          <w:b/>
          <w:color w:themeColor="text1" w:val="000000"/>
          <w:kern w:val="0"/>
          <w:sz w:val="24"/>
          <w:szCs w:val="24"/>
        </w:rPr>
        <w:t>当期交易及持有基金产生的费用</w:t>
      </w:r>
    </w:p>
    <w:p w:rsidP="001F3E2A" w:rsidR="001F3E2A" w:rsidRDefault="001F3E2A" w:rsidRPr="00575270">
      <w:pPr>
        <w:autoSpaceDE w:val="0"/>
        <w:autoSpaceDN w:val="0"/>
        <w:adjustRightInd w:val="0"/>
        <w:spacing w:line="360" w:lineRule="auto"/>
        <w:ind w:firstLine="480" w:firstLineChars="200"/>
        <w:jc w:val="left"/>
        <w:rPr>
          <w:rFonts w:eastAsiaTheme="minorEastAsia"/>
          <w:color w:themeColor="text1" w:val="000000"/>
          <w:sz w:val="24"/>
          <w:szCs w:val="24"/>
        </w:rPr>
      </w:pPr>
      <w:r w:rsidRPr="00575270">
        <w:rPr>
          <w:rFonts w:eastAsiaTheme="minorEastAsia"/>
          <w:color w:themeColor="text1" w:val="000000"/>
          <w:sz w:val="24"/>
          <w:szCs w:val="24"/>
        </w:rPr>
        <w:t>本基金本报告期内未交易或持有基金。</w:t>
      </w:r>
    </w:p>
    <w:p w:rsidP="0011537B" w:rsidR="001F3E2A" w:rsidRDefault="001F3E2A" w:rsidRPr="00575270">
      <w:pPr>
        <w:adjustRightInd w:val="0"/>
        <w:snapToGrid w:val="0"/>
        <w:spacing w:beforeLines="50" w:line="360" w:lineRule="auto"/>
        <w:rPr>
          <w:rFonts w:eastAsiaTheme="minorEastAsia"/>
          <w:b/>
          <w:color w:themeColor="text1" w:val="000000"/>
          <w:kern w:val="0"/>
          <w:sz w:val="24"/>
          <w:szCs w:val="24"/>
        </w:rPr>
      </w:pPr>
      <w:r w:rsidRPr="00575270">
        <w:rPr>
          <w:rFonts w:eastAsiaTheme="minorEastAsia"/>
          <w:b/>
          <w:color w:themeColor="text1" w:val="000000"/>
          <w:kern w:val="0"/>
          <w:sz w:val="24"/>
          <w:szCs w:val="24"/>
        </w:rPr>
        <w:t>6.</w:t>
      </w:r>
      <w:r w:rsidRPr="00575270">
        <w:rPr>
          <w:rFonts w:eastAsiaTheme="minorEastAsia" w:hint="eastAsia"/>
          <w:b/>
          <w:color w:themeColor="text1" w:val="000000"/>
          <w:kern w:val="0"/>
          <w:sz w:val="24"/>
          <w:szCs w:val="24"/>
        </w:rPr>
        <w:t/>
      </w:r>
      <w:r w:rsidRPr="00575270">
        <w:rPr>
          <w:rFonts w:eastAsiaTheme="minorEastAsia"/>
          <w:b/>
          <w:color w:themeColor="text1" w:val="000000"/>
          <w:kern w:val="0"/>
          <w:sz w:val="24"/>
          <w:szCs w:val="24"/>
        </w:rPr>
        <w:t>3</w:t>
      </w:r>
      <w:r w:rsidRPr="00575270">
        <w:rPr>
          <w:rFonts w:eastAsiaTheme="minorEastAsia" w:hint="eastAsia"/>
          <w:b/>
          <w:color w:themeColor="text1" w:val="000000"/>
          <w:kern w:val="0"/>
          <w:sz w:val="24"/>
          <w:szCs w:val="24"/>
        </w:rPr>
        <w:t xml:space="preserve"> </w:t>
      </w:r>
      <w:r w:rsidRPr="00575270">
        <w:rPr>
          <w:rFonts w:eastAsiaTheme="minorEastAsia" w:hint="eastAsia"/>
          <w:b/>
          <w:color w:themeColor="text1" w:val="000000"/>
          <w:kern w:val="0"/>
          <w:sz w:val="24"/>
          <w:szCs w:val="24"/>
        </w:rPr>
        <w:t>本报告期持有的基金发生的重大影响事件</w:t>
      </w:r>
    </w:p>
    <w:tbl>
      <w:tblPr>
        <w:tblStyle w:val="af7"/>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val="04A0"/>
      </w:tblPr>
      <w:tblGrid>
        <w:gridCol w:w="9242"/>
      </w:tblGrid>
      <w:tr w:rsidR="001F3E2A" w:rsidRPr="00575270" w:rsidTr="00D9393A">
        <w:tc>
          <w:tcPr>
            <w:tcW w:type="dxa" w:w="9036"/>
          </w:tcPr>
          <w:p w:rsidP="00CD14C0" w:rsidR="001F3E2A" w:rsidRDefault="001F3E2A" w:rsidRPr="00575270">
            <w:pPr>
              <w:autoSpaceDE w:val="0"/>
              <w:autoSpaceDN w:val="0"/>
              <w:adjustRightInd w:val="0"/>
              <w:spacing w:line="360" w:lineRule="auto"/>
              <w:ind w:firstLine="480" w:firstLineChars="200"/>
              <w:jc w:val="left"/>
              <w:rPr>
                <w:rFonts w:eastAsiaTheme="minorEastAsia"/>
                <w:color w:themeColor="text1" w:val="000000"/>
                <w:sz w:val="24"/>
                <w:szCs w:val="24"/>
              </w:rPr>
            </w:pPr>
            <w:r w:rsidRPr="00575270">
              <w:rPr>
                <w:rFonts w:eastAsiaTheme="minorEastAsia"/>
                <w:color w:themeColor="text1" w:val="000000"/>
                <w:sz w:val="24"/>
                <w:szCs w:val="24"/>
              </w:rPr>
              <w:t/>
            </w:r>
            <w:r w:rsidRPr="00575270">
              <w:rPr>
                <w:rFonts w:eastAsiaTheme="minorEastAsia" w:hint="eastAsia"/>
                <w:color w:themeColor="text1" w:val="000000"/>
                <w:sz w:val="24"/>
                <w:szCs w:val="24"/>
              </w:rPr>
              <w:t/>
            </w:r>
            <w:r w:rsidRPr="00575270">
              <w:rPr>
                <w:rFonts w:eastAsiaTheme="minorEastAsia"/>
                <w:color w:themeColor="text1" w:val="000000"/>
                <w:sz w:val="24"/>
                <w:szCs w:val="24"/>
              </w:rPr>
              <w:t/>
            </w:r>
            <w:r w:rsidRPr="00575270">
              <w:rPr>
                <w:rFonts w:eastAsiaTheme="minorEastAsia" w:hint="eastAsia"/>
                <w:color w:themeColor="text1" w:val="000000"/>
                <w:sz w:val="24"/>
                <w:szCs w:val="24"/>
              </w:rPr>
              <w:t>无。</w:t>
            </w:r>
          </w:p>
        </w:tc>
      </w:tr>
    </w:tbl>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Lines="100" w:beforeLines="100" w:line="360" w:lineRule="auto"/>
        <w:jc w:val="center"/>
        <w:rPr>
          <w:rFonts w:eastAsiaTheme="minorEastAsia"/>
          <w:color w:themeColor="text1" w:val="000000"/>
          <w:kern w:val="0"/>
          <w:sz w:val="24"/>
          <w:szCs w:val="24"/>
        </w:rPr>
      </w:pPr>
      <w:bookmarkStart w:id="2" w:name="_GoBack"/>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7</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bookmarkEnd w:id="2"/>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81,414,801.46</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90,021.67</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12,057,723.86</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69,447,099.27</w:t>
            </w:r>
          </w:p>
        </w:tc>
      </w:tr>
    </w:tbl>
    <w:p>
      <w:pPr>
        <w:autoSpaceDE w:val="0"/>
        <w:autoSpaceDN w:val="0"/>
        <w:adjustRightInd w:val="0"/>
        <w:spacing w:before="29" w:line="288" w:lineRule="auto"/>
        <w:jc w:val="left"/>
        <w:rPr>
          <w:color w:val="000000"/>
          <w:sz w:val="24"/>
          <w:szCs w:val="24"/>
        </w:rPr>
      </w:pPr>
      <w:r>
        <w:rPr>
          <w:color w:val="000000"/>
          <w:sz w:val="24"/>
          <w:szCs w:val="24"/>
        </w:rPr>
        <w:t>注：1、如果本报告期间发生转换入、红利再投业务，则总申购份额中包含该业务；</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Lines="100"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8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8.1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3C50AD" w:rsidRDefault="003C50AD" w:rsidRPr="00220C32">
      <w:pPr>
        <w:pStyle w:val="1"/>
        <w:spacing w:afterLines="100" w:beforeLines="100" w:line="360" w:lineRule="auto"/>
        <w:jc w:val="center"/>
        <w:rPr>
          <w:rFonts w:asciiTheme="minorEastAsia" w:eastAsiaTheme="minorEastAsia" w:hAnsiTheme="minorEastAsia"/>
          <w:color w:themeColor="text1" w:val="000000"/>
          <w:kern w:val="0"/>
          <w:sz w:val="24"/>
          <w:szCs w:val="24"/>
        </w:rPr>
      </w:pPr>
      <w:r w:rsidRPr="00220C32">
        <w:rPr>
          <w:rFonts w:asciiTheme="minorEastAsia" w:eastAsiaTheme="minorEastAsia" w:hAnsiTheme="minorEastAsia" w:hint="eastAsia"/>
          <w:color w:themeColor="text1" w:val="000000"/>
          <w:kern w:val="0"/>
          <w:sz w:val="24"/>
          <w:szCs w:val="24"/>
        </w:rPr>
        <w:t>§9</w:t>
      </w:r>
      <w:r w:rsidRPr="00220C32">
        <w:rPr>
          <w:rFonts w:asciiTheme="minorEastAsia" w:eastAsiaTheme="minorEastAsia" w:hAnsiTheme="minorEastAsia"/>
          <w:color w:themeColor="text1" w:val="000000"/>
          <w:kern w:val="0"/>
          <w:sz w:val="24"/>
          <w:szCs w:val="24"/>
        </w:rPr>
        <w:t xml:space="preserve">  </w:t>
      </w:r>
      <w:r w:rsidRPr="00220C32">
        <w:rPr>
          <w:rFonts w:asciiTheme="minorEastAsia" w:eastAsiaTheme="minorEastAsia" w:hAnsiTheme="minorEastAsia" w:hint="eastAsia"/>
          <w:color w:themeColor="text1" w:val="000000"/>
          <w:kern w:val="0"/>
          <w:sz w:val="24"/>
          <w:szCs w:val="24"/>
        </w:rPr>
        <w:t>影响投资者决策的其他重要信息</w:t>
      </w:r>
    </w:p>
    <w:p w:rsidP="003C50AD" w:rsidR="003C50AD" w:rsidRDefault="003C50AD" w:rsidRPr="009A5C99">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color w:val="000000"/>
          <w:kern w:val="0"/>
          <w:sz w:val="24"/>
          <w:szCs w:val="24"/>
        </w:rPr>
        <w:t/>
      </w:r>
      <w:r w:rsidRPr="009A5C99">
        <w:rPr>
          <w:rFonts w:ascii="宋体" w:hAnsi="宋体"/>
          <w:b/>
          <w:bCs/>
          <w:color w:val="000000"/>
          <w:kern w:val="0"/>
          <w:sz w:val="24"/>
          <w:szCs w:val="24"/>
        </w:rPr>
        <w:t>9.</w:t>
      </w:r>
      <w:r w:rsidRPr="009A5C99">
        <w:rPr>
          <w:rFonts w:ascii="宋体" w:hAnsi="宋体" w:hint="eastAsia"/>
          <w:b/>
          <w:bCs/>
          <w:color w:val="000000"/>
          <w:kern w:val="0"/>
          <w:sz w:val="24"/>
          <w:szCs w:val="24"/>
        </w:rPr>
        <w:t>1 报告期内单一投资者持有基金份额比例达到或超过20%的情况</w:t>
      </w:r>
    </w:p>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993"/>
        <w:gridCol w:w="992"/>
        <w:gridCol w:w="1843"/>
        <w:gridCol w:w="851"/>
        <w:gridCol w:w="850"/>
        <w:gridCol w:w="1134"/>
        <w:gridCol w:w="1419"/>
        <w:gridCol w:w="1130"/>
      </w:tblGrid>
      <w:tr w:rsidR="003C50AD" w:rsidRPr="004F4D27" w:rsidTr="00424D30">
        <w:tc>
          <w:tcPr>
            <w:tcW w:type="dxa" w:w="993"/>
            <w:vMerge w:val="restart"/>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type="dxa" w:w="5670"/>
            <w:gridSpan w:val="5"/>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type="dxa" w:w="2549"/>
            <w:gridSpan w:val="2"/>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type="dxa" w:w="993"/>
            <w:vMerge/>
            <w:vAlign w:val="center"/>
          </w:tcPr>
          <w:p w:rsidP="00424D30" w:rsidR="003C50AD" w:rsidRDefault="003C50AD" w:rsidRPr="004F4D27">
            <w:pPr>
              <w:autoSpaceDE w:val="0"/>
              <w:autoSpaceDN w:val="0"/>
              <w:adjustRightInd w:val="0"/>
              <w:jc w:val="center"/>
              <w:rPr>
                <w:rFonts w:ascii="宋体" w:hAnsi="宋体"/>
                <w:b/>
                <w:bCs/>
                <w:color w:val="000000"/>
                <w:kern w:val="0"/>
              </w:rPr>
            </w:pPr>
          </w:p>
        </w:tc>
        <w:tc>
          <w:tcPr>
            <w:tcW w:type="dxa" w:w="992"/>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type="dxa" w:w="1843"/>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type="dxa" w:w="851"/>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期初份额</w:t>
            </w:r>
          </w:p>
        </w:tc>
        <w:tc>
          <w:tcPr>
            <w:tcW w:type="dxa" w:w="850"/>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申购份额</w:t>
            </w:r>
          </w:p>
        </w:tc>
        <w:tc>
          <w:tcPr>
            <w:tcW w:type="dxa" w:w="1134"/>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赎回份额</w:t>
            </w:r>
          </w:p>
        </w:tc>
        <w:tc>
          <w:tcPr>
            <w:tcW w:type="dxa" w:w="1419"/>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type="dxa" w:w="1130"/>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tc>
          <w:tcPr>
            <w:vMerge w:val="restart"/>
          </w:tcPr>
          <w:p/>
          <w:p>
            <w:r>
              <w:rPr>
                <w:rFonts w:ascii="宋体" w:hAnsi="宋体" w:hint="eastAsia"/>
                <w:bCs/>
                <w:color w:val="000000"/>
                <w:kern w:val="0"/>
              </w:rPr>
              <w:t>个人</w:t>
            </w:r>
          </w:p>
        </w:tc>
        <w:tc>
          <w:tcPr>
            <w:vAlign w:val="center"/>
          </w:tcPr>
          <w:p>
            <w:pPr>
              <w:jc w:val="center"/>
            </w:pPr>
            <w:r>
              <w:rPr>
                <w:rFonts w:ascii="宋体" w:hAnsi="宋体"/>
                <w:kern w:val="0"/>
              </w:rPr>
              <w:t>1</w:t>
            </w:r>
          </w:p>
        </w:tc>
        <w:tc>
          <w:tcPr>
            <w:vAlign w:val="center"/>
          </w:tcPr>
          <w:p>
            <w:pPr>
              <w:jc w:val="center"/>
            </w:pPr>
            <w:r>
              <w:rPr>
                <w:rFonts w:ascii="宋体" w:hAnsi="宋体"/>
                <w:kern w:val="0"/>
              </w:rPr>
              <w:t>2018/10/1-2018/12/31</w:t>
            </w:r>
          </w:p>
        </w:tc>
        <w:tc>
          <w:tcPr>
            <w:vAlign w:val="center"/>
          </w:tcPr>
          <w:p>
            <w:pPr>
              <w:jc w:val="center"/>
            </w:pPr>
            <w:r>
              <w:rPr>
                <w:rFonts w:ascii="宋体" w:hAnsi="宋体"/>
                <w:kern w:val="0"/>
              </w:rPr>
              <w:t>15,000,350.00</w:t>
            </w:r>
          </w:p>
        </w:tc>
        <w:tc>
          <w:tcPr>
            <w:vAlign w:val="center"/>
          </w:tcPr>
          <w:p>
            <w:pPr>
              <w:jc w:val="center"/>
            </w:pPr>
            <w:r>
              <w:rPr>
                <w:rFonts w:ascii="宋体" w:hAnsi="宋体"/>
                <w:kern w:val="0"/>
              </w:rPr>
              <w:t>-</w:t>
            </w:r>
          </w:p>
        </w:tc>
        <w:tc>
          <w:tcPr>
            <w:vAlign w:val="center"/>
          </w:tcPr>
          <w:p>
            <w:pPr>
              <w:jc w:val="center"/>
            </w:pPr>
            <w:r>
              <w:rPr>
                <w:rFonts w:ascii="宋体" w:hAnsi="宋体"/>
                <w:kern w:val="0"/>
              </w:rPr>
              <w:t>-</w:t>
            </w:r>
          </w:p>
        </w:tc>
        <w:tc>
          <w:tcPr>
            <w:vAlign w:val="center"/>
          </w:tcPr>
          <w:p>
            <w:pPr>
              <w:jc w:val="center"/>
            </w:pPr>
            <w:r>
              <w:rPr>
                <w:rFonts w:ascii="宋体" w:hAnsi="宋体"/>
                <w:kern w:val="0"/>
              </w:rPr>
              <w:t>15,000,350.00</w:t>
            </w:r>
          </w:p>
        </w:tc>
        <w:tc>
          <w:tcPr>
            <w:vAlign w:val="center"/>
          </w:tcPr>
          <w:p>
            <w:pPr>
              <w:jc w:val="center"/>
            </w:pPr>
            <w:r>
              <w:rPr>
                <w:rFonts w:ascii="宋体" w:hAnsi="宋体"/>
                <w:kern w:val="0"/>
              </w:rPr>
              <w:t>21.60%</w:t>
            </w:r>
          </w:p>
        </w:tc>
      </w:tr>
    </w:tbl>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9212"/>
      </w:tblGrid>
      <w:tr w:rsidR="003C50AD" w:rsidRPr="004F4D27" w:rsidTr="00424D30">
        <w:tc>
          <w:tcPr>
            <w:tcW w:type="dxa" w:w="9212"/>
            <w:vAlign w:val="center"/>
          </w:tcPr>
          <w:p w:rsidP="00424D30" w:rsidR="003C50AD" w:rsidRDefault="003C50AD" w:rsidRPr="004F4D27">
            <w:pPr>
              <w:autoSpaceDE w:val="0"/>
              <w:autoSpaceDN w:val="0"/>
              <w:adjustRightInd w:val="0"/>
              <w:jc w:val="center"/>
              <w:rPr>
                <w:rFonts w:ascii="宋体" w:hAnsi="宋体"/>
                <w:kern w:val="0"/>
              </w:rPr>
            </w:pPr>
            <w:r w:rsidRPr="004F4D27">
              <w:rPr>
                <w:rFonts w:ascii="宋体" w:hAnsi="宋体"/>
                <w:color w:val="000000"/>
                <w:kern w:val="0"/>
              </w:rPr>
              <w:t>产品特有风险</w:t>
            </w:r>
            <w:r w:rsidRPr="004F4D27">
              <w:rPr>
                <w:rFonts w:ascii="宋体" w:hAnsi="宋体"/>
                <w:kern w:val="0"/>
              </w:rPr>
              <w:t/>
            </w:r>
            <w:r w:rsidRPr="004F4D27">
              <w:rPr>
                <w:rFonts w:ascii="宋体" w:hAnsi="宋体" w:hint="eastAsia"/>
                <w:kern w:val="0"/>
              </w:rPr>
              <w:t/>
            </w:r>
            <w:r w:rsidRPr="004F4D27">
              <w:rPr>
                <w:rFonts w:ascii="宋体" w:hAnsi="宋体"/>
                <w:kern w:val="0"/>
              </w:rPr>
              <w:t/>
            </w:r>
          </w:p>
        </w:tc>
      </w:tr>
      <w:tr w:rsidR="003C50AD" w:rsidRPr="004F4D27" w:rsidTr="00424D30">
        <w:tc>
          <w:tcPr>
            <w:tcW w:type="dxa" w:w="9212"/>
            <w:vAlign w:val="center"/>
          </w:tcPr>
          <w:p w:rsidP="00424D30" w:rsidR="003C50AD" w:rsidRDefault="003C50AD" w:rsidRPr="004F4D27">
            <w:pPr>
              <w:autoSpaceDE w:val="0"/>
              <w:autoSpaceDN w:val="0"/>
              <w:adjustRightInd w:val="0"/>
              <w:jc w:val="left"/>
              <w:rPr>
                <w:rFonts w:ascii="宋体" w:hAnsi="宋体"/>
                <w:kern w:val="0"/>
              </w:rPr>
            </w:pPr>
            <w:r w:rsidRPr="004F4D27">
              <w:rPr>
                <w:rFonts w:ascii="宋体" w:hAnsi="宋体" w:hint="eastAsia"/>
                <w:kern w:val="0"/>
              </w:rPr>
              <w:t/>
            </w:r>
            <w:r w:rsidRPr="004F4D27">
              <w:rPr>
                <w:rFonts w:ascii="宋体" w:hAnsi="宋体"/>
                <w:kern w:val="0"/>
              </w:rPr>
              <w:t/>
            </w: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r w:rsidRPr="004F4D27">
              <w:rPr>
                <w:rFonts w:ascii="宋体" w:hAnsi="宋体"/>
                <w:kern w:val="0"/>
              </w:rPr>
              <w:t/>
            </w:r>
          </w:p>
        </w:tc>
      </w:tr>
    </w:tbl>
    <w:p w:rsidP="0011537B" w:rsidR="00B22DEE" w:rsidRDefault="004061AC" w:rsidRPr="00E02660">
      <w:pPr>
        <w:pStyle w:val="1"/>
        <w:spacing w:afterLines="100"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10</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1、中国证监会准予交银施罗德荣和保本混合型证券投资基金募集注册的文件； </w:t>
      </w:r>
    </w:p>
    <w:p>
      <w:pPr>
        <w:spacing w:before="29" w:line="288" w:lineRule="auto"/>
        <w:ind w:firstLine="480" w:firstLineChars="200"/>
        <w:rPr>
          <w:color w:val="000000"/>
          <w:sz w:val="24"/>
          <w:szCs w:val="24"/>
        </w:rPr>
      </w:pPr>
      <w:r>
        <w:rPr>
          <w:color w:val="000000"/>
          <w:sz w:val="24"/>
          <w:szCs w:val="24"/>
        </w:rPr>
        <w:t xml:space="preserve">2、《交银施罗德安心收益债券型证券投资基金基金合同》； </w:t>
      </w:r>
    </w:p>
    <w:p>
      <w:pPr>
        <w:spacing w:before="29" w:line="288" w:lineRule="auto"/>
        <w:ind w:firstLine="480" w:firstLineChars="200"/>
        <w:rPr>
          <w:color w:val="000000"/>
          <w:sz w:val="24"/>
          <w:szCs w:val="24"/>
        </w:rPr>
      </w:pPr>
      <w:r>
        <w:rPr>
          <w:color w:val="000000"/>
          <w:sz w:val="24"/>
          <w:szCs w:val="24"/>
        </w:rPr>
        <w:t xml:space="preserve">3、《交银施罗德安心收益债券型证券投资基金招募说明书》； </w:t>
      </w:r>
    </w:p>
    <w:p>
      <w:pPr>
        <w:spacing w:before="29" w:line="288" w:lineRule="auto"/>
        <w:ind w:firstLine="480" w:firstLineChars="200"/>
        <w:rPr>
          <w:color w:val="000000"/>
          <w:sz w:val="24"/>
          <w:szCs w:val="24"/>
        </w:rPr>
      </w:pPr>
      <w:r>
        <w:rPr>
          <w:color w:val="000000"/>
          <w:sz w:val="24"/>
          <w:szCs w:val="24"/>
        </w:rPr>
        <w:t xml:space="preserve">4、《交银施罗德安心收益债券型证券投资基金托管协议》； </w:t>
      </w:r>
    </w:p>
    <w:p>
      <w:pPr>
        <w:spacing w:before="29" w:line="288" w:lineRule="auto"/>
        <w:ind w:firstLine="480" w:firstLineChars="200"/>
        <w:rPr>
          <w:color w:val="000000"/>
          <w:sz w:val="24"/>
          <w:szCs w:val="24"/>
        </w:rPr>
      </w:pPr>
      <w:r>
        <w:rPr>
          <w:color w:val="000000"/>
          <w:sz w:val="24"/>
          <w:szCs w:val="24"/>
        </w:rPr>
        <w:t xml:space="preserve">5、《交银施罗德荣和保本混合型证券投资基金基金合同》； </w:t>
      </w:r>
    </w:p>
    <w:p>
      <w:pPr>
        <w:spacing w:before="29" w:line="288" w:lineRule="auto"/>
        <w:ind w:firstLine="480" w:firstLineChars="200"/>
        <w:rPr>
          <w:color w:val="000000"/>
          <w:sz w:val="24"/>
          <w:szCs w:val="24"/>
        </w:rPr>
      </w:pPr>
      <w:r>
        <w:rPr>
          <w:color w:val="000000"/>
          <w:sz w:val="24"/>
          <w:szCs w:val="24"/>
        </w:rPr>
        <w:t xml:space="preserve">6、《交银施罗德荣和保本混合型证券投资基金招募说明书》； </w:t>
      </w:r>
    </w:p>
    <w:p>
      <w:pPr>
        <w:spacing w:before="29" w:line="288" w:lineRule="auto"/>
        <w:ind w:firstLine="480" w:firstLineChars="200"/>
        <w:rPr>
          <w:color w:val="000000"/>
          <w:sz w:val="24"/>
          <w:szCs w:val="24"/>
        </w:rPr>
      </w:pPr>
      <w:r>
        <w:rPr>
          <w:color w:val="000000"/>
          <w:sz w:val="24"/>
          <w:szCs w:val="24"/>
        </w:rPr>
        <w:t xml:space="preserve">7、《交银施罗德荣和保本混合型证券投资基金托管协议》； </w:t>
      </w:r>
    </w:p>
    <w:p>
      <w:pPr>
        <w:spacing w:before="29" w:line="288" w:lineRule="auto"/>
        <w:ind w:firstLine="480" w:firstLineChars="200"/>
        <w:rPr>
          <w:color w:val="000000"/>
          <w:sz w:val="24"/>
          <w:szCs w:val="24"/>
        </w:rPr>
      </w:pPr>
      <w:r>
        <w:rPr>
          <w:color w:val="000000"/>
          <w:sz w:val="24"/>
          <w:szCs w:val="24"/>
        </w:rPr>
        <w:t>8、《交银施罗德荣和保本混合型证券投资基金保证合同》；</w:t>
      </w:r>
    </w:p>
    <w:p>
      <w:pPr>
        <w:spacing w:before="29" w:line="288" w:lineRule="auto"/>
        <w:ind w:firstLine="480" w:firstLineChars="200"/>
        <w:rPr>
          <w:color w:val="000000"/>
          <w:sz w:val="24"/>
          <w:szCs w:val="24"/>
        </w:rPr>
      </w:pPr>
      <w:r>
        <w:rPr>
          <w:color w:val="000000"/>
          <w:sz w:val="24"/>
          <w:szCs w:val="24"/>
        </w:rPr>
        <w:t xml:space="preserve">9、基金管理人业务资格批件、营业执照； </w:t>
      </w:r>
    </w:p>
    <w:p>
      <w:pPr>
        <w:spacing w:before="29" w:line="288" w:lineRule="auto"/>
        <w:ind w:firstLine="480" w:firstLineChars="200"/>
        <w:rPr>
          <w:color w:val="000000"/>
          <w:sz w:val="24"/>
          <w:szCs w:val="24"/>
        </w:rPr>
      </w:pPr>
      <w:r>
        <w:rPr>
          <w:color w:val="000000"/>
          <w:sz w:val="24"/>
          <w:szCs w:val="24"/>
        </w:rPr>
        <w:t xml:space="preserve">10、基金托管人业务资格批件、营业执照； </w:t>
      </w:r>
    </w:p>
    <w:p>
      <w:pPr>
        <w:spacing w:before="29" w:line="288" w:lineRule="auto"/>
        <w:ind w:firstLine="480" w:firstLineChars="200"/>
        <w:rPr>
          <w:color w:val="000000"/>
          <w:sz w:val="24"/>
          <w:szCs w:val="24"/>
        </w:rPr>
      </w:pPr>
      <w:r>
        <w:rPr>
          <w:color w:val="000000"/>
          <w:sz w:val="24"/>
          <w:szCs w:val="24"/>
        </w:rPr>
        <w:t xml:space="preserve">11、关于申请募集注册交银施罗德荣和保本混合型证券投资基金的法律意见书； </w:t>
      </w:r>
    </w:p>
    <w:p>
      <w:pPr>
        <w:spacing w:before="29" w:line="288" w:lineRule="auto"/>
        <w:ind w:firstLine="480" w:firstLineChars="200"/>
        <w:rPr>
          <w:color w:val="000000"/>
          <w:sz w:val="24"/>
          <w:szCs w:val="24"/>
        </w:rPr>
      </w:pPr>
      <w:r>
        <w:rPr>
          <w:color w:val="000000"/>
          <w:sz w:val="24"/>
          <w:szCs w:val="24"/>
        </w:rPr>
        <w:t>12、关于修改《交银施罗德荣和保本混合型证券投资基金基金合同》的法律意见书</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13、报告期内交银施罗德荣和保本混合型证券投资基金、交银施罗德安心收益债券型证券投资基金在指定报刊上各项公告的原稿。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AF4" w:rsidRDefault="004B2AF4" w:rsidP="00876D65">
      <w:r>
        <w:separator/>
      </w:r>
    </w:p>
  </w:endnote>
  <w:endnote w:type="continuationSeparator" w:id="0">
    <w:p w:rsidR="004B2AF4" w:rsidRDefault="004B2AF4"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D9393A" w:rsidRDefault="00D9393A">
    <w:pPr>
      <w:pStyle w:val="a6"/>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11537B">
      <w:rPr>
        <w:noProof/>
        <w:kern w:val="0"/>
        <w:szCs w:val="21"/>
      </w:rPr>
      <w:t>19</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11537B">
      <w:rPr>
        <w:noProof/>
        <w:kern w:val="0"/>
        <w:szCs w:val="21"/>
      </w:rPr>
      <w:t>25</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D9393A" w:rsidRDefault="00D9393A">
    <w:pPr>
      <w:pStyle w:val="a6"/>
    </w:pPr>
  </w:p>
</w:ftr>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1" w:type="separator">
    <w:p w:rsidP="00876D65" w:rsidR="004B2AF4" w:rsidRDefault="004B2AF4">
      <w:r>
        <w:separator/>
      </w:r>
    </w:p>
  </w:footnote>
  <w:footnote w:id="0" w:type="continuationSeparator">
    <w:p w:rsidP="00876D65" w:rsidR="004B2AF4" w:rsidRDefault="004B2AF4">
      <w:r>
        <w:continuationSeparator/>
      </w:r>
    </w:p>
  </w:footnote>
</w:footnotes>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D9393A" w:rsidRDefault="00D9393A">
    <w:pPr>
      <w:pStyle w:val="a9"/>
    </w:pP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090A26" w:rsidR="00171EF0" w:rsidRDefault="00DC456F" w:rsidRPr="00DC456F">
    <w:pPr>
      <w:pStyle w:val="a9"/>
      <w:pBdr>
        <w:bottom w:color="auto" w:space="0" w:sz="6" w:val="single"/>
      </w:pBdr>
      <w:jc w:val="right"/>
      <w:rPr>
        <w:sz w:val="24"/>
        <w:szCs w:val="24"/>
      </w:rPr>
    </w:pPr>
    <w:r w:rsidRPr="003E676C">
      <w:rPr>
        <w:sz w:val="24"/>
        <w:szCs w:val="24"/>
      </w:rPr>
      <w:t>交银施罗德安心收益债券型证券投资基金2018年第4季度报告</w:t>
    </w:r>
  </w:p>
</w:hdr>
</file>

<file path=word/header3.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D9393A" w:rsidRDefault="00D9393A">
    <w:pPr>
      <w:pStyle w:val="a9"/>
    </w:pPr>
  </w:p>
</w:hdr>
</file>

<file path=word/numbering.xml><?xml version="1.0" encoding="utf-8"?>
<w:numbering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8194"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81EE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B2AF4"/>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nhideWhenUsed="0"/>
    <w:lsdException w:name="heading 2" w:qFormat="1"/>
    <w:lsdException w:name="heading 3" w:qFormat="1"/>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uiPriority="35"/>
    <w:lsdException w:name="footnote reference" w:uiPriority="0"/>
    <w:lsdException w:name="Title" w:qFormat="1" w:semiHidden="0" w:unhideWhenUsed="0"/>
    <w:lsdException w:name="Default Paragraph Font" w:uiPriority="1"/>
    <w:lsdException w:name="Subtitle" w:qFormat="1" w:semiHidden="0" w:uiPriority="11" w:unhideWhenUsed="0"/>
    <w:lsdException w:name="Date" w:uiPriority="0"/>
    <w:lsdException w:name="Strong" w:qFormat="1" w:semiHidden="0" w:uiPriority="22" w:unhideWhenUsed="0"/>
    <w:lsdException w:name="Emphasis" w:qFormat="1" w:semiHidden="0" w:uiPriority="20" w:unhideWhenUsed="0"/>
    <w:lsdException w:name="Table Grid" w:qFormat="1"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qFormat/>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5BAF-6A5D-4E6F-B945-BE15026D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25</Pages>
  <Words>4136</Words>
  <Characters>23578</Characters>
  <Application>Microsoft Office Word</Application>
  <DocSecurity>0</DocSecurity>
  <Lines>196</Lines>
  <Paragraphs>55</Paragraphs>
  <ScaleCrop>false</ScaleCrop>
  <Company/>
  <LinksUpToDate>false</LinksUpToDate>
  <CharactersWithSpaces>27659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Administrator</cp:lastModifiedBy>
  <dcterms:modified xsi:type="dcterms:W3CDTF">2018-09-13T02:58:00Z</dcterms:modified>
  <cp:revision>578</cp:revision>
</cp:coreProperties>
</file>