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E0C27" w:rsidRDefault="008A774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3,287,694,196.95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A7746" w:rsidRPr="00414345" w:rsidTr="008A774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A7746" w:rsidRPr="00414345" w:rsidTr="008A77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-243,269,274.12</w:t>
            </w:r>
          </w:p>
        </w:tc>
      </w:tr>
      <w:tr w:rsidR="008A7746" w:rsidRPr="00414345" w:rsidTr="008A77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-429,021,995.01</w:t>
            </w:r>
          </w:p>
        </w:tc>
      </w:tr>
      <w:tr w:rsidR="008A7746" w:rsidRPr="00414345" w:rsidTr="008A77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-0.1283</w:t>
            </w:r>
          </w:p>
        </w:tc>
      </w:tr>
      <w:tr w:rsidR="008A7746" w:rsidRPr="00414345" w:rsidTr="008A77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4,184,199,961.48</w:t>
            </w:r>
          </w:p>
        </w:tc>
      </w:tr>
      <w:tr w:rsidR="008A7746" w:rsidRPr="00414345" w:rsidTr="008A774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1.273</w:t>
            </w:r>
          </w:p>
        </w:tc>
      </w:tr>
    </w:tbl>
    <w:p w:rsidR="006E0C27" w:rsidRDefault="008A774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E0C27">
        <w:trPr>
          <w:jc w:val="center"/>
        </w:trPr>
        <w:tc>
          <w:tcPr>
            <w:tcW w:w="1701" w:type="dxa"/>
            <w:vAlign w:val="center"/>
          </w:tcPr>
          <w:p w:rsidR="006E0C27" w:rsidRDefault="008A7746">
            <w:pPr>
              <w:jc w:val="left"/>
            </w:pPr>
            <w:r>
              <w:rPr>
                <w:color w:val="000000"/>
                <w:sz w:val="24"/>
                <w:szCs w:val="24"/>
              </w:rPr>
              <w:lastRenderedPageBreak/>
              <w:t>过去三个月</w:t>
            </w:r>
          </w:p>
        </w:tc>
        <w:tc>
          <w:tcPr>
            <w:tcW w:w="1045" w:type="dxa"/>
            <w:vAlign w:val="center"/>
          </w:tcPr>
          <w:p w:rsidR="006E0C27" w:rsidRDefault="008A7746">
            <w:pPr>
              <w:jc w:val="center"/>
            </w:pPr>
            <w:r>
              <w:rPr>
                <w:color w:val="000000"/>
                <w:sz w:val="24"/>
                <w:szCs w:val="24"/>
              </w:rPr>
              <w:t>-9.01%</w:t>
            </w:r>
          </w:p>
        </w:tc>
        <w:tc>
          <w:tcPr>
            <w:tcW w:w="1344" w:type="dxa"/>
            <w:vAlign w:val="center"/>
          </w:tcPr>
          <w:p w:rsidR="006E0C27" w:rsidRDefault="008A7746">
            <w:pPr>
              <w:jc w:val="center"/>
            </w:pPr>
            <w:r>
              <w:rPr>
                <w:color w:val="000000"/>
                <w:sz w:val="24"/>
                <w:szCs w:val="24"/>
              </w:rPr>
              <w:t>1.48%</w:t>
            </w:r>
          </w:p>
        </w:tc>
        <w:tc>
          <w:tcPr>
            <w:tcW w:w="1194" w:type="dxa"/>
            <w:vAlign w:val="center"/>
          </w:tcPr>
          <w:p w:rsidR="006E0C27" w:rsidRDefault="008A7746">
            <w:pPr>
              <w:jc w:val="center"/>
            </w:pPr>
            <w:r>
              <w:rPr>
                <w:color w:val="000000"/>
                <w:sz w:val="24"/>
                <w:szCs w:val="24"/>
              </w:rPr>
              <w:t>-6.54%</w:t>
            </w:r>
          </w:p>
        </w:tc>
        <w:tc>
          <w:tcPr>
            <w:tcW w:w="1492" w:type="dxa"/>
            <w:vAlign w:val="center"/>
          </w:tcPr>
          <w:p w:rsidR="006E0C27" w:rsidRDefault="008A7746">
            <w:pPr>
              <w:jc w:val="center"/>
            </w:pPr>
            <w:r>
              <w:rPr>
                <w:color w:val="000000"/>
                <w:sz w:val="24"/>
                <w:szCs w:val="24"/>
              </w:rPr>
              <w:t>0.98%</w:t>
            </w:r>
          </w:p>
        </w:tc>
        <w:tc>
          <w:tcPr>
            <w:tcW w:w="1194" w:type="dxa"/>
            <w:vAlign w:val="center"/>
          </w:tcPr>
          <w:p w:rsidR="006E0C27" w:rsidRDefault="008A7746">
            <w:pPr>
              <w:jc w:val="center"/>
            </w:pPr>
            <w:r>
              <w:rPr>
                <w:color w:val="000000"/>
                <w:sz w:val="24"/>
                <w:szCs w:val="24"/>
              </w:rPr>
              <w:t>-2.47%</w:t>
            </w:r>
          </w:p>
        </w:tc>
        <w:tc>
          <w:tcPr>
            <w:tcW w:w="898" w:type="dxa"/>
            <w:vAlign w:val="center"/>
          </w:tcPr>
          <w:p w:rsidR="006E0C27" w:rsidRDefault="008A7746">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E0C27">
        <w:trPr>
          <w:jc w:val="center"/>
        </w:trPr>
        <w:tc>
          <w:tcPr>
            <w:tcW w:w="846" w:type="dxa"/>
            <w:vAlign w:val="center"/>
          </w:tcPr>
          <w:p w:rsidR="006E0C27" w:rsidRDefault="008A7746">
            <w:pPr>
              <w:jc w:val="center"/>
            </w:pPr>
            <w:r>
              <w:rPr>
                <w:color w:val="000000"/>
                <w:sz w:val="24"/>
                <w:szCs w:val="24"/>
              </w:rPr>
              <w:t>杨浩</w:t>
            </w:r>
          </w:p>
        </w:tc>
        <w:tc>
          <w:tcPr>
            <w:tcW w:w="845" w:type="dxa"/>
            <w:vAlign w:val="center"/>
          </w:tcPr>
          <w:p w:rsidR="006E0C27" w:rsidRDefault="008A7746">
            <w:pPr>
              <w:jc w:val="center"/>
            </w:pPr>
            <w:r>
              <w:rPr>
                <w:color w:val="000000"/>
                <w:sz w:val="24"/>
                <w:szCs w:val="24"/>
              </w:rPr>
              <w:t>交银定期支付双息平衡混合、交银</w:t>
            </w:r>
            <w:r>
              <w:rPr>
                <w:color w:val="000000"/>
                <w:sz w:val="24"/>
                <w:szCs w:val="24"/>
              </w:rPr>
              <w:lastRenderedPageBreak/>
              <w:t>新生活力灵活配置混合的基金经理</w:t>
            </w:r>
          </w:p>
        </w:tc>
        <w:tc>
          <w:tcPr>
            <w:tcW w:w="1549" w:type="dxa"/>
            <w:vAlign w:val="center"/>
          </w:tcPr>
          <w:p w:rsidR="006E0C27" w:rsidRDefault="008A7746">
            <w:pPr>
              <w:jc w:val="center"/>
            </w:pPr>
            <w:r>
              <w:rPr>
                <w:color w:val="000000"/>
                <w:sz w:val="24"/>
                <w:szCs w:val="24"/>
              </w:rPr>
              <w:lastRenderedPageBreak/>
              <w:t>2016-11-11</w:t>
            </w:r>
          </w:p>
        </w:tc>
        <w:tc>
          <w:tcPr>
            <w:tcW w:w="1548" w:type="dxa"/>
            <w:vAlign w:val="center"/>
          </w:tcPr>
          <w:p w:rsidR="006E0C27" w:rsidRDefault="008A7746">
            <w:pPr>
              <w:jc w:val="center"/>
            </w:pPr>
            <w:r>
              <w:rPr>
                <w:color w:val="000000"/>
                <w:sz w:val="24"/>
                <w:szCs w:val="24"/>
              </w:rPr>
              <w:t>-</w:t>
            </w:r>
          </w:p>
        </w:tc>
        <w:tc>
          <w:tcPr>
            <w:tcW w:w="1407" w:type="dxa"/>
            <w:vAlign w:val="center"/>
          </w:tcPr>
          <w:p w:rsidR="006E0C27" w:rsidRDefault="008A7746">
            <w:pPr>
              <w:jc w:val="center"/>
            </w:pPr>
            <w:r>
              <w:rPr>
                <w:color w:val="000000"/>
                <w:sz w:val="24"/>
                <w:szCs w:val="24"/>
              </w:rPr>
              <w:t>8</w:t>
            </w:r>
            <w:r>
              <w:rPr>
                <w:color w:val="000000"/>
                <w:sz w:val="24"/>
                <w:szCs w:val="24"/>
              </w:rPr>
              <w:t>年</w:t>
            </w:r>
          </w:p>
        </w:tc>
        <w:tc>
          <w:tcPr>
            <w:tcW w:w="2673" w:type="dxa"/>
            <w:vAlign w:val="center"/>
          </w:tcPr>
          <w:p w:rsidR="006E0C27" w:rsidRDefault="008A7746">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E0C27" w:rsidRDefault="008A774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E0C27" w:rsidRDefault="008A774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E0C27" w:rsidRDefault="008A774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E0C27" w:rsidRDefault="008A7746">
      <w:pPr>
        <w:spacing w:before="29" w:line="288" w:lineRule="auto"/>
        <w:ind w:firstLineChars="200" w:firstLine="480"/>
        <w:rPr>
          <w:color w:val="000000"/>
          <w:sz w:val="24"/>
          <w:szCs w:val="24"/>
        </w:rPr>
      </w:pPr>
      <w:r>
        <w:rPr>
          <w:color w:val="000000"/>
          <w:sz w:val="24"/>
          <w:szCs w:val="24"/>
        </w:rPr>
        <w:t>2018</w:t>
      </w:r>
      <w:r>
        <w:rPr>
          <w:color w:val="000000"/>
          <w:sz w:val="24"/>
          <w:szCs w:val="24"/>
        </w:rPr>
        <w:t>年四季度，经济兑现增速下行趋势，各类宏观指标走弱。出口增速出现较大幅度下降，工业增加值增速转负，社融信贷数据较为低迷。同时政府引导结构转型，产业政策出现较大调整，如医药行业带量采购等政策细则出炉，金融业反哺实业亦开始形成预期。如此种种，市场对未来几个季度企业的盈利状况的担忧加剧。本季度，各大指数表现非常低迷，创下近年新低，成交量也非常低迷。</w:t>
      </w:r>
    </w:p>
    <w:p w:rsidR="006E0C27" w:rsidRDefault="008A7746">
      <w:pPr>
        <w:spacing w:before="29" w:line="288" w:lineRule="auto"/>
        <w:ind w:firstLineChars="200" w:firstLine="480"/>
        <w:rPr>
          <w:color w:val="000000"/>
          <w:sz w:val="24"/>
          <w:szCs w:val="24"/>
        </w:rPr>
      </w:pPr>
      <w:r>
        <w:rPr>
          <w:color w:val="000000"/>
          <w:sz w:val="24"/>
          <w:szCs w:val="24"/>
        </w:rPr>
        <w:t>我们认为国内外政治经济的新常态需要得到产业界和资本界的清醒认识并坦然接受，放弃对数量型发展模式的复辟预期，探索质量型发展模式的具象。因此本季度本基金保持中性略低仓位，降低宏观与行业配置的思维权重，进一步加强个股的研究和管理。这是因为我们认为早期能探索出</w:t>
      </w:r>
      <w:r>
        <w:rPr>
          <w:color w:val="000000"/>
          <w:sz w:val="24"/>
          <w:szCs w:val="24"/>
        </w:rPr>
        <w:t>“</w:t>
      </w:r>
      <w:r>
        <w:rPr>
          <w:color w:val="000000"/>
          <w:sz w:val="24"/>
          <w:szCs w:val="24"/>
        </w:rPr>
        <w:t>新常态</w:t>
      </w:r>
      <w:r>
        <w:rPr>
          <w:color w:val="000000"/>
          <w:sz w:val="24"/>
          <w:szCs w:val="24"/>
        </w:rPr>
        <w:t>”</w:t>
      </w:r>
      <w:r>
        <w:rPr>
          <w:color w:val="000000"/>
          <w:sz w:val="24"/>
          <w:szCs w:val="24"/>
        </w:rPr>
        <w:t>下质量型发展模式的公司是少数，难以形成行业型的方向。当然，由于软件、互联网以及消费这三大门类相对而言具备较好的基础和模式，在其中找到我们所谓</w:t>
      </w:r>
      <w:r>
        <w:rPr>
          <w:color w:val="000000"/>
          <w:sz w:val="24"/>
          <w:szCs w:val="24"/>
        </w:rPr>
        <w:t>“</w:t>
      </w:r>
      <w:r>
        <w:rPr>
          <w:color w:val="000000"/>
          <w:sz w:val="24"/>
          <w:szCs w:val="24"/>
        </w:rPr>
        <w:t>新常态</w:t>
      </w:r>
      <w:r>
        <w:rPr>
          <w:color w:val="000000"/>
          <w:sz w:val="24"/>
          <w:szCs w:val="24"/>
        </w:rPr>
        <w:t>”</w:t>
      </w:r>
      <w:r>
        <w:rPr>
          <w:color w:val="000000"/>
          <w:sz w:val="24"/>
          <w:szCs w:val="24"/>
        </w:rPr>
        <w:t>的阿尔法的概率会大一些，因此结果上来看本基金在这个方向上的持仓较多。同时，我们也密切关注新能源的供求变化以及一些高精尖材料和设备的点状进口替代突破。</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年一季度，我们认为实体经济仍然在下行趋势的中继，或将弱于</w:t>
      </w:r>
      <w:r w:rsidRPr="00414345">
        <w:rPr>
          <w:color w:val="000000"/>
          <w:sz w:val="24"/>
          <w:szCs w:val="24"/>
        </w:rPr>
        <w:t>2018</w:t>
      </w:r>
      <w:r w:rsidRPr="00414345">
        <w:rPr>
          <w:color w:val="000000"/>
          <w:sz w:val="24"/>
          <w:szCs w:val="24"/>
        </w:rPr>
        <w:t>年，这意味着上市公司仍然在业绩增速下行趋势的中继，但这并不意味着市场的机会一定比</w:t>
      </w:r>
      <w:r w:rsidRPr="00414345">
        <w:rPr>
          <w:color w:val="000000"/>
          <w:sz w:val="24"/>
          <w:szCs w:val="24"/>
        </w:rPr>
        <w:t>2018</w:t>
      </w:r>
      <w:r w:rsidRPr="00414345">
        <w:rPr>
          <w:color w:val="000000"/>
          <w:sz w:val="24"/>
          <w:szCs w:val="24"/>
        </w:rPr>
        <w:t>年来得还要少。首先，在颇为复杂的国际环境下，我们更应当关注内部改革，财政与货币政策有边际改善，减税降费的力度在增强，但更重要的是我们能否看到行政垄断被打破，能否在运营级别的产业链环节上给予技术领先的民营公司参与机会，激发民间和外资投资热情。其次，在</w:t>
      </w:r>
      <w:r w:rsidRPr="00414345">
        <w:rPr>
          <w:color w:val="000000"/>
          <w:sz w:val="24"/>
          <w:szCs w:val="24"/>
        </w:rPr>
        <w:t>“</w:t>
      </w:r>
      <w:r w:rsidRPr="00414345">
        <w:rPr>
          <w:color w:val="000000"/>
          <w:sz w:val="24"/>
          <w:szCs w:val="24"/>
        </w:rPr>
        <w:t>新常态</w:t>
      </w:r>
      <w:r w:rsidRPr="00414345">
        <w:rPr>
          <w:color w:val="000000"/>
          <w:sz w:val="24"/>
          <w:szCs w:val="24"/>
        </w:rPr>
        <w:t>”</w:t>
      </w:r>
      <w:r w:rsidRPr="00414345">
        <w:rPr>
          <w:color w:val="000000"/>
          <w:sz w:val="24"/>
          <w:szCs w:val="24"/>
        </w:rPr>
        <w:t>已然形成一致预期，产业出清较为充分的新兴行业里面去寻找具备新的核心竞争力的公司。最后，在弱周期的行业里面寻找估值低估机会。</w:t>
      </w:r>
      <w:r w:rsidRPr="00414345">
        <w:rPr>
          <w:color w:val="000000"/>
          <w:sz w:val="24"/>
          <w:szCs w:val="24"/>
        </w:rPr>
        <w:t>2019</w:t>
      </w:r>
      <w:r w:rsidRPr="00414345">
        <w:rPr>
          <w:color w:val="000000"/>
          <w:sz w:val="24"/>
          <w:szCs w:val="24"/>
        </w:rPr>
        <w:t>年，我们更倾向于是一个精准落子获得长期回报的开始，本基金始终精选优质成长公司股票，恪守安全边际，以努力为基金持有人带来稳定回报为使命。</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E86AB2" w:rsidRDefault="00E86AB2" w:rsidP="00421CD2">
      <w:pPr>
        <w:spacing w:before="29" w:line="288" w:lineRule="auto"/>
        <w:ind w:firstLineChars="200" w:firstLine="480"/>
        <w:rPr>
          <w:color w:val="000000"/>
          <w:sz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2,485,043,392.52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2,485,043,392.52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237,000,675.50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1,507,053,119.18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35.57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7,228,135.79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4,236,325,322.99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461,512,046.53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16,152,796.33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983,151,860.43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50,145.80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80,120,124.00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182,472,690.30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75,736,034.60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685,847,694.53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2,485,043,392.52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59.39</w:t>
            </w:r>
          </w:p>
        </w:tc>
      </w:tr>
    </w:tbl>
    <w:p w:rsidR="00E86AB2" w:rsidRDefault="00E86AB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E0C27">
        <w:trPr>
          <w:jc w:val="center"/>
        </w:trPr>
        <w:tc>
          <w:tcPr>
            <w:tcW w:w="855" w:type="dxa"/>
            <w:vAlign w:val="center"/>
          </w:tcPr>
          <w:p w:rsidR="006E0C27" w:rsidRDefault="008A7746">
            <w:pPr>
              <w:jc w:val="center"/>
            </w:pPr>
            <w:r>
              <w:rPr>
                <w:color w:val="000000"/>
                <w:sz w:val="24"/>
                <w:szCs w:val="24"/>
              </w:rPr>
              <w:t>1</w:t>
            </w:r>
          </w:p>
        </w:tc>
        <w:tc>
          <w:tcPr>
            <w:tcW w:w="1334" w:type="dxa"/>
            <w:vAlign w:val="center"/>
          </w:tcPr>
          <w:p w:rsidR="006E0C27" w:rsidRDefault="008A7746">
            <w:pPr>
              <w:jc w:val="center"/>
            </w:pPr>
            <w:r>
              <w:rPr>
                <w:color w:val="000000"/>
                <w:sz w:val="24"/>
                <w:szCs w:val="24"/>
              </w:rPr>
              <w:t>300413</w:t>
            </w:r>
          </w:p>
        </w:tc>
        <w:tc>
          <w:tcPr>
            <w:tcW w:w="1777" w:type="dxa"/>
            <w:vAlign w:val="center"/>
          </w:tcPr>
          <w:p w:rsidR="006E0C27" w:rsidRDefault="008A7746">
            <w:pPr>
              <w:jc w:val="center"/>
            </w:pPr>
            <w:r>
              <w:rPr>
                <w:color w:val="000000"/>
                <w:sz w:val="24"/>
                <w:szCs w:val="24"/>
              </w:rPr>
              <w:t>芒果超媒</w:t>
            </w:r>
          </w:p>
        </w:tc>
        <w:tc>
          <w:tcPr>
            <w:tcW w:w="1334" w:type="dxa"/>
            <w:vAlign w:val="center"/>
          </w:tcPr>
          <w:p w:rsidR="006E0C27" w:rsidRDefault="008A7746">
            <w:pPr>
              <w:jc w:val="right"/>
            </w:pPr>
            <w:r>
              <w:rPr>
                <w:color w:val="000000"/>
                <w:sz w:val="24"/>
                <w:szCs w:val="24"/>
              </w:rPr>
              <w:t>10,102,649</w:t>
            </w:r>
          </w:p>
        </w:tc>
        <w:tc>
          <w:tcPr>
            <w:tcW w:w="1924" w:type="dxa"/>
            <w:vAlign w:val="center"/>
          </w:tcPr>
          <w:p w:rsidR="006E0C27" w:rsidRDefault="008A7746">
            <w:pPr>
              <w:jc w:val="right"/>
            </w:pPr>
            <w:r>
              <w:rPr>
                <w:color w:val="000000"/>
                <w:sz w:val="24"/>
                <w:szCs w:val="24"/>
              </w:rPr>
              <w:t>373,899,039.49</w:t>
            </w:r>
          </w:p>
        </w:tc>
        <w:tc>
          <w:tcPr>
            <w:tcW w:w="1644" w:type="dxa"/>
            <w:vAlign w:val="center"/>
          </w:tcPr>
          <w:p w:rsidR="006E0C27" w:rsidRDefault="008A7746">
            <w:pPr>
              <w:jc w:val="right"/>
            </w:pPr>
            <w:r>
              <w:rPr>
                <w:color w:val="000000"/>
                <w:sz w:val="24"/>
                <w:szCs w:val="24"/>
              </w:rPr>
              <w:t>8.94</w:t>
            </w:r>
          </w:p>
        </w:tc>
      </w:tr>
      <w:tr w:rsidR="006E0C27">
        <w:trPr>
          <w:jc w:val="center"/>
        </w:trPr>
        <w:tc>
          <w:tcPr>
            <w:tcW w:w="855" w:type="dxa"/>
            <w:vAlign w:val="center"/>
          </w:tcPr>
          <w:p w:rsidR="006E0C27" w:rsidRDefault="008A7746">
            <w:pPr>
              <w:jc w:val="center"/>
            </w:pPr>
            <w:r>
              <w:rPr>
                <w:color w:val="000000"/>
                <w:sz w:val="24"/>
                <w:szCs w:val="24"/>
              </w:rPr>
              <w:t>2</w:t>
            </w:r>
          </w:p>
        </w:tc>
        <w:tc>
          <w:tcPr>
            <w:tcW w:w="1334" w:type="dxa"/>
            <w:vAlign w:val="center"/>
          </w:tcPr>
          <w:p w:rsidR="006E0C27" w:rsidRDefault="008A7746">
            <w:pPr>
              <w:jc w:val="center"/>
            </w:pPr>
            <w:r>
              <w:rPr>
                <w:color w:val="000000"/>
                <w:sz w:val="24"/>
                <w:szCs w:val="24"/>
              </w:rPr>
              <w:t>000681</w:t>
            </w:r>
          </w:p>
        </w:tc>
        <w:tc>
          <w:tcPr>
            <w:tcW w:w="1777" w:type="dxa"/>
            <w:vAlign w:val="center"/>
          </w:tcPr>
          <w:p w:rsidR="006E0C27" w:rsidRDefault="008A7746">
            <w:pPr>
              <w:jc w:val="center"/>
            </w:pPr>
            <w:r>
              <w:rPr>
                <w:color w:val="000000"/>
                <w:sz w:val="24"/>
                <w:szCs w:val="24"/>
              </w:rPr>
              <w:t>视觉中国</w:t>
            </w:r>
          </w:p>
        </w:tc>
        <w:tc>
          <w:tcPr>
            <w:tcW w:w="1334" w:type="dxa"/>
            <w:vAlign w:val="center"/>
          </w:tcPr>
          <w:p w:rsidR="006E0C27" w:rsidRDefault="008A7746">
            <w:pPr>
              <w:jc w:val="right"/>
            </w:pPr>
            <w:r>
              <w:rPr>
                <w:color w:val="000000"/>
                <w:sz w:val="24"/>
                <w:szCs w:val="24"/>
              </w:rPr>
              <w:t>13,376,872</w:t>
            </w:r>
          </w:p>
        </w:tc>
        <w:tc>
          <w:tcPr>
            <w:tcW w:w="1924" w:type="dxa"/>
            <w:vAlign w:val="center"/>
          </w:tcPr>
          <w:p w:rsidR="006E0C27" w:rsidRDefault="008A7746">
            <w:pPr>
              <w:jc w:val="right"/>
            </w:pPr>
            <w:r>
              <w:rPr>
                <w:color w:val="000000"/>
                <w:sz w:val="24"/>
                <w:szCs w:val="24"/>
              </w:rPr>
              <w:t>311,948,655.04</w:t>
            </w:r>
          </w:p>
        </w:tc>
        <w:tc>
          <w:tcPr>
            <w:tcW w:w="1644" w:type="dxa"/>
            <w:vAlign w:val="center"/>
          </w:tcPr>
          <w:p w:rsidR="006E0C27" w:rsidRDefault="008A7746">
            <w:pPr>
              <w:jc w:val="right"/>
            </w:pPr>
            <w:r>
              <w:rPr>
                <w:color w:val="000000"/>
                <w:sz w:val="24"/>
                <w:szCs w:val="24"/>
              </w:rPr>
              <w:t>7.46</w:t>
            </w:r>
          </w:p>
        </w:tc>
      </w:tr>
      <w:tr w:rsidR="006E0C27">
        <w:trPr>
          <w:jc w:val="center"/>
        </w:trPr>
        <w:tc>
          <w:tcPr>
            <w:tcW w:w="855" w:type="dxa"/>
            <w:vAlign w:val="center"/>
          </w:tcPr>
          <w:p w:rsidR="006E0C27" w:rsidRDefault="008A7746">
            <w:pPr>
              <w:jc w:val="center"/>
            </w:pPr>
            <w:r>
              <w:rPr>
                <w:color w:val="000000"/>
                <w:sz w:val="24"/>
                <w:szCs w:val="24"/>
              </w:rPr>
              <w:t>3</w:t>
            </w:r>
          </w:p>
        </w:tc>
        <w:tc>
          <w:tcPr>
            <w:tcW w:w="1334" w:type="dxa"/>
            <w:vAlign w:val="center"/>
          </w:tcPr>
          <w:p w:rsidR="006E0C27" w:rsidRDefault="008A7746">
            <w:pPr>
              <w:jc w:val="center"/>
            </w:pPr>
            <w:r>
              <w:rPr>
                <w:color w:val="000000"/>
                <w:sz w:val="24"/>
                <w:szCs w:val="24"/>
              </w:rPr>
              <w:t>002230</w:t>
            </w:r>
          </w:p>
        </w:tc>
        <w:tc>
          <w:tcPr>
            <w:tcW w:w="1777" w:type="dxa"/>
            <w:vAlign w:val="center"/>
          </w:tcPr>
          <w:p w:rsidR="006E0C27" w:rsidRDefault="008A7746">
            <w:pPr>
              <w:jc w:val="center"/>
            </w:pPr>
            <w:r>
              <w:rPr>
                <w:color w:val="000000"/>
                <w:sz w:val="24"/>
                <w:szCs w:val="24"/>
              </w:rPr>
              <w:t>科大讯飞</w:t>
            </w:r>
          </w:p>
        </w:tc>
        <w:tc>
          <w:tcPr>
            <w:tcW w:w="1334" w:type="dxa"/>
            <w:vAlign w:val="center"/>
          </w:tcPr>
          <w:p w:rsidR="006E0C27" w:rsidRDefault="008A7746">
            <w:pPr>
              <w:jc w:val="right"/>
            </w:pPr>
            <w:r>
              <w:rPr>
                <w:color w:val="000000"/>
                <w:sz w:val="24"/>
                <w:szCs w:val="24"/>
              </w:rPr>
              <w:t>8,090,469</w:t>
            </w:r>
          </w:p>
        </w:tc>
        <w:tc>
          <w:tcPr>
            <w:tcW w:w="1924" w:type="dxa"/>
            <w:vAlign w:val="center"/>
          </w:tcPr>
          <w:p w:rsidR="006E0C27" w:rsidRDefault="008A7746">
            <w:pPr>
              <w:jc w:val="right"/>
            </w:pPr>
            <w:r>
              <w:rPr>
                <w:color w:val="000000"/>
                <w:sz w:val="24"/>
                <w:szCs w:val="24"/>
              </w:rPr>
              <w:t>199,349,156.16</w:t>
            </w:r>
          </w:p>
        </w:tc>
        <w:tc>
          <w:tcPr>
            <w:tcW w:w="1644" w:type="dxa"/>
            <w:vAlign w:val="center"/>
          </w:tcPr>
          <w:p w:rsidR="006E0C27" w:rsidRDefault="008A7746">
            <w:pPr>
              <w:jc w:val="right"/>
            </w:pPr>
            <w:r>
              <w:rPr>
                <w:color w:val="000000"/>
                <w:sz w:val="24"/>
                <w:szCs w:val="24"/>
              </w:rPr>
              <w:t>4.76</w:t>
            </w:r>
          </w:p>
        </w:tc>
      </w:tr>
      <w:tr w:rsidR="006E0C27">
        <w:trPr>
          <w:jc w:val="center"/>
        </w:trPr>
        <w:tc>
          <w:tcPr>
            <w:tcW w:w="855" w:type="dxa"/>
            <w:vAlign w:val="center"/>
          </w:tcPr>
          <w:p w:rsidR="006E0C27" w:rsidRDefault="008A7746">
            <w:pPr>
              <w:jc w:val="center"/>
            </w:pPr>
            <w:r>
              <w:rPr>
                <w:color w:val="000000"/>
                <w:sz w:val="24"/>
                <w:szCs w:val="24"/>
              </w:rPr>
              <w:t>4</w:t>
            </w:r>
          </w:p>
        </w:tc>
        <w:tc>
          <w:tcPr>
            <w:tcW w:w="1334" w:type="dxa"/>
            <w:vAlign w:val="center"/>
          </w:tcPr>
          <w:p w:rsidR="006E0C27" w:rsidRDefault="008A7746">
            <w:pPr>
              <w:jc w:val="center"/>
            </w:pPr>
            <w:r>
              <w:rPr>
                <w:color w:val="000000"/>
                <w:sz w:val="24"/>
                <w:szCs w:val="24"/>
              </w:rPr>
              <w:t>300188</w:t>
            </w:r>
          </w:p>
        </w:tc>
        <w:tc>
          <w:tcPr>
            <w:tcW w:w="1777" w:type="dxa"/>
            <w:vAlign w:val="center"/>
          </w:tcPr>
          <w:p w:rsidR="006E0C27" w:rsidRDefault="008A7746">
            <w:pPr>
              <w:jc w:val="center"/>
            </w:pPr>
            <w:r>
              <w:rPr>
                <w:color w:val="000000"/>
                <w:sz w:val="24"/>
                <w:szCs w:val="24"/>
              </w:rPr>
              <w:t>美亚柏科</w:t>
            </w:r>
          </w:p>
        </w:tc>
        <w:tc>
          <w:tcPr>
            <w:tcW w:w="1334" w:type="dxa"/>
            <w:vAlign w:val="center"/>
          </w:tcPr>
          <w:p w:rsidR="006E0C27" w:rsidRDefault="008A7746">
            <w:pPr>
              <w:jc w:val="right"/>
            </w:pPr>
            <w:r w:rsidRPr="008A7746">
              <w:rPr>
                <w:color w:val="000000"/>
                <w:sz w:val="24"/>
                <w:szCs w:val="24"/>
              </w:rPr>
              <w:t>16,351,730</w:t>
            </w:r>
          </w:p>
        </w:tc>
        <w:tc>
          <w:tcPr>
            <w:tcW w:w="1924" w:type="dxa"/>
            <w:vAlign w:val="center"/>
          </w:tcPr>
          <w:p w:rsidR="006E0C27" w:rsidRDefault="008A7746">
            <w:pPr>
              <w:jc w:val="right"/>
            </w:pPr>
            <w:r w:rsidRPr="008A7746">
              <w:rPr>
                <w:color w:val="000000"/>
                <w:sz w:val="24"/>
                <w:szCs w:val="24"/>
              </w:rPr>
              <w:t>212,323,224.60</w:t>
            </w:r>
          </w:p>
        </w:tc>
        <w:tc>
          <w:tcPr>
            <w:tcW w:w="1644" w:type="dxa"/>
            <w:vAlign w:val="center"/>
          </w:tcPr>
          <w:p w:rsidR="006E0C27" w:rsidRDefault="008A7746">
            <w:pPr>
              <w:jc w:val="right"/>
            </w:pPr>
            <w:r>
              <w:rPr>
                <w:color w:val="000000"/>
                <w:sz w:val="24"/>
                <w:szCs w:val="24"/>
              </w:rPr>
              <w:t>5.07</w:t>
            </w:r>
          </w:p>
        </w:tc>
      </w:tr>
      <w:tr w:rsidR="006E0C27">
        <w:trPr>
          <w:jc w:val="center"/>
        </w:trPr>
        <w:tc>
          <w:tcPr>
            <w:tcW w:w="855" w:type="dxa"/>
            <w:vAlign w:val="center"/>
          </w:tcPr>
          <w:p w:rsidR="006E0C27" w:rsidRDefault="008A7746">
            <w:pPr>
              <w:jc w:val="center"/>
            </w:pPr>
            <w:r>
              <w:rPr>
                <w:color w:val="000000"/>
                <w:sz w:val="24"/>
                <w:szCs w:val="24"/>
              </w:rPr>
              <w:t>5</w:t>
            </w:r>
          </w:p>
        </w:tc>
        <w:tc>
          <w:tcPr>
            <w:tcW w:w="1334" w:type="dxa"/>
            <w:vAlign w:val="center"/>
          </w:tcPr>
          <w:p w:rsidR="006E0C27" w:rsidRDefault="008A7746">
            <w:pPr>
              <w:jc w:val="center"/>
            </w:pPr>
            <w:r>
              <w:rPr>
                <w:color w:val="000000"/>
                <w:sz w:val="24"/>
                <w:szCs w:val="24"/>
              </w:rPr>
              <w:t>300012</w:t>
            </w:r>
          </w:p>
        </w:tc>
        <w:tc>
          <w:tcPr>
            <w:tcW w:w="1777" w:type="dxa"/>
            <w:vAlign w:val="center"/>
          </w:tcPr>
          <w:p w:rsidR="006E0C27" w:rsidRDefault="008A7746">
            <w:pPr>
              <w:jc w:val="center"/>
            </w:pPr>
            <w:r>
              <w:rPr>
                <w:color w:val="000000"/>
                <w:sz w:val="24"/>
                <w:szCs w:val="24"/>
              </w:rPr>
              <w:t>华测检测</w:t>
            </w:r>
          </w:p>
        </w:tc>
        <w:tc>
          <w:tcPr>
            <w:tcW w:w="1334" w:type="dxa"/>
            <w:vAlign w:val="center"/>
          </w:tcPr>
          <w:p w:rsidR="006E0C27" w:rsidRDefault="008A7746">
            <w:pPr>
              <w:jc w:val="right"/>
            </w:pPr>
            <w:r>
              <w:rPr>
                <w:color w:val="000000"/>
                <w:sz w:val="24"/>
                <w:szCs w:val="24"/>
              </w:rPr>
              <w:t>27,858,426</w:t>
            </w:r>
          </w:p>
        </w:tc>
        <w:tc>
          <w:tcPr>
            <w:tcW w:w="1924" w:type="dxa"/>
            <w:vAlign w:val="center"/>
          </w:tcPr>
          <w:p w:rsidR="006E0C27" w:rsidRDefault="008A7746">
            <w:pPr>
              <w:jc w:val="right"/>
            </w:pPr>
            <w:r>
              <w:rPr>
                <w:color w:val="000000"/>
                <w:sz w:val="24"/>
                <w:szCs w:val="24"/>
              </w:rPr>
              <w:t>182,472,690.30</w:t>
            </w:r>
          </w:p>
        </w:tc>
        <w:tc>
          <w:tcPr>
            <w:tcW w:w="1644" w:type="dxa"/>
            <w:vAlign w:val="center"/>
          </w:tcPr>
          <w:p w:rsidR="006E0C27" w:rsidRDefault="008A7746">
            <w:pPr>
              <w:jc w:val="right"/>
            </w:pPr>
            <w:r>
              <w:rPr>
                <w:color w:val="000000"/>
                <w:sz w:val="24"/>
                <w:szCs w:val="24"/>
              </w:rPr>
              <w:t>4.36</w:t>
            </w:r>
          </w:p>
        </w:tc>
      </w:tr>
      <w:tr w:rsidR="006E0C27">
        <w:trPr>
          <w:jc w:val="center"/>
        </w:trPr>
        <w:tc>
          <w:tcPr>
            <w:tcW w:w="855" w:type="dxa"/>
            <w:vAlign w:val="center"/>
          </w:tcPr>
          <w:p w:rsidR="006E0C27" w:rsidRDefault="008A7746">
            <w:pPr>
              <w:jc w:val="center"/>
            </w:pPr>
            <w:r>
              <w:rPr>
                <w:color w:val="000000"/>
                <w:sz w:val="24"/>
                <w:szCs w:val="24"/>
              </w:rPr>
              <w:t>6</w:t>
            </w:r>
          </w:p>
        </w:tc>
        <w:tc>
          <w:tcPr>
            <w:tcW w:w="1334" w:type="dxa"/>
            <w:vAlign w:val="center"/>
          </w:tcPr>
          <w:p w:rsidR="006E0C27" w:rsidRDefault="008A7746">
            <w:pPr>
              <w:jc w:val="center"/>
            </w:pPr>
            <w:r>
              <w:rPr>
                <w:color w:val="000000"/>
                <w:sz w:val="24"/>
                <w:szCs w:val="24"/>
              </w:rPr>
              <w:t>603039</w:t>
            </w:r>
          </w:p>
        </w:tc>
        <w:tc>
          <w:tcPr>
            <w:tcW w:w="1777" w:type="dxa"/>
            <w:vAlign w:val="center"/>
          </w:tcPr>
          <w:p w:rsidR="006E0C27" w:rsidRDefault="008A7746">
            <w:pPr>
              <w:jc w:val="center"/>
            </w:pPr>
            <w:r>
              <w:rPr>
                <w:color w:val="000000"/>
                <w:sz w:val="24"/>
                <w:szCs w:val="24"/>
              </w:rPr>
              <w:t>泛微网络</w:t>
            </w:r>
          </w:p>
        </w:tc>
        <w:tc>
          <w:tcPr>
            <w:tcW w:w="1334" w:type="dxa"/>
            <w:vAlign w:val="center"/>
          </w:tcPr>
          <w:p w:rsidR="006E0C27" w:rsidRDefault="008A7746">
            <w:pPr>
              <w:jc w:val="right"/>
            </w:pPr>
            <w:r>
              <w:rPr>
                <w:color w:val="000000"/>
                <w:sz w:val="24"/>
                <w:szCs w:val="24"/>
              </w:rPr>
              <w:t>2,206,628</w:t>
            </w:r>
          </w:p>
        </w:tc>
        <w:tc>
          <w:tcPr>
            <w:tcW w:w="1924" w:type="dxa"/>
            <w:vAlign w:val="center"/>
          </w:tcPr>
          <w:p w:rsidR="006E0C27" w:rsidRDefault="008A7746">
            <w:pPr>
              <w:jc w:val="right"/>
            </w:pPr>
            <w:r>
              <w:rPr>
                <w:color w:val="000000"/>
                <w:sz w:val="24"/>
                <w:szCs w:val="24"/>
              </w:rPr>
              <w:t>159,539,204.40</w:t>
            </w:r>
          </w:p>
        </w:tc>
        <w:tc>
          <w:tcPr>
            <w:tcW w:w="1644" w:type="dxa"/>
            <w:vAlign w:val="center"/>
          </w:tcPr>
          <w:p w:rsidR="006E0C27" w:rsidRDefault="008A7746">
            <w:pPr>
              <w:jc w:val="right"/>
            </w:pPr>
            <w:r>
              <w:rPr>
                <w:color w:val="000000"/>
                <w:sz w:val="24"/>
                <w:szCs w:val="24"/>
              </w:rPr>
              <w:t>3.81</w:t>
            </w:r>
          </w:p>
        </w:tc>
      </w:tr>
      <w:tr w:rsidR="006E0C27">
        <w:trPr>
          <w:jc w:val="center"/>
        </w:trPr>
        <w:tc>
          <w:tcPr>
            <w:tcW w:w="855" w:type="dxa"/>
            <w:vAlign w:val="center"/>
          </w:tcPr>
          <w:p w:rsidR="006E0C27" w:rsidRDefault="008A7746">
            <w:pPr>
              <w:jc w:val="center"/>
            </w:pPr>
            <w:r>
              <w:rPr>
                <w:color w:val="000000"/>
                <w:sz w:val="24"/>
                <w:szCs w:val="24"/>
              </w:rPr>
              <w:t>7</w:t>
            </w:r>
          </w:p>
        </w:tc>
        <w:tc>
          <w:tcPr>
            <w:tcW w:w="1334" w:type="dxa"/>
            <w:vAlign w:val="center"/>
          </w:tcPr>
          <w:p w:rsidR="006E0C27" w:rsidRDefault="008A7746">
            <w:pPr>
              <w:jc w:val="center"/>
            </w:pPr>
            <w:r>
              <w:rPr>
                <w:color w:val="000000"/>
                <w:sz w:val="24"/>
                <w:szCs w:val="24"/>
              </w:rPr>
              <w:t>002410</w:t>
            </w:r>
          </w:p>
        </w:tc>
        <w:tc>
          <w:tcPr>
            <w:tcW w:w="1777" w:type="dxa"/>
            <w:vAlign w:val="center"/>
          </w:tcPr>
          <w:p w:rsidR="006E0C27" w:rsidRDefault="008A7746">
            <w:pPr>
              <w:jc w:val="center"/>
            </w:pPr>
            <w:r>
              <w:rPr>
                <w:color w:val="000000"/>
                <w:sz w:val="24"/>
                <w:szCs w:val="24"/>
              </w:rPr>
              <w:t>广联达</w:t>
            </w:r>
          </w:p>
        </w:tc>
        <w:tc>
          <w:tcPr>
            <w:tcW w:w="1334" w:type="dxa"/>
            <w:vAlign w:val="center"/>
          </w:tcPr>
          <w:p w:rsidR="006E0C27" w:rsidRDefault="008A7746">
            <w:pPr>
              <w:jc w:val="right"/>
            </w:pPr>
            <w:r w:rsidRPr="008A7746">
              <w:rPr>
                <w:color w:val="000000"/>
                <w:sz w:val="24"/>
                <w:szCs w:val="24"/>
              </w:rPr>
              <w:t>7,591,695</w:t>
            </w:r>
          </w:p>
        </w:tc>
        <w:tc>
          <w:tcPr>
            <w:tcW w:w="1924" w:type="dxa"/>
            <w:vAlign w:val="center"/>
          </w:tcPr>
          <w:p w:rsidR="006E0C27" w:rsidRDefault="008A7746">
            <w:pPr>
              <w:jc w:val="right"/>
            </w:pPr>
            <w:r w:rsidRPr="008A7746">
              <w:rPr>
                <w:color w:val="000000"/>
                <w:sz w:val="24"/>
                <w:szCs w:val="24"/>
              </w:rPr>
              <w:t>156,960,172.95</w:t>
            </w:r>
          </w:p>
        </w:tc>
        <w:tc>
          <w:tcPr>
            <w:tcW w:w="1644" w:type="dxa"/>
            <w:vAlign w:val="center"/>
          </w:tcPr>
          <w:p w:rsidR="006E0C27" w:rsidRDefault="008A7746" w:rsidP="008A7746">
            <w:pPr>
              <w:jc w:val="right"/>
            </w:pPr>
            <w:r>
              <w:rPr>
                <w:color w:val="000000"/>
                <w:sz w:val="24"/>
                <w:szCs w:val="24"/>
              </w:rPr>
              <w:t>3.75</w:t>
            </w:r>
          </w:p>
        </w:tc>
      </w:tr>
      <w:tr w:rsidR="006E0C27">
        <w:trPr>
          <w:jc w:val="center"/>
        </w:trPr>
        <w:tc>
          <w:tcPr>
            <w:tcW w:w="855" w:type="dxa"/>
            <w:vAlign w:val="center"/>
          </w:tcPr>
          <w:p w:rsidR="006E0C27" w:rsidRDefault="008A7746">
            <w:pPr>
              <w:jc w:val="center"/>
            </w:pPr>
            <w:r>
              <w:rPr>
                <w:color w:val="000000"/>
                <w:sz w:val="24"/>
                <w:szCs w:val="24"/>
              </w:rPr>
              <w:t>8</w:t>
            </w:r>
          </w:p>
        </w:tc>
        <w:tc>
          <w:tcPr>
            <w:tcW w:w="1334" w:type="dxa"/>
            <w:vAlign w:val="center"/>
          </w:tcPr>
          <w:p w:rsidR="006E0C27" w:rsidRDefault="008A7746">
            <w:pPr>
              <w:jc w:val="center"/>
            </w:pPr>
            <w:r>
              <w:rPr>
                <w:color w:val="000000"/>
                <w:sz w:val="24"/>
                <w:szCs w:val="24"/>
              </w:rPr>
              <w:t>601100</w:t>
            </w:r>
          </w:p>
        </w:tc>
        <w:tc>
          <w:tcPr>
            <w:tcW w:w="1777" w:type="dxa"/>
            <w:vAlign w:val="center"/>
          </w:tcPr>
          <w:p w:rsidR="006E0C27" w:rsidRDefault="008A7746">
            <w:pPr>
              <w:jc w:val="center"/>
            </w:pPr>
            <w:r>
              <w:rPr>
                <w:color w:val="000000"/>
                <w:sz w:val="24"/>
                <w:szCs w:val="24"/>
              </w:rPr>
              <w:t>恒立液压</w:t>
            </w:r>
          </w:p>
        </w:tc>
        <w:tc>
          <w:tcPr>
            <w:tcW w:w="1334" w:type="dxa"/>
            <w:vAlign w:val="center"/>
          </w:tcPr>
          <w:p w:rsidR="006E0C27" w:rsidRDefault="008A7746">
            <w:pPr>
              <w:jc w:val="right"/>
            </w:pPr>
            <w:r>
              <w:rPr>
                <w:color w:val="000000"/>
                <w:sz w:val="24"/>
                <w:szCs w:val="24"/>
              </w:rPr>
              <w:t>6,628,914</w:t>
            </w:r>
          </w:p>
        </w:tc>
        <w:tc>
          <w:tcPr>
            <w:tcW w:w="1924" w:type="dxa"/>
            <w:vAlign w:val="center"/>
          </w:tcPr>
          <w:p w:rsidR="006E0C27" w:rsidRDefault="008A7746">
            <w:pPr>
              <w:jc w:val="right"/>
            </w:pPr>
            <w:r>
              <w:rPr>
                <w:color w:val="000000"/>
                <w:sz w:val="24"/>
                <w:szCs w:val="24"/>
              </w:rPr>
              <w:t>131,318,786.34</w:t>
            </w:r>
          </w:p>
        </w:tc>
        <w:tc>
          <w:tcPr>
            <w:tcW w:w="1644" w:type="dxa"/>
            <w:vAlign w:val="center"/>
          </w:tcPr>
          <w:p w:rsidR="006E0C27" w:rsidRDefault="008A7746">
            <w:pPr>
              <w:jc w:val="right"/>
            </w:pPr>
            <w:r>
              <w:rPr>
                <w:color w:val="000000"/>
                <w:sz w:val="24"/>
                <w:szCs w:val="24"/>
              </w:rPr>
              <w:t>3.14</w:t>
            </w:r>
          </w:p>
        </w:tc>
      </w:tr>
      <w:tr w:rsidR="006E0C27">
        <w:trPr>
          <w:jc w:val="center"/>
        </w:trPr>
        <w:tc>
          <w:tcPr>
            <w:tcW w:w="855" w:type="dxa"/>
            <w:vAlign w:val="center"/>
          </w:tcPr>
          <w:p w:rsidR="006E0C27" w:rsidRDefault="008A7746">
            <w:pPr>
              <w:jc w:val="center"/>
            </w:pPr>
            <w:r>
              <w:rPr>
                <w:color w:val="000000"/>
                <w:sz w:val="24"/>
                <w:szCs w:val="24"/>
              </w:rPr>
              <w:lastRenderedPageBreak/>
              <w:t>9</w:t>
            </w:r>
          </w:p>
        </w:tc>
        <w:tc>
          <w:tcPr>
            <w:tcW w:w="1334" w:type="dxa"/>
            <w:vAlign w:val="center"/>
          </w:tcPr>
          <w:p w:rsidR="006E0C27" w:rsidRDefault="008A7746">
            <w:pPr>
              <w:jc w:val="center"/>
            </w:pPr>
            <w:r>
              <w:rPr>
                <w:color w:val="000000"/>
                <w:sz w:val="24"/>
                <w:szCs w:val="24"/>
              </w:rPr>
              <w:t>002690</w:t>
            </w:r>
          </w:p>
        </w:tc>
        <w:tc>
          <w:tcPr>
            <w:tcW w:w="1777" w:type="dxa"/>
            <w:vAlign w:val="center"/>
          </w:tcPr>
          <w:p w:rsidR="006E0C27" w:rsidRDefault="008A7746">
            <w:pPr>
              <w:jc w:val="center"/>
            </w:pPr>
            <w:r>
              <w:rPr>
                <w:color w:val="000000"/>
                <w:sz w:val="24"/>
                <w:szCs w:val="24"/>
              </w:rPr>
              <w:t>美亚光电</w:t>
            </w:r>
          </w:p>
        </w:tc>
        <w:tc>
          <w:tcPr>
            <w:tcW w:w="1334" w:type="dxa"/>
            <w:vAlign w:val="center"/>
          </w:tcPr>
          <w:p w:rsidR="006E0C27" w:rsidRDefault="008A7746">
            <w:pPr>
              <w:jc w:val="right"/>
            </w:pPr>
            <w:r>
              <w:rPr>
                <w:color w:val="000000"/>
                <w:sz w:val="24"/>
                <w:szCs w:val="24"/>
              </w:rPr>
              <w:t>4,464,011</w:t>
            </w:r>
          </w:p>
        </w:tc>
        <w:tc>
          <w:tcPr>
            <w:tcW w:w="1924" w:type="dxa"/>
            <w:vAlign w:val="center"/>
          </w:tcPr>
          <w:p w:rsidR="006E0C27" w:rsidRDefault="008A7746">
            <w:pPr>
              <w:jc w:val="right"/>
            </w:pPr>
            <w:r>
              <w:rPr>
                <w:color w:val="000000"/>
                <w:sz w:val="24"/>
                <w:szCs w:val="24"/>
              </w:rPr>
              <w:t>94,994,154.08</w:t>
            </w:r>
          </w:p>
        </w:tc>
        <w:tc>
          <w:tcPr>
            <w:tcW w:w="1644" w:type="dxa"/>
            <w:vAlign w:val="center"/>
          </w:tcPr>
          <w:p w:rsidR="006E0C27" w:rsidRDefault="008A7746">
            <w:pPr>
              <w:jc w:val="right"/>
            </w:pPr>
            <w:r>
              <w:rPr>
                <w:color w:val="000000"/>
                <w:sz w:val="24"/>
                <w:szCs w:val="24"/>
              </w:rPr>
              <w:t>2.27</w:t>
            </w:r>
          </w:p>
        </w:tc>
      </w:tr>
      <w:tr w:rsidR="006E0C27">
        <w:trPr>
          <w:jc w:val="center"/>
        </w:trPr>
        <w:tc>
          <w:tcPr>
            <w:tcW w:w="855" w:type="dxa"/>
            <w:vAlign w:val="center"/>
          </w:tcPr>
          <w:p w:rsidR="006E0C27" w:rsidRDefault="008A7746">
            <w:pPr>
              <w:jc w:val="center"/>
            </w:pPr>
            <w:r>
              <w:rPr>
                <w:color w:val="000000"/>
                <w:sz w:val="24"/>
                <w:szCs w:val="24"/>
              </w:rPr>
              <w:t>10</w:t>
            </w:r>
          </w:p>
        </w:tc>
        <w:tc>
          <w:tcPr>
            <w:tcW w:w="1334" w:type="dxa"/>
            <w:vAlign w:val="center"/>
          </w:tcPr>
          <w:p w:rsidR="006E0C27" w:rsidRDefault="008A7746">
            <w:pPr>
              <w:jc w:val="center"/>
            </w:pPr>
            <w:r>
              <w:rPr>
                <w:color w:val="000000"/>
                <w:sz w:val="24"/>
                <w:szCs w:val="24"/>
              </w:rPr>
              <w:t>601012</w:t>
            </w:r>
          </w:p>
        </w:tc>
        <w:tc>
          <w:tcPr>
            <w:tcW w:w="1777" w:type="dxa"/>
            <w:vAlign w:val="center"/>
          </w:tcPr>
          <w:p w:rsidR="006E0C27" w:rsidRDefault="008A7746">
            <w:pPr>
              <w:jc w:val="center"/>
            </w:pPr>
            <w:r>
              <w:rPr>
                <w:color w:val="000000"/>
                <w:sz w:val="24"/>
                <w:szCs w:val="24"/>
              </w:rPr>
              <w:t>隆基股份</w:t>
            </w:r>
          </w:p>
        </w:tc>
        <w:tc>
          <w:tcPr>
            <w:tcW w:w="1334" w:type="dxa"/>
            <w:vAlign w:val="center"/>
          </w:tcPr>
          <w:p w:rsidR="006E0C27" w:rsidRDefault="008A7746">
            <w:pPr>
              <w:jc w:val="right"/>
            </w:pPr>
            <w:r>
              <w:rPr>
                <w:color w:val="000000"/>
                <w:sz w:val="24"/>
                <w:szCs w:val="24"/>
              </w:rPr>
              <w:t>4,748,949</w:t>
            </w:r>
          </w:p>
        </w:tc>
        <w:tc>
          <w:tcPr>
            <w:tcW w:w="1924" w:type="dxa"/>
            <w:vAlign w:val="center"/>
          </w:tcPr>
          <w:p w:rsidR="006E0C27" w:rsidRDefault="008A7746">
            <w:pPr>
              <w:jc w:val="right"/>
            </w:pPr>
            <w:r>
              <w:rPr>
                <w:color w:val="000000"/>
                <w:sz w:val="24"/>
                <w:szCs w:val="24"/>
              </w:rPr>
              <w:t>82,821,670.56</w:t>
            </w:r>
          </w:p>
        </w:tc>
        <w:tc>
          <w:tcPr>
            <w:tcW w:w="1644" w:type="dxa"/>
            <w:vAlign w:val="center"/>
          </w:tcPr>
          <w:p w:rsidR="006E0C27" w:rsidRDefault="008A7746">
            <w:pPr>
              <w:jc w:val="right"/>
            </w:pPr>
            <w:r>
              <w:rPr>
                <w:color w:val="000000"/>
                <w:sz w:val="24"/>
                <w:szCs w:val="24"/>
              </w:rPr>
              <w:t>1.98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3,521,612.79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531,341.39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3,175,181.61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7,228,135.79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E0C27">
        <w:trPr>
          <w:jc w:val="center"/>
        </w:trPr>
        <w:tc>
          <w:tcPr>
            <w:tcW w:w="1129" w:type="dxa"/>
            <w:vAlign w:val="center"/>
          </w:tcPr>
          <w:p w:rsidR="006E0C27" w:rsidRDefault="008A7746">
            <w:pPr>
              <w:jc w:val="center"/>
            </w:pPr>
            <w:r>
              <w:rPr>
                <w:color w:val="000000"/>
                <w:sz w:val="24"/>
                <w:szCs w:val="24"/>
              </w:rPr>
              <w:t>1</w:t>
            </w:r>
          </w:p>
        </w:tc>
        <w:tc>
          <w:tcPr>
            <w:tcW w:w="1356" w:type="dxa"/>
            <w:vAlign w:val="center"/>
          </w:tcPr>
          <w:p w:rsidR="006E0C27" w:rsidRDefault="008A7746">
            <w:pPr>
              <w:jc w:val="center"/>
            </w:pPr>
            <w:r>
              <w:rPr>
                <w:color w:val="000000"/>
                <w:sz w:val="24"/>
                <w:szCs w:val="24"/>
              </w:rPr>
              <w:t>002410</w:t>
            </w:r>
          </w:p>
        </w:tc>
        <w:tc>
          <w:tcPr>
            <w:tcW w:w="1355" w:type="dxa"/>
            <w:vAlign w:val="center"/>
          </w:tcPr>
          <w:p w:rsidR="006E0C27" w:rsidRDefault="008A7746">
            <w:pPr>
              <w:jc w:val="center"/>
            </w:pPr>
            <w:r>
              <w:rPr>
                <w:color w:val="000000"/>
                <w:sz w:val="24"/>
                <w:szCs w:val="24"/>
              </w:rPr>
              <w:t>广联达</w:t>
            </w:r>
          </w:p>
        </w:tc>
        <w:tc>
          <w:tcPr>
            <w:tcW w:w="1880" w:type="dxa"/>
            <w:vAlign w:val="center"/>
          </w:tcPr>
          <w:p w:rsidR="006E0C27" w:rsidRDefault="008A7746">
            <w:pPr>
              <w:jc w:val="right"/>
            </w:pPr>
            <w:r>
              <w:rPr>
                <w:color w:val="000000"/>
                <w:sz w:val="24"/>
                <w:szCs w:val="24"/>
              </w:rPr>
              <w:t>21,868,000.00</w:t>
            </w:r>
          </w:p>
        </w:tc>
        <w:tc>
          <w:tcPr>
            <w:tcW w:w="1724" w:type="dxa"/>
            <w:vAlign w:val="center"/>
          </w:tcPr>
          <w:p w:rsidR="006E0C27" w:rsidRDefault="008A7746">
            <w:pPr>
              <w:jc w:val="right"/>
            </w:pPr>
            <w:r>
              <w:rPr>
                <w:color w:val="000000"/>
                <w:sz w:val="24"/>
                <w:szCs w:val="24"/>
              </w:rPr>
              <w:t>0.52</w:t>
            </w:r>
          </w:p>
        </w:tc>
        <w:tc>
          <w:tcPr>
            <w:tcW w:w="1424" w:type="dxa"/>
            <w:vAlign w:val="center"/>
          </w:tcPr>
          <w:p w:rsidR="006E0C27" w:rsidRDefault="008A7746">
            <w:pPr>
              <w:jc w:val="right"/>
            </w:pPr>
            <w:r>
              <w:rPr>
                <w:color w:val="000000"/>
                <w:sz w:val="24"/>
                <w:szCs w:val="24"/>
              </w:rPr>
              <w:t>限售股</w:t>
            </w:r>
          </w:p>
        </w:tc>
      </w:tr>
      <w:tr w:rsidR="006E0C27">
        <w:trPr>
          <w:jc w:val="center"/>
        </w:trPr>
        <w:tc>
          <w:tcPr>
            <w:tcW w:w="1129" w:type="dxa"/>
            <w:vAlign w:val="center"/>
          </w:tcPr>
          <w:p w:rsidR="006E0C27" w:rsidRDefault="008A7746">
            <w:pPr>
              <w:jc w:val="center"/>
            </w:pPr>
            <w:r>
              <w:rPr>
                <w:color w:val="000000"/>
                <w:sz w:val="24"/>
                <w:szCs w:val="24"/>
              </w:rPr>
              <w:t>2</w:t>
            </w:r>
          </w:p>
        </w:tc>
        <w:tc>
          <w:tcPr>
            <w:tcW w:w="1356" w:type="dxa"/>
            <w:vAlign w:val="center"/>
          </w:tcPr>
          <w:p w:rsidR="006E0C27" w:rsidRDefault="008A7746">
            <w:pPr>
              <w:jc w:val="center"/>
            </w:pPr>
            <w:r>
              <w:rPr>
                <w:color w:val="000000"/>
                <w:sz w:val="24"/>
                <w:szCs w:val="24"/>
              </w:rPr>
              <w:t>300188</w:t>
            </w:r>
          </w:p>
        </w:tc>
        <w:tc>
          <w:tcPr>
            <w:tcW w:w="1355" w:type="dxa"/>
            <w:vAlign w:val="center"/>
          </w:tcPr>
          <w:p w:rsidR="006E0C27" w:rsidRDefault="008A7746">
            <w:pPr>
              <w:jc w:val="center"/>
            </w:pPr>
            <w:r>
              <w:rPr>
                <w:color w:val="000000"/>
                <w:sz w:val="24"/>
                <w:szCs w:val="24"/>
              </w:rPr>
              <w:t>美亚柏科</w:t>
            </w:r>
          </w:p>
        </w:tc>
        <w:tc>
          <w:tcPr>
            <w:tcW w:w="1880" w:type="dxa"/>
            <w:vAlign w:val="center"/>
          </w:tcPr>
          <w:p w:rsidR="006E0C27" w:rsidRDefault="008A7746">
            <w:pPr>
              <w:jc w:val="right"/>
            </w:pPr>
            <w:r>
              <w:rPr>
                <w:color w:val="000000"/>
                <w:sz w:val="24"/>
                <w:szCs w:val="24"/>
              </w:rPr>
              <w:t>14,136,300.00</w:t>
            </w:r>
          </w:p>
        </w:tc>
        <w:tc>
          <w:tcPr>
            <w:tcW w:w="1724" w:type="dxa"/>
            <w:vAlign w:val="center"/>
          </w:tcPr>
          <w:p w:rsidR="006E0C27" w:rsidRDefault="008A7746">
            <w:pPr>
              <w:jc w:val="right"/>
            </w:pPr>
            <w:r>
              <w:rPr>
                <w:color w:val="000000"/>
                <w:sz w:val="24"/>
                <w:szCs w:val="24"/>
              </w:rPr>
              <w:t>0.34</w:t>
            </w:r>
          </w:p>
        </w:tc>
        <w:tc>
          <w:tcPr>
            <w:tcW w:w="1424" w:type="dxa"/>
            <w:vAlign w:val="center"/>
          </w:tcPr>
          <w:p w:rsidR="006E0C27" w:rsidRDefault="008A7746">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3,399,790,279.79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228,733,763.91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340,829,846.75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3,287,694,196.95</w:t>
            </w:r>
          </w:p>
        </w:tc>
      </w:tr>
    </w:tbl>
    <w:p w:rsidR="006E0C27" w:rsidRDefault="008A774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E86AB2">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E0C27" w:rsidRDefault="008A774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E0C27" w:rsidRDefault="008A774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E0C27" w:rsidRDefault="008A774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2B" w:rsidRDefault="00AD772B" w:rsidP="00876D65">
      <w:r>
        <w:separator/>
      </w:r>
    </w:p>
  </w:endnote>
  <w:endnote w:type="continuationSeparator" w:id="0">
    <w:p w:rsidR="00AD772B" w:rsidRDefault="00AD772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5681D">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5681D">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2B" w:rsidRDefault="00AD772B" w:rsidP="00876D65">
      <w:r>
        <w:separator/>
      </w:r>
    </w:p>
  </w:footnote>
  <w:footnote w:type="continuationSeparator" w:id="0">
    <w:p w:rsidR="00AD772B" w:rsidRDefault="00AD772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交银施罗德新生活力灵活配置混合型证券投资基金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5681D"/>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17B1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0C27"/>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A7746"/>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D772B"/>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86AB2"/>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92DE1-2A51-4F08-A430-072D7B34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09BD-6AD9-4364-AFB8-3657C0C2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582</cp:revision>
  <dcterms:created xsi:type="dcterms:W3CDTF">2012-10-16T06:07:00Z</dcterms:created>
  <dcterms:modified xsi:type="dcterms:W3CDTF">2019-01-16T09:28:00Z</dcterms:modified>
</cp:coreProperties>
</file>