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交银施罗德货币市场证券投资基金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519588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2006年1月20日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1,301,869,672.59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六个月银行定期存款利率(税后)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本基金是具有较低风险、中低收益、流动性强的证券投资基金品种。</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交银货币B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519588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519589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344,115,922.75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957,753,749.84</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交银货币B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2,028,575.08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8,590,793.11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2,028,575.08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8,590,793.11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344,115,922.75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957,753,749.84</w:t>
            </w:r>
          </w:p>
        </w:tc>
      </w:tr>
    </w:tbl>
    <w:p>
      <w:pPr>
        <w:autoSpaceDE w:val="0"/>
        <w:autoSpaceDN w:val="0"/>
        <w:adjustRightInd w:val="0"/>
        <w:spacing w:before="29" w:line="288" w:lineRule="auto"/>
        <w:jc w:val="left"/>
        <w:rPr>
          <w:color w:val="000000"/>
          <w:sz w:val="24"/>
        </w:rPr>
      </w:pPr>
      <w:r>
        <w:rPr>
          <w:color w:val="000000"/>
          <w:sz w:val="24"/>
        </w:rPr>
        <w:t>注：1、自2007年6月22日起，本基金实行销售服务费分级收费方式，分设两级基金份额：A级基金份额和B级基金份额。A级基金份额与B级基金份额的管理费、托管费相同，A级基金份额按照0.25%的年费率计提销售服务费，B级基金份额按照0.01%的年费率计提销售服务费。在计算主要财务指标时，A级基金份额与分级前基金连续计算，B级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0.5341%</w:t>
            </w:r>
          </w:p>
        </w:tc>
        <w:tc>
          <w:tcPr>
            <w:vAlign w:val="center"/>
          </w:tcPr>
          <w:p>
            <w:pPr>
              <w:jc w:val="center"/>
            </w:pPr>
            <w:r>
              <w:rPr>
                <w:rFonts w:ascii="Times New Roman" w:hAnsi="Times New Roman"/>
                <w:color w:val="000000"/>
              </w:rPr>
              <w:t>0.0011%</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0.2064%</w:t>
            </w:r>
          </w:p>
        </w:tc>
        <w:tc>
          <w:tcPr>
            <w:vAlign w:val="center"/>
          </w:tcPr>
          <w:p>
            <w:pPr>
              <w:jc w:val="center"/>
            </w:pPr>
            <w:r>
              <w:rPr>
                <w:rFonts w:ascii="Times New Roman" w:hAnsi="Times New Roman"/>
                <w:color w:val="000000"/>
              </w:rPr>
              <w:t>0.0011%</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注：本基金收益分配按月结转份额。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交银货币B</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0.5949%</w:t>
            </w:r>
          </w:p>
        </w:tc>
        <w:tc>
          <w:tcPr>
            <w:vAlign w:val="center"/>
          </w:tcPr>
          <w:p>
            <w:pPr>
              <w:jc w:val="center"/>
            </w:pPr>
            <w:r>
              <w:rPr>
                <w:rFonts w:ascii="Times New Roman" w:hAnsi="Times New Roman"/>
                <w:color w:val="000000"/>
              </w:rPr>
              <w:t>0.0011%</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0.2672%</w:t>
            </w:r>
          </w:p>
        </w:tc>
        <w:tc>
          <w:tcPr>
            <w:vAlign w:val="center"/>
          </w:tcPr>
          <w:p>
            <w:pPr>
              <w:jc w:val="center"/>
            </w:pPr>
            <w:r>
              <w:rPr>
                <w:rFonts w:ascii="Times New Roman" w:hAnsi="Times New Roman"/>
                <w:color w:val="000000"/>
              </w:rPr>
              <w:t>0.0011%</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注：本基金收益分配按月结转份额。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交银施罗德货币市场证券投资基金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2006年1月20日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注：图示日期为2006年1月20日至2018年12月31日。本基金建仓期为自基金合同生效日起的6个月。截至建仓期结束，本基金各项资产配置比例符合基金合同及招募说明书有关投资比例的约定。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交银货币B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注：图示日期为2007年6月22日至2018年12月31日。本基金建仓期为自基金合同生效日起的6个月。截至建仓期结束，本基金各项资产配置比例符合基金合同及招募说明书有关投资比例的约定。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在市场宽松预期下维持十二月的加息操作，同时顺应市场对2019年的前瞻性指引给出较为宽松的表态。本报告期内，十年期国债收益率从3.61%水平下行至3.22%。国内货币政策方面，央行对流动性定调为合理充裕，短端利率维持低位，银行间七天质押式回购利率除年底前最后一周因时点性原因有所波动外，基本维持在3.00%以下水平。</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存单与回购等，组合整体流动性良好。在2018年年末资产收益有一定幅度的上行，我们视组合流动性情况适当拉长久期，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相对紧张的时点可能出现在2019年一月中旬和二月初。此外，需要注意的是在银行流动性指标监管体系下，银行和非银的分层仍将延续，正式跨年前非银的短期资金面或略有紧张。</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429,050,640.58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32.86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429,050,640.58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32.86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518,987,418.49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39.75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353,901,128.30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27.11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3,669,828.66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1,305,609,016.03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2.29</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42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45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10</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44.62</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6.13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49.18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0.08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100.01</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19,967,318.41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61,047,866.69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4.69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61,047,866.69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4.69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348,035,455.48</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26.73</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429,050,640.58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32.96</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111821358</w:t>
            </w:r>
          </w:p>
        </w:tc>
        <w:tc>
          <w:tcPr>
            <w:vAlign w:val="center"/>
          </w:tcPr>
          <w:p>
            <w:pPr>
              <w:jc w:val="center"/>
            </w:pPr>
            <w:r>
              <w:rPr>
                <w:color w:val="000000"/>
                <w:sz w:val="24"/>
              </w:rPr>
              <w:t>18渤海银行CD358</w:t>
            </w:r>
          </w:p>
        </w:tc>
        <w:tc>
          <w:tcPr>
            <w:vAlign w:val="center"/>
          </w:tcPr>
          <w:p>
            <w:pPr>
              <w:jc w:val="right"/>
            </w:pPr>
            <w:r>
              <w:rPr>
                <w:color w:val="000000"/>
                <w:sz w:val="24"/>
              </w:rPr>
              <w:t>500,000</w:t>
            </w:r>
          </w:p>
        </w:tc>
        <w:tc>
          <w:tcPr>
            <w:vAlign w:val="center"/>
          </w:tcPr>
          <w:p>
            <w:pPr>
              <w:jc w:val="right"/>
            </w:pPr>
            <w:r>
              <w:rPr>
                <w:color w:val="000000"/>
                <w:sz w:val="24"/>
              </w:rPr>
              <w:t>49,743,499.92</w:t>
            </w:r>
          </w:p>
        </w:tc>
        <w:tc>
          <w:tcPr>
            <w:vAlign w:val="center"/>
          </w:tcPr>
          <w:p>
            <w:pPr>
              <w:jc w:val="right"/>
            </w:pPr>
            <w:r>
              <w:rPr>
                <w:color w:val="000000"/>
                <w:sz w:val="24"/>
              </w:rPr>
              <w:t>3.82</w:t>
            </w:r>
          </w:p>
        </w:tc>
      </w:tr>
      <w:tr>
        <w:tc>
          <w:tcPr>
            <w:vAlign w:val="center"/>
          </w:tcPr>
          <w:p>
            <w:pPr>
              <w:jc w:val="center"/>
            </w:pPr>
            <w:r>
              <w:rPr>
                <w:color w:val="000000"/>
                <w:sz w:val="24"/>
              </w:rPr>
              <w:t>2</w:t>
            </w:r>
          </w:p>
        </w:tc>
        <w:tc>
          <w:tcPr>
            <w:vAlign w:val="center"/>
          </w:tcPr>
          <w:p>
            <w:pPr>
              <w:jc w:val="center"/>
            </w:pPr>
            <w:r>
              <w:rPr>
                <w:color w:val="000000"/>
                <w:sz w:val="24"/>
              </w:rPr>
              <w:t>111816367</w:t>
            </w:r>
          </w:p>
        </w:tc>
        <w:tc>
          <w:tcPr>
            <w:vAlign w:val="center"/>
          </w:tcPr>
          <w:p>
            <w:pPr>
              <w:jc w:val="center"/>
            </w:pPr>
            <w:r>
              <w:rPr>
                <w:color w:val="000000"/>
                <w:sz w:val="24"/>
              </w:rPr>
              <w:t>18上海银行CD367</w:t>
            </w:r>
          </w:p>
        </w:tc>
        <w:tc>
          <w:tcPr>
            <w:vAlign w:val="center"/>
          </w:tcPr>
          <w:p>
            <w:pPr>
              <w:jc w:val="right"/>
            </w:pPr>
            <w:r>
              <w:rPr>
                <w:color w:val="000000"/>
                <w:sz w:val="24"/>
              </w:rPr>
              <w:t>500,000</w:t>
            </w:r>
          </w:p>
        </w:tc>
        <w:tc>
          <w:tcPr>
            <w:vAlign w:val="center"/>
          </w:tcPr>
          <w:p>
            <w:pPr>
              <w:jc w:val="right"/>
            </w:pPr>
            <w:r>
              <w:rPr>
                <w:color w:val="000000"/>
                <w:sz w:val="24"/>
              </w:rPr>
              <w:t>49,725,662.11</w:t>
            </w:r>
          </w:p>
        </w:tc>
        <w:tc>
          <w:tcPr>
            <w:vAlign w:val="center"/>
          </w:tcPr>
          <w:p>
            <w:pPr>
              <w:jc w:val="right"/>
            </w:pPr>
            <w:r>
              <w:rPr>
                <w:color w:val="000000"/>
                <w:sz w:val="24"/>
              </w:rPr>
              <w:t>3.82</w:t>
            </w:r>
          </w:p>
        </w:tc>
      </w:tr>
      <w:tr>
        <w:tc>
          <w:tcPr>
            <w:vAlign w:val="center"/>
          </w:tcPr>
          <w:p>
            <w:pPr>
              <w:jc w:val="center"/>
            </w:pPr>
            <w:r>
              <w:rPr>
                <w:color w:val="000000"/>
                <w:sz w:val="24"/>
              </w:rPr>
              <w:t>3</w:t>
            </w:r>
          </w:p>
        </w:tc>
        <w:tc>
          <w:tcPr>
            <w:vAlign w:val="center"/>
          </w:tcPr>
          <w:p>
            <w:pPr>
              <w:jc w:val="center"/>
            </w:pPr>
            <w:r>
              <w:rPr>
                <w:color w:val="000000"/>
                <w:sz w:val="24"/>
              </w:rPr>
              <w:t>111821370</w:t>
            </w:r>
          </w:p>
        </w:tc>
        <w:tc>
          <w:tcPr>
            <w:vAlign w:val="center"/>
          </w:tcPr>
          <w:p>
            <w:pPr>
              <w:jc w:val="center"/>
            </w:pPr>
            <w:r>
              <w:rPr>
                <w:color w:val="000000"/>
                <w:sz w:val="24"/>
              </w:rPr>
              <w:t>18渤海银行CD370</w:t>
            </w:r>
          </w:p>
        </w:tc>
        <w:tc>
          <w:tcPr>
            <w:vAlign w:val="center"/>
          </w:tcPr>
          <w:p>
            <w:pPr>
              <w:jc w:val="right"/>
            </w:pPr>
            <w:r>
              <w:rPr>
                <w:color w:val="000000"/>
                <w:sz w:val="24"/>
              </w:rPr>
              <w:t>500,000</w:t>
            </w:r>
          </w:p>
        </w:tc>
        <w:tc>
          <w:tcPr>
            <w:vAlign w:val="center"/>
          </w:tcPr>
          <w:p>
            <w:pPr>
              <w:jc w:val="right"/>
            </w:pPr>
            <w:r>
              <w:rPr>
                <w:color w:val="000000"/>
                <w:sz w:val="24"/>
              </w:rPr>
              <w:t>49,714,406.04</w:t>
            </w:r>
          </w:p>
        </w:tc>
        <w:tc>
          <w:tcPr>
            <w:vAlign w:val="center"/>
          </w:tcPr>
          <w:p>
            <w:pPr>
              <w:jc w:val="right"/>
            </w:pPr>
            <w:r>
              <w:rPr>
                <w:color w:val="000000"/>
                <w:sz w:val="24"/>
              </w:rPr>
              <w:t>3.82</w:t>
            </w:r>
          </w:p>
        </w:tc>
      </w:tr>
      <w:tr>
        <w:tc>
          <w:tcPr>
            <w:vAlign w:val="center"/>
          </w:tcPr>
          <w:p>
            <w:pPr>
              <w:jc w:val="center"/>
            </w:pPr>
            <w:r>
              <w:rPr>
                <w:color w:val="000000"/>
                <w:sz w:val="24"/>
              </w:rPr>
              <w:t>4</w:t>
            </w:r>
          </w:p>
        </w:tc>
        <w:tc>
          <w:tcPr>
            <w:vAlign w:val="center"/>
          </w:tcPr>
          <w:p>
            <w:pPr>
              <w:jc w:val="center"/>
            </w:pPr>
            <w:r>
              <w:rPr>
                <w:color w:val="000000"/>
                <w:sz w:val="24"/>
              </w:rPr>
              <w:t>111884843</w:t>
            </w:r>
          </w:p>
        </w:tc>
        <w:tc>
          <w:tcPr>
            <w:vAlign w:val="center"/>
          </w:tcPr>
          <w:p>
            <w:pPr>
              <w:jc w:val="center"/>
            </w:pPr>
            <w:r>
              <w:rPr>
                <w:color w:val="000000"/>
                <w:sz w:val="24"/>
              </w:rPr>
              <w:t>18广州农村商业银行CD059</w:t>
            </w:r>
          </w:p>
        </w:tc>
        <w:tc>
          <w:tcPr>
            <w:vAlign w:val="center"/>
          </w:tcPr>
          <w:p>
            <w:pPr>
              <w:jc w:val="right"/>
            </w:pPr>
            <w:r>
              <w:rPr>
                <w:color w:val="000000"/>
                <w:sz w:val="24"/>
              </w:rPr>
              <w:t>500,000</w:t>
            </w:r>
          </w:p>
        </w:tc>
        <w:tc>
          <w:tcPr>
            <w:vAlign w:val="center"/>
          </w:tcPr>
          <w:p>
            <w:pPr>
              <w:jc w:val="right"/>
            </w:pPr>
            <w:r>
              <w:rPr>
                <w:color w:val="000000"/>
                <w:sz w:val="24"/>
              </w:rPr>
              <w:t>49,695,594.98</w:t>
            </w:r>
          </w:p>
        </w:tc>
        <w:tc>
          <w:tcPr>
            <w:vAlign w:val="center"/>
          </w:tcPr>
          <w:p>
            <w:pPr>
              <w:jc w:val="right"/>
            </w:pPr>
            <w:r>
              <w:rPr>
                <w:color w:val="000000"/>
                <w:sz w:val="24"/>
              </w:rPr>
              <w:t>3.82</w:t>
            </w:r>
          </w:p>
        </w:tc>
      </w:tr>
      <w:tr>
        <w:tc>
          <w:tcPr>
            <w:vAlign w:val="center"/>
          </w:tcPr>
          <w:p>
            <w:pPr>
              <w:jc w:val="center"/>
            </w:pPr>
            <w:r>
              <w:rPr>
                <w:color w:val="000000"/>
                <w:sz w:val="24"/>
              </w:rPr>
              <w:t>5</w:t>
            </w:r>
          </w:p>
        </w:tc>
        <w:tc>
          <w:tcPr>
            <w:vAlign w:val="center"/>
          </w:tcPr>
          <w:p>
            <w:pPr>
              <w:jc w:val="center"/>
            </w:pPr>
            <w:r>
              <w:rPr>
                <w:color w:val="000000"/>
                <w:sz w:val="24"/>
              </w:rPr>
              <w:t>180201</w:t>
            </w:r>
          </w:p>
        </w:tc>
        <w:tc>
          <w:tcPr>
            <w:vAlign w:val="center"/>
          </w:tcPr>
          <w:p>
            <w:pPr>
              <w:jc w:val="center"/>
            </w:pPr>
            <w:r>
              <w:rPr>
                <w:color w:val="000000"/>
                <w:sz w:val="24"/>
              </w:rPr>
              <w:t>18国开01</w:t>
            </w:r>
          </w:p>
        </w:tc>
        <w:tc>
          <w:tcPr>
            <w:vAlign w:val="center"/>
          </w:tcPr>
          <w:p>
            <w:pPr>
              <w:jc w:val="right"/>
            </w:pPr>
            <w:r>
              <w:rPr>
                <w:color w:val="000000"/>
                <w:sz w:val="24"/>
              </w:rPr>
              <w:t>300,000</w:t>
            </w:r>
          </w:p>
        </w:tc>
        <w:tc>
          <w:tcPr>
            <w:vAlign w:val="center"/>
          </w:tcPr>
          <w:p>
            <w:pPr>
              <w:jc w:val="right"/>
            </w:pPr>
            <w:r>
              <w:rPr>
                <w:color w:val="000000"/>
                <w:sz w:val="24"/>
              </w:rPr>
              <w:t>30,040,681.53</w:t>
            </w:r>
          </w:p>
        </w:tc>
        <w:tc>
          <w:tcPr>
            <w:vAlign w:val="center"/>
          </w:tcPr>
          <w:p>
            <w:pPr>
              <w:jc w:val="right"/>
            </w:pPr>
            <w:r>
              <w:rPr>
                <w:color w:val="000000"/>
                <w:sz w:val="24"/>
              </w:rPr>
              <w:t>2.31</w:t>
            </w:r>
          </w:p>
        </w:tc>
      </w:tr>
      <w:tr>
        <w:tc>
          <w:tcPr>
            <w:vAlign w:val="center"/>
          </w:tcPr>
          <w:p>
            <w:pPr>
              <w:jc w:val="center"/>
            </w:pPr>
            <w:r>
              <w:rPr>
                <w:color w:val="000000"/>
                <w:sz w:val="24"/>
              </w:rPr>
              <w:t>6</w:t>
            </w:r>
          </w:p>
        </w:tc>
        <w:tc>
          <w:tcPr>
            <w:vAlign w:val="center"/>
          </w:tcPr>
          <w:p>
            <w:pPr>
              <w:jc w:val="center"/>
            </w:pPr>
            <w:r>
              <w:rPr>
                <w:color w:val="000000"/>
                <w:sz w:val="24"/>
              </w:rPr>
              <w:t>111870579</w:t>
            </w:r>
          </w:p>
        </w:tc>
        <w:tc>
          <w:tcPr>
            <w:vAlign w:val="center"/>
          </w:tcPr>
          <w:p>
            <w:pPr>
              <w:jc w:val="center"/>
            </w:pPr>
            <w:r>
              <w:rPr>
                <w:color w:val="000000"/>
                <w:sz w:val="24"/>
              </w:rPr>
              <w:t>18厦门国际银行CD278</w:t>
            </w:r>
          </w:p>
        </w:tc>
        <w:tc>
          <w:tcPr>
            <w:vAlign w:val="center"/>
          </w:tcPr>
          <w:p>
            <w:pPr>
              <w:jc w:val="right"/>
            </w:pPr>
            <w:r>
              <w:rPr>
                <w:color w:val="000000"/>
                <w:sz w:val="24"/>
              </w:rPr>
              <w:t>300,000</w:t>
            </w:r>
          </w:p>
        </w:tc>
        <w:tc>
          <w:tcPr>
            <w:vAlign w:val="center"/>
          </w:tcPr>
          <w:p>
            <w:pPr>
              <w:jc w:val="right"/>
            </w:pPr>
            <w:r>
              <w:rPr>
                <w:color w:val="000000"/>
                <w:sz w:val="24"/>
              </w:rPr>
              <w:t>29,835,496.10</w:t>
            </w:r>
          </w:p>
        </w:tc>
        <w:tc>
          <w:tcPr>
            <w:vAlign w:val="center"/>
          </w:tcPr>
          <w:p>
            <w:pPr>
              <w:jc w:val="right"/>
            </w:pPr>
            <w:r>
              <w:rPr>
                <w:color w:val="000000"/>
                <w:sz w:val="24"/>
              </w:rPr>
              <w:t>2.29</w:t>
            </w:r>
          </w:p>
        </w:tc>
      </w:tr>
      <w:tr>
        <w:tc>
          <w:tcPr>
            <w:vAlign w:val="center"/>
          </w:tcPr>
          <w:p>
            <w:pPr>
              <w:jc w:val="center"/>
            </w:pPr>
            <w:r>
              <w:rPr>
                <w:color w:val="000000"/>
                <w:sz w:val="24"/>
              </w:rPr>
              <w:t>7</w:t>
            </w:r>
          </w:p>
        </w:tc>
        <w:tc>
          <w:tcPr>
            <w:vAlign w:val="center"/>
          </w:tcPr>
          <w:p>
            <w:pPr>
              <w:jc w:val="center"/>
            </w:pPr>
            <w:r>
              <w:rPr>
                <w:color w:val="000000"/>
                <w:sz w:val="24"/>
              </w:rPr>
              <w:t>111870664</w:t>
            </w:r>
          </w:p>
        </w:tc>
        <w:tc>
          <w:tcPr>
            <w:vAlign w:val="center"/>
          </w:tcPr>
          <w:p>
            <w:pPr>
              <w:jc w:val="center"/>
            </w:pPr>
            <w:r>
              <w:rPr>
                <w:color w:val="000000"/>
                <w:sz w:val="24"/>
              </w:rPr>
              <w:t>18成都银行CD285</w:t>
            </w:r>
          </w:p>
        </w:tc>
        <w:tc>
          <w:tcPr>
            <w:vAlign w:val="center"/>
          </w:tcPr>
          <w:p>
            <w:pPr>
              <w:jc w:val="right"/>
            </w:pPr>
            <w:r>
              <w:rPr>
                <w:color w:val="000000"/>
                <w:sz w:val="24"/>
              </w:rPr>
              <w:t>300,000</w:t>
            </w:r>
          </w:p>
        </w:tc>
        <w:tc>
          <w:tcPr>
            <w:vAlign w:val="center"/>
          </w:tcPr>
          <w:p>
            <w:pPr>
              <w:jc w:val="right"/>
            </w:pPr>
            <w:r>
              <w:rPr>
                <w:color w:val="000000"/>
                <w:sz w:val="24"/>
              </w:rPr>
              <w:t>29,835,397.26</w:t>
            </w:r>
          </w:p>
        </w:tc>
        <w:tc>
          <w:tcPr>
            <w:vAlign w:val="center"/>
          </w:tcPr>
          <w:p>
            <w:pPr>
              <w:jc w:val="right"/>
            </w:pPr>
            <w:r>
              <w:rPr>
                <w:color w:val="000000"/>
                <w:sz w:val="24"/>
              </w:rPr>
              <w:t>2.29</w:t>
            </w:r>
          </w:p>
        </w:tc>
      </w:tr>
      <w:tr>
        <w:tc>
          <w:tcPr>
            <w:vAlign w:val="center"/>
          </w:tcPr>
          <w:p>
            <w:pPr>
              <w:jc w:val="center"/>
            </w:pPr>
            <w:r>
              <w:rPr>
                <w:color w:val="000000"/>
                <w:sz w:val="24"/>
              </w:rPr>
              <w:t>8</w:t>
            </w:r>
          </w:p>
        </w:tc>
        <w:tc>
          <w:tcPr>
            <w:vAlign w:val="center"/>
          </w:tcPr>
          <w:p>
            <w:pPr>
              <w:jc w:val="center"/>
            </w:pPr>
            <w:r>
              <w:rPr>
                <w:color w:val="000000"/>
                <w:sz w:val="24"/>
              </w:rPr>
              <w:t>111870661</w:t>
            </w:r>
          </w:p>
        </w:tc>
        <w:tc>
          <w:tcPr>
            <w:vAlign w:val="center"/>
          </w:tcPr>
          <w:p>
            <w:pPr>
              <w:jc w:val="center"/>
            </w:pPr>
            <w:r>
              <w:rPr>
                <w:color w:val="000000"/>
                <w:sz w:val="24"/>
              </w:rPr>
              <w:t>18东莞农村商业银行CD127</w:t>
            </w:r>
          </w:p>
        </w:tc>
        <w:tc>
          <w:tcPr>
            <w:vAlign w:val="center"/>
          </w:tcPr>
          <w:p>
            <w:pPr>
              <w:jc w:val="right"/>
            </w:pPr>
            <w:r>
              <w:rPr>
                <w:color w:val="000000"/>
                <w:sz w:val="24"/>
              </w:rPr>
              <w:t>300,000</w:t>
            </w:r>
          </w:p>
        </w:tc>
        <w:tc>
          <w:tcPr>
            <w:vAlign w:val="center"/>
          </w:tcPr>
          <w:p>
            <w:pPr>
              <w:jc w:val="right"/>
            </w:pPr>
            <w:r>
              <w:rPr>
                <w:color w:val="000000"/>
                <w:sz w:val="24"/>
              </w:rPr>
              <w:t>29,832,850.22</w:t>
            </w:r>
          </w:p>
        </w:tc>
        <w:tc>
          <w:tcPr>
            <w:vAlign w:val="center"/>
          </w:tcPr>
          <w:p>
            <w:pPr>
              <w:jc w:val="right"/>
            </w:pPr>
            <w:r>
              <w:rPr>
                <w:color w:val="000000"/>
                <w:sz w:val="24"/>
              </w:rPr>
              <w:t>2.29</w:t>
            </w:r>
          </w:p>
        </w:tc>
      </w:tr>
      <w:tr>
        <w:tc>
          <w:tcPr>
            <w:vAlign w:val="center"/>
          </w:tcPr>
          <w:p>
            <w:pPr>
              <w:jc w:val="center"/>
            </w:pPr>
            <w:r>
              <w:rPr>
                <w:color w:val="000000"/>
                <w:sz w:val="24"/>
              </w:rPr>
              <w:t>9</w:t>
            </w:r>
          </w:p>
        </w:tc>
        <w:tc>
          <w:tcPr>
            <w:vAlign w:val="center"/>
          </w:tcPr>
          <w:p>
            <w:pPr>
              <w:jc w:val="center"/>
            </w:pPr>
            <w:r>
              <w:rPr>
                <w:color w:val="000000"/>
                <w:sz w:val="24"/>
              </w:rPr>
              <w:t>111870763</w:t>
            </w:r>
          </w:p>
        </w:tc>
        <w:tc>
          <w:tcPr>
            <w:vAlign w:val="center"/>
          </w:tcPr>
          <w:p>
            <w:pPr>
              <w:jc w:val="center"/>
            </w:pPr>
            <w:r>
              <w:rPr>
                <w:color w:val="000000"/>
                <w:sz w:val="24"/>
              </w:rPr>
              <w:t>18盛京银行CD545</w:t>
            </w:r>
          </w:p>
        </w:tc>
        <w:tc>
          <w:tcPr>
            <w:vAlign w:val="center"/>
          </w:tcPr>
          <w:p>
            <w:pPr>
              <w:jc w:val="right"/>
            </w:pPr>
            <w:r>
              <w:rPr>
                <w:color w:val="000000"/>
                <w:sz w:val="24"/>
              </w:rPr>
              <w:t>300,000</w:t>
            </w:r>
          </w:p>
        </w:tc>
        <w:tc>
          <w:tcPr>
            <w:vAlign w:val="center"/>
          </w:tcPr>
          <w:p>
            <w:pPr>
              <w:jc w:val="right"/>
            </w:pPr>
            <w:r>
              <w:rPr>
                <w:color w:val="000000"/>
                <w:sz w:val="24"/>
              </w:rPr>
              <w:t>29,827,617.23</w:t>
            </w:r>
          </w:p>
        </w:tc>
        <w:tc>
          <w:tcPr>
            <w:vAlign w:val="center"/>
          </w:tcPr>
          <w:p>
            <w:pPr>
              <w:jc w:val="right"/>
            </w:pPr>
            <w:r>
              <w:rPr>
                <w:color w:val="000000"/>
                <w:sz w:val="24"/>
              </w:rPr>
              <w:t>2.29</w:t>
            </w:r>
          </w:p>
        </w:tc>
      </w:tr>
      <w:tr>
        <w:tc>
          <w:tcPr>
            <w:vAlign w:val="center"/>
          </w:tcPr>
          <w:p>
            <w:pPr>
              <w:jc w:val="center"/>
            </w:pPr>
            <w:r>
              <w:rPr>
                <w:color w:val="000000"/>
                <w:sz w:val="24"/>
              </w:rPr>
              <w:t>10</w:t>
            </w:r>
          </w:p>
        </w:tc>
        <w:tc>
          <w:tcPr>
            <w:vAlign w:val="center"/>
          </w:tcPr>
          <w:p>
            <w:pPr>
              <w:jc w:val="center"/>
            </w:pPr>
            <w:r>
              <w:rPr>
                <w:color w:val="000000"/>
                <w:sz w:val="24"/>
              </w:rPr>
              <w:t>111870894</w:t>
            </w:r>
          </w:p>
        </w:tc>
        <w:tc>
          <w:tcPr>
            <w:vAlign w:val="center"/>
          </w:tcPr>
          <w:p>
            <w:pPr>
              <w:jc w:val="center"/>
            </w:pPr>
            <w:r>
              <w:rPr>
                <w:color w:val="000000"/>
                <w:sz w:val="24"/>
              </w:rPr>
              <w:t>18锦州银行CD289</w:t>
            </w:r>
          </w:p>
        </w:tc>
        <w:tc>
          <w:tcPr>
            <w:vAlign w:val="center"/>
          </w:tcPr>
          <w:p>
            <w:pPr>
              <w:jc w:val="right"/>
            </w:pPr>
            <w:r>
              <w:rPr>
                <w:color w:val="000000"/>
                <w:sz w:val="24"/>
              </w:rPr>
              <w:t>300,000</w:t>
            </w:r>
          </w:p>
        </w:tc>
        <w:tc>
          <w:tcPr>
            <w:vAlign w:val="center"/>
          </w:tcPr>
          <w:p>
            <w:pPr>
              <w:jc w:val="right"/>
            </w:pPr>
            <w:r>
              <w:rPr>
                <w:color w:val="000000"/>
                <w:sz w:val="24"/>
              </w:rPr>
              <w:t>29,824,931.62</w:t>
            </w:r>
          </w:p>
        </w:tc>
        <w:tc>
          <w:tcPr>
            <w:vAlign w:val="center"/>
          </w:tcPr>
          <w:p>
            <w:pPr>
              <w:jc w:val="right"/>
            </w:pPr>
            <w:r>
              <w:rPr>
                <w:color w:val="000000"/>
                <w:sz w:val="24"/>
              </w:rPr>
              <w:t>2.29</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0.0139%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-0.0364%</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0.0071%</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2,664,708.03</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1,005,120.63</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3,669,828.66</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交银货币B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405,031,990.40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1,491,435,058.40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638,452,585.06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4,353,458,570.22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699,368,652.71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4,887,139,878.78</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344,115,922.75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957,753,749.84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注：1、如果本报告期间发生转换入、份额级别调整、红利再投业务，则总申购份额中包含该业务；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2、如果本报告期间发生转换出、份额级别调整业务，则总赎回份额中包含该业务。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本基金管理人本报告期内未进行本基金的申购、赎回、红利再投等；本基金管理人本报告期末持有本基金份额0.00份，占本基金期末总份额的0.00%。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	</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453,571,562.00</w:t>
            </w:r>
          </w:p>
        </w:tc>
        <w:tc>
          <w:tcPr>
            <w:vAlign w:val="center"/>
          </w:tcPr>
          <w:p>
            <w:pPr>
              <w:jc w:val="center"/>
            </w:pPr>
            <w:r>
              <w:rPr>
                <w:rFonts w:ascii="宋体" w:hAnsi="宋体" w:hint="eastAsia"/>
                <w:color w:val="000000"/>
                <w:kern w:val="0"/>
                <w:szCs w:val="21"/>
              </w:rPr>
              <w:t>1,652,230,730.29</w:t>
            </w:r>
          </w:p>
        </w:tc>
        <w:tc>
          <w:tcPr>
            <w:vAlign w:val="center"/>
          </w:tcPr>
          <w:p>
            <w:pPr>
              <w:jc w:val="center"/>
            </w:pPr>
            <w:r>
              <w:rPr>
                <w:rFonts w:ascii="宋体" w:hAnsi="宋体" w:hint="eastAsia"/>
                <w:color w:val="000000"/>
                <w:kern w:val="0"/>
                <w:szCs w:val="21"/>
              </w:rPr>
              <w:t>1,750,000,000.00</w:t>
            </w:r>
          </w:p>
        </w:tc>
        <w:tc>
          <w:tcPr>
            <w:vAlign w:val="center"/>
          </w:tcPr>
          <w:p>
            <w:pPr>
              <w:jc w:val="center"/>
            </w:pPr>
            <w:r>
              <w:rPr>
                <w:rFonts w:ascii="宋体" w:hAnsi="宋体" w:hint="eastAsia"/>
                <w:color w:val="000000"/>
                <w:kern w:val="0"/>
                <w:szCs w:val="21"/>
              </w:rPr>
              <w:t>355,802,292.29</w:t>
            </w:r>
          </w:p>
        </w:tc>
        <w:tc>
          <w:tcPr>
            <w:vAlign w:val="center"/>
          </w:tcPr>
          <w:p>
            <w:pPr>
              <w:jc w:val="center"/>
            </w:pPr>
            <w:r>
              <w:rPr>
                <w:rFonts w:ascii="宋体" w:hAnsi="宋体" w:hint="eastAsia"/>
                <w:color w:val="000000"/>
                <w:kern w:val="0"/>
                <w:szCs w:val="21"/>
              </w:rPr>
              <w:t>27.33%</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300,493,761.55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300,493,761.55</w:t>
            </w:r>
          </w:p>
        </w:tc>
        <w:tc>
          <w:tcPr>
            <w:vAlign w:val="center"/>
          </w:tcPr>
          <w:p>
            <w:pPr>
              <w:jc w:val="center"/>
            </w:pPr>
            <w:r>
              <w:rPr>
                <w:rFonts w:ascii="宋体" w:hAnsi="宋体" w:hint="eastAsia"/>
                <w:color w:val="000000"/>
                <w:kern w:val="0"/>
                <w:szCs w:val="21"/>
              </w:rPr>
              <w:t>23.08%</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1、中国证监会批准交银施罗德货币市场证券投资基金募集的文件； </w:t>
      </w:r>
    </w:p>
    <w:p>
      <w:pPr>
        <w:spacing w:before="29" w:line="288" w:lineRule="auto"/>
        <w:ind w:firstLine="480" w:firstLineChars="200"/>
        <w:rPr>
          <w:color w:val="000000"/>
          <w:sz w:val="24"/>
        </w:rPr>
      </w:pPr>
      <w:r>
        <w:rPr>
          <w:color w:val="000000"/>
          <w:sz w:val="24"/>
        </w:rPr>
        <w:t xml:space="preserve">2、《交银施罗德货币市场证券投资基金基金合同》； </w:t>
      </w:r>
    </w:p>
    <w:p>
      <w:pPr>
        <w:spacing w:before="29" w:line="288" w:lineRule="auto"/>
        <w:ind w:firstLine="480" w:firstLineChars="200"/>
        <w:rPr>
          <w:color w:val="000000"/>
          <w:sz w:val="24"/>
        </w:rPr>
      </w:pPr>
      <w:r>
        <w:rPr>
          <w:color w:val="000000"/>
          <w:sz w:val="24"/>
        </w:rPr>
        <w:t xml:space="preserve">3、《交银施罗德货币市场证券投资基金招募说明书》； </w:t>
      </w:r>
    </w:p>
    <w:p>
      <w:pPr>
        <w:spacing w:before="29" w:line="288" w:lineRule="auto"/>
        <w:ind w:firstLine="480" w:firstLineChars="200"/>
        <w:rPr>
          <w:color w:val="000000"/>
          <w:sz w:val="24"/>
        </w:rPr>
      </w:pPr>
      <w:r>
        <w:rPr>
          <w:color w:val="000000"/>
          <w:sz w:val="24"/>
        </w:rPr>
        <w:t>4、《交银施罗德货币市场证券投资基金托管协议》；</w:t>
      </w:r>
    </w:p>
    <w:p>
      <w:pPr>
        <w:spacing w:before="29" w:line="288" w:lineRule="auto"/>
        <w:ind w:firstLine="480" w:firstLineChars="200"/>
        <w:rPr>
          <w:color w:val="000000"/>
          <w:sz w:val="24"/>
        </w:rPr>
      </w:pPr>
      <w:r>
        <w:rPr>
          <w:color w:val="000000"/>
          <w:sz w:val="24"/>
        </w:rPr>
        <w:t>5、关于募集交银施罗德货币市场证券投资基金之法律意见书；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8、报告期内交银施罗德货币市场证券投资基金在指定报刊上各项公告的原稿。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交银施罗德货币市场证券投资基金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