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交银施罗德境尚收益债券型证券投资基金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2018年第4季度报告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2018年12月31日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招商银行股份有限公司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P="000A2988" w:rsidR="009238DB" w:rsidRDefault="009238DB" w:rsidRPr="007F52FA">
      <w:pPr>
        <w:pStyle w:val="1"/>
        <w:spacing w:afterLines="100"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基金托管人招商银行股份有限公司根据本基金合同规定，于2019年1月18日复核了本报告中的财务指标、净值表现和投资组合报告等内容，保证复核内容不存在虚假记载、误导性陈述或者重大遗漏。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本报告期自2018年10月1日起至12月31日止。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交银境尚收益债券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519784</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2017年3月3日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886,762,743.75</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在严格控制风险的前提下,力求获得高于业绩基准的投资收益。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两年期银行定期存款税后收益率+1.25%。</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交银境尚收益债券A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交银境尚收益债券C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519784</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519785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867,171,268.37</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19,591,475.38</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(2018年10月1日-2018年12月31日)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交银境尚收益债券A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交银境尚收益债券C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9,105,431.37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173,058.34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9,510,688.62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182,183.85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0.0110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0.0093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933,314,967.33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20,959,163.46</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1.0763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1.0698</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交银境尚收益债券A</w:t>
      </w:r>
      <w:r w:rsidRPr="007F52FA">
        <w:rPr>
          <w:b/>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1.03%</w:t>
            </w:r>
          </w:p>
        </w:tc>
        <w:tc>
          <w:tcPr>
            <w:vAlign w:val="center"/>
          </w:tcPr>
          <w:p>
            <w:pPr>
              <w:jc w:val="center"/>
            </w:pPr>
            <w:r>
              <w:rPr>
                <w:color w:val="000000"/>
                <w:sz w:val="24"/>
              </w:rPr>
              <w:t>0.02%</w:t>
            </w:r>
          </w:p>
        </w:tc>
        <w:tc>
          <w:tcPr>
            <w:vAlign w:val="center"/>
          </w:tcPr>
          <w:p>
            <w:pPr>
              <w:jc w:val="center"/>
            </w:pPr>
            <w:r>
              <w:rPr>
                <w:color w:val="000000"/>
                <w:sz w:val="24"/>
              </w:rPr>
              <w:t>0.85%</w:t>
            </w:r>
          </w:p>
        </w:tc>
        <w:tc>
          <w:tcPr>
            <w:vAlign w:val="center"/>
          </w:tcPr>
          <w:p>
            <w:pPr>
              <w:jc w:val="center"/>
            </w:pPr>
            <w:r>
              <w:rPr>
                <w:color w:val="000000"/>
                <w:sz w:val="24"/>
              </w:rPr>
              <w:t>0.01%</w:t>
            </w:r>
          </w:p>
        </w:tc>
        <w:tc>
          <w:tcPr>
            <w:vAlign w:val="center"/>
          </w:tcPr>
          <w:p>
            <w:pPr>
              <w:jc w:val="center"/>
            </w:pPr>
            <w:r>
              <w:rPr>
                <w:color w:val="000000"/>
                <w:sz w:val="24"/>
              </w:rPr>
              <w:t>0.18%</w:t>
            </w:r>
          </w:p>
        </w:tc>
        <w:tc>
          <w:tcPr>
            <w:vAlign w:val="center"/>
          </w:tcPr>
          <w:p>
            <w:pPr>
              <w:jc w:val="center"/>
            </w:pPr>
            <w:r>
              <w:rPr>
                <w:color w:val="000000"/>
                <w:sz w:val="24"/>
              </w:rPr>
              <w:t>0.01%</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交银境尚收益债券C</w:t>
      </w:r>
      <w:r w:rsidRPr="007F52FA">
        <w:rPr>
          <w:b/>
          <w:color w:val="000000"/>
          <w:kern w:val="0"/>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0.88%</w:t>
            </w:r>
          </w:p>
        </w:tc>
        <w:tc>
          <w:tcPr>
            <w:vAlign w:val="center"/>
          </w:tcPr>
          <w:p>
            <w:pPr>
              <w:jc w:val="center"/>
            </w:pPr>
            <w:r>
              <w:rPr>
                <w:color w:val="000000"/>
                <w:sz w:val="24"/>
              </w:rPr>
              <w:t>0.02%</w:t>
            </w:r>
          </w:p>
        </w:tc>
        <w:tc>
          <w:tcPr>
            <w:vAlign w:val="center"/>
          </w:tcPr>
          <w:p>
            <w:pPr>
              <w:jc w:val="center"/>
            </w:pPr>
            <w:r>
              <w:rPr>
                <w:color w:val="000000"/>
                <w:sz w:val="24"/>
              </w:rPr>
              <w:t>0.85%</w:t>
            </w:r>
          </w:p>
        </w:tc>
        <w:tc>
          <w:tcPr>
            <w:vAlign w:val="center"/>
          </w:tcPr>
          <w:p>
            <w:pPr>
              <w:jc w:val="center"/>
            </w:pPr>
            <w:r>
              <w:rPr>
                <w:color w:val="000000"/>
                <w:sz w:val="24"/>
              </w:rPr>
              <w:t>0.01%</w:t>
            </w:r>
          </w:p>
        </w:tc>
        <w:tc>
          <w:tcPr>
            <w:vAlign w:val="center"/>
          </w:tcPr>
          <w:p>
            <w:pPr>
              <w:jc w:val="center"/>
            </w:pPr>
            <w:r>
              <w:rPr>
                <w:color w:val="000000"/>
                <w:sz w:val="24"/>
              </w:rPr>
              <w:t>0.03%</w:t>
            </w:r>
          </w:p>
        </w:tc>
        <w:tc>
          <w:tcPr>
            <w:vAlign w:val="center"/>
          </w:tcPr>
          <w:p>
            <w:pPr>
              <w:jc w:val="center"/>
            </w:pPr>
            <w:r>
              <w:rPr>
                <w:color w:val="000000"/>
                <w:sz w:val="24"/>
              </w:rPr>
              <w:t>0.01%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交银施罗德境尚收益债券型证券投资基金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2017年3月3日</w:t>
      </w:r>
      <w:r w:rsidR="009A045B" w:rsidRPr="007F52FA">
        <w:rPr>
          <w:rFonts w:ascii="Times New Roman" w:hAnsi="Times New Roman"/>
          <w:sz w:val="24"/>
          <w:szCs w:val="24"/>
        </w:rPr>
        <w:t>至</w:t>
      </w:r>
      <w:r w:rsidRPr="007F52FA">
        <w:rPr>
          <w:rFonts w:ascii="Times New Roman" w:hAnsi="Times New Roman"/>
          <w:sz w:val="24"/>
          <w:szCs w:val="24"/>
        </w:rPr>
        <w:t>2018年12月31日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交银境尚收益债券A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交银境尚收益债券C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裕通纯债债券、交银活期通货币、交银天利宝货币、交银裕隆纯债债券、交银天鑫宝货币、交银天益宝货币、交银境尚收益债券的基金经理</w:t>
            </w:r>
          </w:p>
        </w:tc>
        <w:tc>
          <w:tcPr>
            <w:vAlign w:val="center"/>
          </w:tcPr>
          <w:p>
            <w:pPr>
              <w:jc w:val="center"/>
            </w:pPr>
            <w:r>
              <w:rPr>
                <w:color w:val="000000"/>
                <w:sz w:val="24"/>
              </w:rPr>
              <w:t>2017-03-03</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货币、交银理财60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vAlign w:val="center"/>
          </w:tcPr>
          <w:p>
            <w:pPr>
              <w:jc w:val="center"/>
            </w:pPr>
            <w:r>
              <w:rPr>
                <w:color w:val="000000"/>
                <w:sz w:val="24"/>
              </w:rPr>
              <w:t>2017-03-03</w:t>
            </w:r>
          </w:p>
        </w:tc>
        <w:tc>
          <w:tcPr>
            <w:vAlign w:val="center"/>
          </w:tcPr>
          <w:p>
            <w:pPr>
              <w:jc w:val="center"/>
            </w:pPr>
            <w:r>
              <w:rPr>
                <w:color w:val="000000"/>
                <w:sz w:val="24"/>
              </w:rPr>
              <w:t>-</w:t>
            </w:r>
          </w:p>
        </w:tc>
        <w:tc>
          <w:tcPr>
            <w:vAlign w:val="center"/>
          </w:tcPr>
          <w:p>
            <w:pPr>
              <w:jc w:val="center"/>
            </w:pPr>
            <w:r>
              <w:rPr>
                <w:color w:val="000000"/>
                <w:sz w:val="24"/>
              </w:rPr>
              <w:t>5年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3、基金经理（或基金经理小组）期后变动（如有）敬请关注基金管理人发布的相关公告。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随着经济持续下行的预期被证实，以及国内外风险资产大幅回落，债券市场走出了牛市第二阶段行情。具体看来，在通胀方面，国内猪肉和国际原油价格的下行中，前期市场担忧的“滞胀”风险减轻，为债券收益率下行打开空间。虽然中美贸易战的负面影响在G20之后有所缓解，但中美在有限时间内达成协议的不确定性仍然较高，并且贸易数据在“抢出口”的效果减弱后初现疲态，十一月的进出口增长分别跌落至3.00%和5.40%，出口对于经济的拉动减弱。全球货币政策方面，美联储在市场宽松预期下维持十二月的加息操作，同时顺应市场对2019年的前瞻性指引给出较为宽松的表态。本报告期内，十年期国债收益率从3.61%水平下行至3.22%。国内货币政策方面，央行对流动性定调为合理充裕，短端利率维持低位，银行间七天质押式回购利率除年底前最后一周因时点性原因有所波动外，基本维持在3.00%以下水平。</w:t>
      </w:r>
    </w:p>
    <w:p>
      <w:pPr>
        <w:spacing w:before="29" w:line="288" w:lineRule="auto"/>
        <w:ind w:firstLine="480" w:firstLineChars="200"/>
        <w:rPr>
          <w:color w:val="000000"/>
          <w:sz w:val="24"/>
        </w:rPr>
      </w:pPr>
      <w:r>
        <w:rPr>
          <w:color w:val="000000"/>
          <w:sz w:val="24"/>
        </w:rPr>
        <w:t>基金操作方面，本基金以与封闭期适度匹配的债券配置进行杠杆套息操作，报告期内运作稳健。</w:t>
      </w:r>
    </w:p>
    <w:p>
      <w:pPr>
        <w:spacing w:before="29" w:line="288" w:lineRule="auto"/>
        <w:ind w:firstLine="480" w:firstLineChars="200"/>
        <w:rPr>
          <w:color w:val="000000"/>
          <w:sz w:val="24"/>
        </w:rPr>
      </w:pPr>
      <w:r>
        <w:rPr>
          <w:color w:val="000000"/>
          <w:sz w:val="24"/>
        </w:rPr>
        <w:t>展望2019年一季度，虽然政治局会议进一步加强稳增长政策的力度，但是无论是资金供给端还是需求端都限制了信贷社融的大幅扩大，预计从政策实施到经济企稳仍有较长的时滞，债券市场行情或将延续。综合考虑资金量和央行表态，我们预期春节前后流动性将保持相对稳定。</w:t>
      </w:r>
    </w:p>
    <w:p w:rsidP="007C14DF" w:rsidR="00952A72" w:rsidRDefault="00323F25" w:rsidRPr="007F52FA">
      <w:pPr>
        <w:spacing w:before="29" w:line="288" w:lineRule="auto"/>
        <w:ind w:firstLine="480" w:firstLineChars="200"/>
        <w:rPr>
          <w:color w:val="000000"/>
          <w:sz w:val="24"/>
        </w:rPr>
      </w:pPr>
      <w:r w:rsidRPr="007F52FA">
        <w:rPr>
          <w:color w:val="000000"/>
          <w:sz w:val="24"/>
        </w:rPr>
        <w:t>我们将密切关注低评级信用债风险的演化、中美贸易战推进以及境内外货币政策变化等因素对市场的影响。根据本基金基金合同约定，2019年一季度组合两年封闭期即将到期，将转为开放式基金，组合操作方面预计将会逐渐变现持有资产，平稳应对可能的赎回，在保持组合流动性的前提下积极关注交易窗口，把握适度久期，努力为持有人创造稳健的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 主要财务指标” 及“3.2.1本报告期基金份额净值增长率及其与同期业绩比较基准收益率的比较”部分披露。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Lines="100"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rsidRPr="0028293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tbl>
      <w:tblPr>
        <w:tblStyle w:val="af2"/>
        <w:tblW w:type="dxa" w:w="8897"/>
        <w:tblInd w:type="dxa" w:w="108"/>
        <w:tblLayout w:type="fixed"/>
        <w:tblLook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r w:rsidRPr="0028293E">
              <w:rPr>
                <w:rFonts w:eastAsiaTheme="minorEastAsia"/>
                <w:color w:themeColor="text1" w:val="000000"/>
                <w:sz w:val="24"/>
              </w:rPr>
              <w:t>(</w:t>
            </w:r>
            <w:r w:rsidRPr="0028293E">
              <w:rPr>
                <w:rFonts w:eastAsiaTheme="minorEastAsia"/>
                <w:color w:themeColor="text1" w:val="000000"/>
                <w:sz w:val="24"/>
              </w:rPr>
              <w:t>元</w:t>
            </w: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1,776,551,102.50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94.80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1,776,551,102.50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94.80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56,996,599.03</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3.04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40,437,941.26</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2.16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1,873,985,642.79</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P="001A5D39" w:rsidR="001A5D39" w:rsidRDefault="001A5D39" w:rsidRPr="001A5D39">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832,116,102.50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87.20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347,801,000.00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36.45</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596,634,000.00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62.52</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1,776,551,102.50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186.17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type="dxa" w:w="8868"/>
        <w:jc w:val="center"/>
        <w:tblLayout w:type="fixed"/>
        <w:tblCellMar>
          <w:top w:type="dxa" w:w="57"/>
          <w:bottom w:type="dxa" w:w="57"/>
        </w:tblCellMar>
        <w:tblLook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101655011</w:t>
            </w:r>
          </w:p>
        </w:tc>
        <w:tc>
          <w:tcPr>
            <w:vAlign w:val="center"/>
          </w:tcPr>
          <w:p>
            <w:pPr>
              <w:jc w:val="center"/>
            </w:pPr>
            <w:r>
              <w:rPr>
                <w:color w:val="000000"/>
                <w:sz w:val="24"/>
              </w:rPr>
              <w:t>16南京奥体MTN002</w:t>
            </w:r>
          </w:p>
        </w:tc>
        <w:tc>
          <w:tcPr>
            <w:vAlign w:val="center"/>
          </w:tcPr>
          <w:p>
            <w:pPr>
              <w:jc w:val="right"/>
            </w:pPr>
            <w:r>
              <w:rPr>
                <w:color w:val="000000"/>
                <w:sz w:val="24"/>
              </w:rPr>
              <w:t>800,000</w:t>
            </w:r>
          </w:p>
        </w:tc>
        <w:tc>
          <w:tcPr>
            <w:vAlign w:val="center"/>
          </w:tcPr>
          <w:p>
            <w:pPr>
              <w:jc w:val="right"/>
            </w:pPr>
            <w:r>
              <w:rPr>
                <w:color w:val="000000"/>
                <w:sz w:val="24"/>
              </w:rPr>
              <w:t>80,296,000.00</w:t>
            </w:r>
          </w:p>
        </w:tc>
        <w:tc>
          <w:tcPr>
            <w:vAlign w:val="center"/>
          </w:tcPr>
          <w:p>
            <w:pPr>
              <w:jc w:val="right"/>
            </w:pPr>
            <w:r>
              <w:rPr>
                <w:color w:val="000000"/>
                <w:sz w:val="24"/>
              </w:rPr>
              <w:t>8.41</w:t>
            </w:r>
          </w:p>
        </w:tc>
      </w:tr>
      <w:tr>
        <w:tc>
          <w:tcPr>
            <w:vAlign w:val="center"/>
          </w:tcPr>
          <w:p>
            <w:pPr>
              <w:jc w:val="center"/>
            </w:pPr>
            <w:r>
              <w:rPr>
                <w:color w:val="000000"/>
                <w:sz w:val="24"/>
              </w:rPr>
              <w:t>2</w:t>
            </w:r>
          </w:p>
        </w:tc>
        <w:tc>
          <w:tcPr>
            <w:vAlign w:val="center"/>
          </w:tcPr>
          <w:p>
            <w:pPr>
              <w:jc w:val="center"/>
            </w:pPr>
            <w:r>
              <w:rPr>
                <w:color w:val="000000"/>
                <w:sz w:val="24"/>
              </w:rPr>
              <w:t>136304</w:t>
            </w:r>
          </w:p>
        </w:tc>
        <w:tc>
          <w:tcPr>
            <w:vAlign w:val="center"/>
          </w:tcPr>
          <w:p>
            <w:pPr>
              <w:jc w:val="center"/>
            </w:pPr>
            <w:r>
              <w:rPr>
                <w:color w:val="000000"/>
                <w:sz w:val="24"/>
              </w:rPr>
              <w:t>16紫金01</w:t>
            </w:r>
          </w:p>
        </w:tc>
        <w:tc>
          <w:tcPr>
            <w:vAlign w:val="center"/>
          </w:tcPr>
          <w:p>
            <w:pPr>
              <w:jc w:val="right"/>
            </w:pPr>
            <w:r>
              <w:rPr>
                <w:color w:val="000000"/>
                <w:sz w:val="24"/>
              </w:rPr>
              <w:t>700,000</w:t>
            </w:r>
          </w:p>
        </w:tc>
        <w:tc>
          <w:tcPr>
            <w:vAlign w:val="center"/>
          </w:tcPr>
          <w:p>
            <w:pPr>
              <w:jc w:val="right"/>
            </w:pPr>
            <w:r>
              <w:rPr>
                <w:color w:val="000000"/>
                <w:sz w:val="24"/>
              </w:rPr>
              <w:t>70,056,000.00</w:t>
            </w:r>
          </w:p>
        </w:tc>
        <w:tc>
          <w:tcPr>
            <w:vAlign w:val="center"/>
          </w:tcPr>
          <w:p>
            <w:pPr>
              <w:jc w:val="right"/>
            </w:pPr>
            <w:r>
              <w:rPr>
                <w:color w:val="000000"/>
                <w:sz w:val="24"/>
              </w:rPr>
              <w:t>7.34</w:t>
            </w:r>
          </w:p>
        </w:tc>
      </w:tr>
      <w:tr>
        <w:tc>
          <w:tcPr>
            <w:vAlign w:val="center"/>
          </w:tcPr>
          <w:p>
            <w:pPr>
              <w:jc w:val="center"/>
            </w:pPr>
            <w:r>
              <w:rPr>
                <w:color w:val="000000"/>
                <w:sz w:val="24"/>
              </w:rPr>
              <w:t>3</w:t>
            </w:r>
          </w:p>
        </w:tc>
        <w:tc>
          <w:tcPr>
            <w:vAlign w:val="center"/>
          </w:tcPr>
          <w:p>
            <w:pPr>
              <w:jc w:val="center"/>
            </w:pPr>
            <w:r>
              <w:rPr>
                <w:color w:val="000000"/>
                <w:sz w:val="24"/>
              </w:rPr>
              <w:t>136141</w:t>
            </w:r>
          </w:p>
        </w:tc>
        <w:tc>
          <w:tcPr>
            <w:vAlign w:val="center"/>
          </w:tcPr>
          <w:p>
            <w:pPr>
              <w:jc w:val="center"/>
            </w:pPr>
            <w:r>
              <w:rPr>
                <w:color w:val="000000"/>
                <w:sz w:val="24"/>
              </w:rPr>
              <w:t>16邦信01</w:t>
            </w:r>
          </w:p>
        </w:tc>
        <w:tc>
          <w:tcPr>
            <w:vAlign w:val="center"/>
          </w:tcPr>
          <w:p>
            <w:pPr>
              <w:jc w:val="right"/>
            </w:pPr>
            <w:r>
              <w:rPr>
                <w:color w:val="000000"/>
                <w:sz w:val="24"/>
              </w:rPr>
              <w:t>600,000</w:t>
            </w:r>
          </w:p>
        </w:tc>
        <w:tc>
          <w:tcPr>
            <w:vAlign w:val="center"/>
          </w:tcPr>
          <w:p>
            <w:pPr>
              <w:jc w:val="right"/>
            </w:pPr>
            <w:r>
              <w:rPr>
                <w:color w:val="000000"/>
                <w:sz w:val="24"/>
              </w:rPr>
              <w:t>59,886,000.00</w:t>
            </w:r>
          </w:p>
        </w:tc>
        <w:tc>
          <w:tcPr>
            <w:vAlign w:val="center"/>
          </w:tcPr>
          <w:p>
            <w:pPr>
              <w:jc w:val="right"/>
            </w:pPr>
            <w:r>
              <w:rPr>
                <w:color w:val="000000"/>
                <w:sz w:val="24"/>
              </w:rPr>
              <w:t>6.28</w:t>
            </w:r>
          </w:p>
        </w:tc>
      </w:tr>
      <w:tr>
        <w:tc>
          <w:tcPr>
            <w:vAlign w:val="center"/>
          </w:tcPr>
          <w:p>
            <w:pPr>
              <w:jc w:val="center"/>
            </w:pPr>
            <w:r>
              <w:rPr>
                <w:color w:val="000000"/>
                <w:sz w:val="24"/>
              </w:rPr>
              <w:t>4</w:t>
            </w:r>
          </w:p>
        </w:tc>
        <w:tc>
          <w:tcPr>
            <w:vAlign w:val="center"/>
          </w:tcPr>
          <w:p>
            <w:pPr>
              <w:jc w:val="center"/>
            </w:pPr>
            <w:r>
              <w:rPr>
                <w:color w:val="000000"/>
                <w:sz w:val="24"/>
              </w:rPr>
              <w:t>101454018</w:t>
            </w:r>
          </w:p>
        </w:tc>
        <w:tc>
          <w:tcPr>
            <w:vAlign w:val="center"/>
          </w:tcPr>
          <w:p>
            <w:pPr>
              <w:jc w:val="center"/>
            </w:pPr>
            <w:r>
              <w:rPr>
                <w:color w:val="000000"/>
                <w:sz w:val="24"/>
              </w:rPr>
              <w:t>14粤珠江MTN001</w:t>
            </w:r>
          </w:p>
        </w:tc>
        <w:tc>
          <w:tcPr>
            <w:vAlign w:val="center"/>
          </w:tcPr>
          <w:p>
            <w:pPr>
              <w:jc w:val="right"/>
            </w:pPr>
            <w:r>
              <w:rPr>
                <w:color w:val="000000"/>
                <w:sz w:val="24"/>
              </w:rPr>
              <w:t>500,000</w:t>
            </w:r>
          </w:p>
        </w:tc>
        <w:tc>
          <w:tcPr>
            <w:vAlign w:val="center"/>
          </w:tcPr>
          <w:p>
            <w:pPr>
              <w:jc w:val="right"/>
            </w:pPr>
            <w:r>
              <w:rPr>
                <w:color w:val="000000"/>
                <w:sz w:val="24"/>
              </w:rPr>
              <w:t>51,035,000.00</w:t>
            </w:r>
          </w:p>
        </w:tc>
        <w:tc>
          <w:tcPr>
            <w:vAlign w:val="center"/>
          </w:tcPr>
          <w:p>
            <w:pPr>
              <w:jc w:val="right"/>
            </w:pPr>
            <w:r>
              <w:rPr>
                <w:color w:val="000000"/>
                <w:sz w:val="24"/>
              </w:rPr>
              <w:t>5.35</w:t>
            </w:r>
          </w:p>
        </w:tc>
      </w:tr>
      <w:tr>
        <w:tc>
          <w:tcPr>
            <w:vAlign w:val="center"/>
          </w:tcPr>
          <w:p>
            <w:pPr>
              <w:jc w:val="center"/>
            </w:pPr>
            <w:r>
              <w:rPr>
                <w:color w:val="000000"/>
                <w:sz w:val="24"/>
              </w:rPr>
              <w:t>5</w:t>
            </w:r>
          </w:p>
        </w:tc>
        <w:tc>
          <w:tcPr>
            <w:vAlign w:val="center"/>
          </w:tcPr>
          <w:p>
            <w:pPr>
              <w:jc w:val="center"/>
            </w:pPr>
            <w:r>
              <w:rPr>
                <w:color w:val="000000"/>
                <w:sz w:val="24"/>
              </w:rPr>
              <w:t>101459024</w:t>
            </w:r>
          </w:p>
        </w:tc>
        <w:tc>
          <w:tcPr>
            <w:vAlign w:val="center"/>
          </w:tcPr>
          <w:p>
            <w:pPr>
              <w:jc w:val="center"/>
            </w:pPr>
            <w:r>
              <w:rPr>
                <w:color w:val="000000"/>
                <w:sz w:val="24"/>
              </w:rPr>
              <w:t>14桐乡城建MTN001</w:t>
            </w:r>
          </w:p>
        </w:tc>
        <w:tc>
          <w:tcPr>
            <w:vAlign w:val="center"/>
          </w:tcPr>
          <w:p>
            <w:pPr>
              <w:jc w:val="right"/>
            </w:pPr>
            <w:r>
              <w:rPr>
                <w:color w:val="000000"/>
                <w:sz w:val="24"/>
              </w:rPr>
              <w:t>500,000</w:t>
            </w:r>
          </w:p>
        </w:tc>
        <w:tc>
          <w:tcPr>
            <w:vAlign w:val="center"/>
          </w:tcPr>
          <w:p>
            <w:pPr>
              <w:jc w:val="right"/>
            </w:pPr>
            <w:r>
              <w:rPr>
                <w:color w:val="000000"/>
                <w:sz w:val="24"/>
              </w:rPr>
              <w:t>51,000,000.00</w:t>
            </w:r>
          </w:p>
        </w:tc>
        <w:tc>
          <w:tcPr>
            <w:vAlign w:val="center"/>
          </w:tcPr>
          <w:p>
            <w:pPr>
              <w:jc w:val="right"/>
            </w:pPr>
            <w:r>
              <w:rPr>
                <w:color w:val="000000"/>
                <w:sz w:val="24"/>
              </w:rPr>
              <w:t>5.34</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lastRenderedPageBreak/>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rsidRPr="007F52FA">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type="dxa" w:w="8868"/>
        <w:jc w:val="center"/>
        <w:tblLook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1,528.89</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40,436,412.37</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40,437,941.26</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7F52FA">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P="007C14DF" w:rsidR="001D5CD0" w:rsidRDefault="001D5CD0" w:rsidRPr="007F52FA">
      <w:pPr>
        <w:spacing w:before="29" w:line="288" w:lineRule="auto"/>
        <w:rPr>
          <w:rFonts w:eastAsiaTheme="minorEastAsia"/>
          <w:sz w:val="24"/>
        </w:rPr>
      </w:pPr>
    </w:p>
    <w:p w:rsidP="007C14DF" w:rsidR="001D5CD0" w:rsidRDefault="001D5CD0" w:rsidRPr="007F52FA">
      <w:pPr>
        <w:spacing w:before="29" w:line="288" w:lineRule="auto"/>
        <w:rPr>
          <w:rFonts w:eastAsiaTheme="minorEastAsia"/>
          <w:color w:val="000000"/>
          <w:kern w:val="0"/>
          <w:sz w:val="24"/>
        </w:rPr>
      </w:pPr>
      <w:r w:rsidRPr="007F52FA">
        <w:rPr>
          <w:rFonts w:eastAsiaTheme="minorEastAsia"/>
          <w:color w:val="000000"/>
          <w:kern w:val="0"/>
          <w:sz w:val="24"/>
        </w:rPr>
        <w:lastRenderedPageBreak/>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C51B4E" w:rsidRDefault="00C51B4E" w:rsidRPr="00C51B4E">
      <w:pPr>
        <w:pStyle w:val="1"/>
        <w:spacing w:afterLines="100" w:beforeLines="100" w:line="360" w:lineRule="auto"/>
        <w:jc w:val="center"/>
        <w:rPr>
          <w:rFonts w:eastAsiaTheme="minorEastAsia"/>
          <w:color w:themeColor="text1" w:val="000000"/>
          <w:kern w:val="0"/>
          <w:sz w:val="21"/>
          <w:szCs w:val="21"/>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Pr="00C51B4E">
        <w:rPr>
          <w:rFonts w:eastAsiaTheme="minorEastAsia" w:hint="eastAsia"/>
          <w:color w:themeColor="text1" w:val="000000"/>
          <w:kern w:val="0"/>
          <w:sz w:val="21"/>
          <w:szCs w:val="21"/>
        </w:rPr>
        <w:t>基金中基金</w:t>
      </w:r>
    </w:p>
    <w:p w:rsidP="00C51B4E" w:rsidR="00C51B4E" w:rsidRDefault="00C51B4E" w:rsidRPr="00C51B4E">
      <w:pPr>
        <w:adjustRightInd w:val="0"/>
        <w:snapToGrid w:val="0"/>
        <w:spacing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1</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报告期末按公允价值占基金资产净值比例大小排序的前十名基金投资明细</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本基金本报告期末未持有基金。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2</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当期交易及持有基金产生的费用</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本基金本报告期内未交易或持有基金。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3</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本报告期持有的基金发生的重大影响事件</w:t>
      </w:r>
    </w:p>
    <w:tbl>
      <w:tblPr>
        <w:tblStyle w:val="af2"/>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036"/>
      </w:tblGrid>
      <w:tr w:rsidR="00C51B4E" w:rsidRPr="00C51B4E" w:rsidTr="00F103C8">
        <w:tc>
          <w:tcPr>
            <w:tcW w:type="dxa" w:w="9036"/>
          </w:tcPr>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
            </w:r>
            <w:r w:rsidRPr="00C51B4E">
              <w:rPr>
                <w:rFonts w:eastAsiaTheme="minorEastAsia" w:hint="eastAsia"/>
                <w:color w:themeColor="text1" w:val="000000"/>
                <w:szCs w:val="21"/>
              </w:rPr>
              <w:t/>
            </w:r>
            <w:r w:rsidRPr="00C51B4E">
              <w:rPr>
                <w:rFonts w:eastAsiaTheme="minorEastAsia"/>
                <w:color w:themeColor="text1" w:val="000000"/>
                <w:szCs w:val="21"/>
              </w:rPr>
              <w:t/>
            </w:r>
            <w:r w:rsidRPr="00C51B4E">
              <w:rPr>
                <w:rFonts w:eastAsiaTheme="minorEastAsia" w:hint="eastAsia"/>
                <w:color w:themeColor="text1" w:val="000000"/>
                <w:szCs w:val="21"/>
              </w:rPr>
              <w:t>无。</w:t>
            </w:r>
          </w:p>
        </w:tc>
      </w:tr>
    </w:tbl>
    <w:p w:rsidP="000A2988" w:rsidR="009238DB" w:rsidRDefault="00C51B4E" w:rsidRPr="007F52FA">
      <w:pPr>
        <w:pStyle w:val="1"/>
        <w:spacing w:afterLines="100"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§7</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交银境尚收益债券A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交银境尚收益债券C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867,171,268.37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19,591,475.38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867,171,268.37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19,591,475.38</w:t>
            </w:r>
          </w:p>
        </w:tc>
      </w:tr>
    </w:tbl>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Lines="100"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bookmarkStart w:id="2" w:name="_GoBack"/>
      <w:bookmarkEnd w:id="2"/>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1、中国证监会准予交银施罗德境尚收益债券型证券投资基金募集注册的文件；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2、《交银施罗德境尚收益债券型证券投资基金基金合同》；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3、《交银施罗德境尚收益债券型证券投资基金招募说明书》；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4、《交银施罗德境尚收益债券型证券投资基金托管协议》；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5、关于申请募集注册交银施罗德境尚收益债券型证券投资基金的法律意见书；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8、报告期内交银施罗德境尚收益债券型证券投资基金在指定报刊上各项公告的原稿。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2988">
      <w:rPr>
        <w:noProof/>
        <w:kern w:val="0"/>
        <w:szCs w:val="21"/>
      </w:rPr>
      <w:t>21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2988">
      <w:rPr>
        <w:noProof/>
        <w:kern w:val="0"/>
        <w:szCs w:val="21"/>
      </w:rPr>
      <w:t>28</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1B5A1E" w:rsidRDefault="001B5A1E">
      <w:r>
        <w:separator/>
      </w:r>
    </w:p>
  </w:footnote>
  <w:footnote w:id="0" w:type="continuationSeparator">
    <w:p w:rsidR="001B5A1E" w:rsidRDefault="001B5A1E">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交银施罗德境尚收益债券型证券投资基金2018年第4季度报告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0" w:defUnhideWhenUsed="1">
    <w:lsdException w:name="Normal" w:qFormat="1" w:semiHidden="0" w:unhideWhenUsed="0"/>
    <w:lsdException w:name="heading 1" w:qFormat="1" w:semiHidden="0" w:uiPriority="99"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iPriority="22" w:unhideWhenUsed="0"/>
    <w:lsdException w:name="Emphasis" w:qFormat="1" w:semiHidden="0" w:unhideWhenUsed="0"/>
    <w:lsdException w:name="Plain Text" w:uiPriority="99"/>
    <w:lsdException w:name="Table Grid" w:qFormat="1"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B44A-4F1F-404E-8194-4BCDA7DF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208</TotalTime>
  <Pages>28</Pages>
  <Words>4625</Words>
  <Characters>26366</Characters>
  <Application>Microsoft Office Word</Application>
  <DocSecurity>0</DocSecurity>
  <Lines>219</Lines>
  <Paragraphs>61</Paragraphs>
  <ScaleCrop>false</ScaleCrop>
  <Company>TRT. Ltd. Co.</Company>
  <LinksUpToDate>false</LinksUpToDate>
  <CharactersWithSpaces>30930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Administrator</cp:lastModifiedBy>
  <cp:lastPrinted>2007-07-19T00:46:00Z</cp:lastPrinted>
  <dcterms:modified xsi:type="dcterms:W3CDTF">2018-09-13T02:52:00Z</dcterms:modified>
  <cp:revision>377</cp:revision>
</cp:coreProperties>
</file>