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交银施罗德信用添利债券证券投资基金（LOF）</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交银信用添利债券（LOF）</w:t>
            </w:r>
          </w:p>
        </w:tc>
      </w:tr>
      <w:tr w:rsidR="006E6726" w:rsidRPr="00414345" w:rsidTr="006E6726">
        <w:trPr>
          <w:jc w:val="center"/>
        </w:trPr>
        <w:tc>
          <w:tcPr>
            <w:tcW w:type="dxa" w:w="3023"/>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type="dxa" w:w="5845"/>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2011年1月27日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710,590,216.71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80%×中债企业债总全价指数收益率+20%×中债国债总全价指数收益率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根据本基金《基金合同》及《招募说明书》的相关规定，本基金在基金合同生效之日起三年(含三年)的期间内，采取封闭式运作，在深圳证券交易所上市交易，封闭期结束后转为上市开放式基金（LOF）。本基金封闭期自2011年1月27日(基金合同生效日)起至2014年1月27日止，自2014年1月28日起基金运作方式转为“上市契约型开放式”，并于同日起开放本基金的申购、赎回业务。本基金在募集期仅开通前端基金份额的认购，转为上市开放式基金（LOF）后同时开通前端基金份额和后端基金份额的申购和赎回。</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9,115,927.68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14,727,340.85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923,215,915.33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1.85%</w:t>
            </w:r>
          </w:p>
        </w:tc>
        <w:tc>
          <w:tcPr>
            <w:vAlign w:val="center"/>
          </w:tcPr>
          <w:p>
            <w:pPr>
              <w:jc w:val="center"/>
            </w:pPr>
            <w:r>
              <w:rPr>
                <w:color w:val="000000"/>
                <w:sz w:val="24"/>
                <w:szCs w:val="24"/>
              </w:rPr>
              <w:t>0.06%</w:t>
            </w:r>
          </w:p>
        </w:tc>
        <w:tc>
          <w:tcPr>
            <w:vAlign w:val="center"/>
          </w:tcPr>
          <w:p>
            <w:pPr>
              <w:jc w:val="center"/>
            </w:pPr>
            <w:r>
              <w:rPr>
                <w:color w:val="000000"/>
                <w:sz w:val="24"/>
                <w:szCs w:val="24"/>
              </w:rPr>
              <w:t>1.73%</w:t>
            </w:r>
          </w:p>
        </w:tc>
        <w:tc>
          <w:tcPr>
            <w:vAlign w:val="center"/>
          </w:tcPr>
          <w:p>
            <w:pPr>
              <w:jc w:val="center"/>
            </w:pPr>
            <w:r>
              <w:rPr>
                <w:color w:val="000000"/>
                <w:sz w:val="24"/>
                <w:szCs w:val="24"/>
              </w:rPr>
              <w:t>0.05%</w:t>
            </w:r>
          </w:p>
        </w:tc>
        <w:tc>
          <w:tcPr>
            <w:vAlign w:val="center"/>
          </w:tcPr>
          <w:p>
            <w:pPr>
              <w:jc w:val="center"/>
            </w:pPr>
            <w:r>
              <w:rPr>
                <w:color w:val="000000"/>
                <w:sz w:val="24"/>
                <w:szCs w:val="24"/>
              </w:rPr>
              <w:t>0.12%</w:t>
            </w:r>
          </w:p>
        </w:tc>
        <w:tc>
          <w:tcPr>
            <w:vAlign w:val="center"/>
          </w:tcPr>
          <w:p>
            <w:pPr>
              <w:jc w:val="center"/>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交银施罗德信用添利债券证券投资基金（LOF）</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2011年1月27日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交银信用添利债券(LOF)、交银双利债券、交银双轮动债券、交银裕通纯债债券、交银安心收益债券的基金经理</w:t>
            </w:r>
          </w:p>
        </w:tc>
        <w:tc>
          <w:tcPr>
            <w:vAlign w:val="center"/>
          </w:tcPr>
          <w:p>
            <w:pPr>
              <w:jc w:val="center"/>
            </w:pPr>
            <w:r>
              <w:rPr>
                <w:color w:val="000000"/>
                <w:sz w:val="24"/>
                <w:szCs w:val="24"/>
              </w:rPr>
              <w:t>2015-08-04</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以来中美贸易争端不断发酵和去杠杆政策下非标融资大幅收缩成为主导债市走势的两大基本面因素。四季度伊始，央行公布降准一个百分点且对资金投向方面的限制放宽松，大规模投放流动性使得资金面极度宽松，回购利率中枢一度下行至接近八月份的年内最低水平，加之地方债政府专项债发行量减少、经济基本面数据持续弱势，带动债券市场收益率在十月持续下行。进入十一月，在汇率贬值的压力下，央行连续多个交易日暂停公开市场操作，引导短端利率较十月小幅抬升，同业存单发行利率中枢也随之提高，虽然十月底的政治局会议基调相对于七月的政治局会议措辞有所放松，但是十一月公布的信贷和社融数据断崖式下跌、贸易战谈判带动市场情绪波动的影响下，长端利率整体上延续十月的下行趋势。十二月，政治局会议和中央经济工作会议均侧重稳增长，强调逆周期调节，提出稳定总需求，利率债双向波动加大，体现出小幅震荡的格局。</w:t>
      </w:r>
    </w:p>
    <w:p>
      <w:pPr>
        <w:spacing w:before="29" w:line="288" w:lineRule="auto"/>
        <w:ind w:firstLine="480" w:firstLineChars="200"/>
        <w:rPr>
          <w:color w:val="000000"/>
          <w:sz w:val="24"/>
          <w:szCs w:val="24"/>
        </w:rPr>
      </w:pPr>
      <w:r>
        <w:rPr>
          <w:color w:val="000000"/>
          <w:sz w:val="24"/>
          <w:szCs w:val="24"/>
        </w:rPr>
        <w:t>报告期内，基于对经济持续下滑、资金面维持大体宽松、长端利率有下行空间、信用利差主导压缩的判断，本基金在维持债券底仓整体久期的同时，对底仓的结构做出部分调整，提升静态收益率和杠杆套息利差，并择机进行长久期利率债的波段操作。同时，基于对权益和转债市场较为谨慎的看法，控制组合的转债仓位。</w:t>
      </w:r>
    </w:p>
    <w:p>
      <w:pPr>
        <w:spacing w:before="29" w:line="288" w:lineRule="auto"/>
        <w:ind w:firstLine="480" w:firstLineChars="200"/>
        <w:rPr>
          <w:color w:val="000000"/>
          <w:sz w:val="24"/>
          <w:szCs w:val="24"/>
        </w:rPr>
      </w:pPr>
      <w:r>
        <w:rPr>
          <w:color w:val="000000"/>
          <w:sz w:val="24"/>
          <w:szCs w:val="24"/>
        </w:rPr>
        <w:t>展望2019年一季度，我们认为一方面，国内的宏观基本面整体上仍将有利于债券市场，同时期限利差虽有收窄但仍在高位，利率进一步下行或有空间。海外方面，G20会议决定美国对中国商品关税提升暂缓三个月，考虑到中美关税再次提升前“抢出口”效应已经基本透支，且中方答应美方尽快从美国进口大量农产品，2019年一季度的净出口预计会对GDP有一定拖累。但是另一方面，为了应对外需和内需同时回落的压力，国内稳增长的诉求将会提高，或在促进消费、基建补短板、减税降费领域出台更加积极的对冲政策。在地方政府隐性债务的监管和资管新规的大框架下，基建投资资金来源会更多依赖地方政府专项债，从而导致专项债的供给可能会超出预期，对利率债产生一定的挤出效应。综合以上，我们认为后期债券市场的主要机会来自于净出口以及地产投资等方面的下行带来的基本面回落，风险点可能来自超预期的稳增长和托底政策。</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可转债方面，我们认为虽然有长期配置价值，但是可能面临纯债类资产的机会成本等因素，未来预计仍然将维持较低仓位，等待权益类资产的机会。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982,678,602.90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95.46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982,678,602.90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95.46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27,298,879.27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19,393,267.47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1.88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1,029,370,749.64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50,476,577.70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50,476,577.70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378,953,000.00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41.05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40,130,000.00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4.35</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503,248,000.00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54.51</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9,871,025.20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1.07</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982,678,602.90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106.44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426,500</w:t>
            </w:r>
          </w:p>
        </w:tc>
        <w:tc>
          <w:tcPr>
            <w:vAlign w:val="center"/>
          </w:tcPr>
          <w:p>
            <w:pPr>
              <w:jc w:val="right"/>
            </w:pPr>
            <w:r>
              <w:rPr>
                <w:color w:val="000000"/>
                <w:sz w:val="24"/>
                <w:szCs w:val="24"/>
              </w:rPr>
              <w:t>42,837,660.00</w:t>
            </w:r>
          </w:p>
        </w:tc>
        <w:tc>
          <w:tcPr>
            <w:vAlign w:val="center"/>
          </w:tcPr>
          <w:p>
            <w:pPr>
              <w:jc w:val="right"/>
            </w:pPr>
            <w:r>
              <w:rPr>
                <w:color w:val="000000"/>
                <w:sz w:val="24"/>
                <w:szCs w:val="24"/>
              </w:rPr>
              <w:t>4.64</w:t>
            </w:r>
          </w:p>
        </w:tc>
      </w:tr>
      <w:tr>
        <w:tc>
          <w:tcPr>
            <w:vAlign w:val="center"/>
          </w:tcPr>
          <w:p>
            <w:pPr>
              <w:jc w:val="center"/>
            </w:pPr>
            <w:r>
              <w:rPr>
                <w:color w:val="000000"/>
                <w:sz w:val="24"/>
                <w:szCs w:val="24"/>
              </w:rPr>
              <w:t>2</w:t>
            </w:r>
          </w:p>
        </w:tc>
        <w:tc>
          <w:tcPr>
            <w:vAlign w:val="center"/>
          </w:tcPr>
          <w:p>
            <w:pPr>
              <w:jc w:val="center"/>
            </w:pPr>
            <w:r>
              <w:rPr>
                <w:color w:val="000000"/>
                <w:sz w:val="24"/>
                <w:szCs w:val="24"/>
              </w:rPr>
              <w:t>101801218</w:t>
            </w:r>
          </w:p>
        </w:tc>
        <w:tc>
          <w:tcPr>
            <w:vAlign w:val="center"/>
          </w:tcPr>
          <w:p>
            <w:pPr>
              <w:jc w:val="center"/>
            </w:pPr>
            <w:r>
              <w:rPr>
                <w:color w:val="000000"/>
                <w:sz w:val="24"/>
                <w:szCs w:val="24"/>
              </w:rPr>
              <w:t>18中铝集MTN004</w:t>
            </w:r>
          </w:p>
        </w:tc>
        <w:tc>
          <w:tcPr>
            <w:vAlign w:val="center"/>
          </w:tcPr>
          <w:p>
            <w:pPr>
              <w:jc w:val="right"/>
            </w:pPr>
            <w:r>
              <w:rPr>
                <w:color w:val="000000"/>
                <w:sz w:val="24"/>
                <w:szCs w:val="24"/>
              </w:rPr>
              <w:t>400,000</w:t>
            </w:r>
          </w:p>
        </w:tc>
        <w:tc>
          <w:tcPr>
            <w:vAlign w:val="center"/>
          </w:tcPr>
          <w:p>
            <w:pPr>
              <w:jc w:val="right"/>
            </w:pPr>
            <w:r>
              <w:rPr>
                <w:color w:val="000000"/>
                <w:sz w:val="24"/>
                <w:szCs w:val="24"/>
              </w:rPr>
              <w:t>40,264,000.00</w:t>
            </w:r>
          </w:p>
        </w:tc>
        <w:tc>
          <w:tcPr>
            <w:vAlign w:val="center"/>
          </w:tcPr>
          <w:p>
            <w:pPr>
              <w:jc w:val="right"/>
            </w:pPr>
            <w:r>
              <w:rPr>
                <w:color w:val="000000"/>
                <w:sz w:val="24"/>
                <w:szCs w:val="24"/>
              </w:rPr>
              <w:t>4.36</w:t>
            </w:r>
          </w:p>
        </w:tc>
      </w:tr>
      <w:tr>
        <w:tc>
          <w:tcPr>
            <w:vAlign w:val="center"/>
          </w:tcPr>
          <w:p>
            <w:pPr>
              <w:jc w:val="center"/>
            </w:pPr>
            <w:r>
              <w:rPr>
                <w:color w:val="000000"/>
                <w:sz w:val="24"/>
                <w:szCs w:val="24"/>
              </w:rPr>
              <w:t>3</w:t>
            </w:r>
          </w:p>
        </w:tc>
        <w:tc>
          <w:tcPr>
            <w:vAlign w:val="center"/>
          </w:tcPr>
          <w:p>
            <w:pPr>
              <w:jc w:val="center"/>
            </w:pPr>
            <w:r>
              <w:rPr>
                <w:color w:val="000000"/>
                <w:sz w:val="24"/>
                <w:szCs w:val="24"/>
              </w:rPr>
              <w:t>101800188</w:t>
            </w:r>
          </w:p>
        </w:tc>
        <w:tc>
          <w:tcPr>
            <w:vAlign w:val="center"/>
          </w:tcPr>
          <w:p>
            <w:pPr>
              <w:jc w:val="center"/>
            </w:pPr>
            <w:r>
              <w:rPr>
                <w:color w:val="000000"/>
                <w:sz w:val="24"/>
                <w:szCs w:val="24"/>
              </w:rPr>
              <w:t>18黄冈城投MTN001</w:t>
            </w:r>
          </w:p>
        </w:tc>
        <w:tc>
          <w:tcPr>
            <w:vAlign w:val="center"/>
          </w:tcPr>
          <w:p>
            <w:pPr>
              <w:jc w:val="right"/>
            </w:pPr>
            <w:r>
              <w:rPr>
                <w:color w:val="000000"/>
                <w:sz w:val="24"/>
                <w:szCs w:val="24"/>
              </w:rPr>
              <w:t>300,000</w:t>
            </w:r>
          </w:p>
        </w:tc>
        <w:tc>
          <w:tcPr>
            <w:vAlign w:val="center"/>
          </w:tcPr>
          <w:p>
            <w:pPr>
              <w:jc w:val="right"/>
            </w:pPr>
            <w:r>
              <w:rPr>
                <w:color w:val="000000"/>
                <w:sz w:val="24"/>
                <w:szCs w:val="24"/>
              </w:rPr>
              <w:t>31,434,000.00</w:t>
            </w:r>
          </w:p>
        </w:tc>
        <w:tc>
          <w:tcPr>
            <w:vAlign w:val="center"/>
          </w:tcPr>
          <w:p>
            <w:pPr>
              <w:jc w:val="right"/>
            </w:pPr>
            <w:r>
              <w:rPr>
                <w:color w:val="000000"/>
                <w:sz w:val="24"/>
                <w:szCs w:val="24"/>
              </w:rPr>
              <w:t>3.40</w:t>
            </w:r>
          </w:p>
        </w:tc>
      </w:tr>
      <w:tr>
        <w:tc>
          <w:tcPr>
            <w:vAlign w:val="center"/>
          </w:tcPr>
          <w:p>
            <w:pPr>
              <w:jc w:val="center"/>
            </w:pPr>
            <w:r>
              <w:rPr>
                <w:color w:val="000000"/>
                <w:sz w:val="24"/>
                <w:szCs w:val="24"/>
              </w:rPr>
              <w:t>4</w:t>
            </w:r>
          </w:p>
        </w:tc>
        <w:tc>
          <w:tcPr>
            <w:vAlign w:val="center"/>
          </w:tcPr>
          <w:p>
            <w:pPr>
              <w:jc w:val="center"/>
            </w:pPr>
            <w:r>
              <w:rPr>
                <w:color w:val="000000"/>
                <w:sz w:val="24"/>
                <w:szCs w:val="24"/>
              </w:rPr>
              <w:t>101800160</w:t>
            </w:r>
          </w:p>
        </w:tc>
        <w:tc>
          <w:tcPr>
            <w:vAlign w:val="center"/>
          </w:tcPr>
          <w:p>
            <w:pPr>
              <w:jc w:val="center"/>
            </w:pPr>
            <w:r>
              <w:rPr>
                <w:color w:val="000000"/>
                <w:sz w:val="24"/>
                <w:szCs w:val="24"/>
              </w:rPr>
              <w:t>18港兴港投MTN001</w:t>
            </w:r>
          </w:p>
        </w:tc>
        <w:tc>
          <w:tcPr>
            <w:vAlign w:val="center"/>
          </w:tcPr>
          <w:p>
            <w:pPr>
              <w:jc w:val="right"/>
            </w:pPr>
            <w:r>
              <w:rPr>
                <w:color w:val="000000"/>
                <w:sz w:val="24"/>
                <w:szCs w:val="24"/>
              </w:rPr>
              <w:t>300,000</w:t>
            </w:r>
          </w:p>
        </w:tc>
        <w:tc>
          <w:tcPr>
            <w:vAlign w:val="center"/>
          </w:tcPr>
          <w:p>
            <w:pPr>
              <w:jc w:val="right"/>
            </w:pPr>
            <w:r>
              <w:rPr>
                <w:color w:val="000000"/>
                <w:sz w:val="24"/>
                <w:szCs w:val="24"/>
              </w:rPr>
              <w:t>31,170,000.00</w:t>
            </w:r>
          </w:p>
        </w:tc>
        <w:tc>
          <w:tcPr>
            <w:vAlign w:val="center"/>
          </w:tcPr>
          <w:p>
            <w:pPr>
              <w:jc w:val="right"/>
            </w:pPr>
            <w:r>
              <w:rPr>
                <w:color w:val="000000"/>
                <w:sz w:val="24"/>
                <w:szCs w:val="24"/>
              </w:rPr>
              <w:t>3.38</w:t>
            </w:r>
          </w:p>
        </w:tc>
      </w:tr>
      <w:tr>
        <w:tc>
          <w:tcPr>
            <w:vAlign w:val="center"/>
          </w:tcPr>
          <w:p>
            <w:pPr>
              <w:jc w:val="center"/>
            </w:pPr>
            <w:r>
              <w:rPr>
                <w:color w:val="000000"/>
                <w:sz w:val="24"/>
                <w:szCs w:val="24"/>
              </w:rPr>
              <w:t>5</w:t>
            </w:r>
          </w:p>
        </w:tc>
        <w:tc>
          <w:tcPr>
            <w:vAlign w:val="center"/>
          </w:tcPr>
          <w:p>
            <w:pPr>
              <w:jc w:val="center"/>
            </w:pPr>
            <w:r>
              <w:rPr>
                <w:color w:val="000000"/>
                <w:sz w:val="24"/>
                <w:szCs w:val="24"/>
              </w:rPr>
              <w:t>101800933</w:t>
            </w:r>
          </w:p>
        </w:tc>
        <w:tc>
          <w:tcPr>
            <w:vAlign w:val="center"/>
          </w:tcPr>
          <w:p>
            <w:pPr>
              <w:jc w:val="center"/>
            </w:pPr>
            <w:r>
              <w:rPr>
                <w:color w:val="000000"/>
                <w:sz w:val="24"/>
                <w:szCs w:val="24"/>
              </w:rPr>
              <w:t>18武汉地产MTN002</w:t>
            </w:r>
          </w:p>
        </w:tc>
        <w:tc>
          <w:tcPr>
            <w:vAlign w:val="center"/>
          </w:tcPr>
          <w:p>
            <w:pPr>
              <w:jc w:val="right"/>
            </w:pPr>
            <w:r>
              <w:rPr>
                <w:color w:val="000000"/>
                <w:sz w:val="24"/>
                <w:szCs w:val="24"/>
              </w:rPr>
              <w:t>300,000</w:t>
            </w:r>
          </w:p>
        </w:tc>
        <w:tc>
          <w:tcPr>
            <w:vAlign w:val="center"/>
          </w:tcPr>
          <w:p>
            <w:pPr>
              <w:jc w:val="right"/>
            </w:pPr>
            <w:r>
              <w:rPr>
                <w:color w:val="000000"/>
                <w:sz w:val="24"/>
                <w:szCs w:val="24"/>
              </w:rPr>
              <w:t>31,161,000.00</w:t>
            </w:r>
          </w:p>
        </w:tc>
        <w:tc>
          <w:tcPr>
            <w:vAlign w:val="center"/>
          </w:tcPr>
          <w:p>
            <w:pPr>
              <w:jc w:val="right"/>
            </w:pPr>
            <w:r>
              <w:rPr>
                <w:color w:val="000000"/>
                <w:sz w:val="24"/>
                <w:szCs w:val="24"/>
              </w:rPr>
              <w:t>3.38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44,607.56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19,347,720.70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939.21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19,393,267.47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110034</w:t>
            </w:r>
          </w:p>
        </w:tc>
        <w:tc>
          <w:tcPr>
            <w:vAlign w:val="center"/>
          </w:tcPr>
          <w:p>
            <w:pPr>
              <w:jc w:val="center"/>
            </w:pPr>
            <w:r>
              <w:rPr>
                <w:color w:val="000000"/>
                <w:sz w:val="24"/>
                <w:szCs w:val="24"/>
              </w:rPr>
              <w:t>九州转债</w:t>
            </w:r>
          </w:p>
        </w:tc>
        <w:tc>
          <w:tcPr>
            <w:vAlign w:val="center"/>
          </w:tcPr>
          <w:p>
            <w:pPr>
              <w:jc w:val="right"/>
            </w:pPr>
            <w:r>
              <w:rPr>
                <w:color w:val="000000"/>
                <w:sz w:val="24"/>
                <w:szCs w:val="24"/>
              </w:rPr>
              <w:t>3,921,025.20</w:t>
            </w:r>
          </w:p>
        </w:tc>
        <w:tc>
          <w:tcPr>
            <w:vAlign w:val="center"/>
          </w:tcPr>
          <w:p>
            <w:pPr>
              <w:jc w:val="right"/>
            </w:pPr>
            <w:r>
              <w:rPr>
                <w:color w:val="000000"/>
                <w:sz w:val="24"/>
                <w:szCs w:val="24"/>
              </w:rPr>
              <w:t>0.42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pPr>
        <w:spacing w:before="29" w:line="288" w:lineRule="auto"/>
        <w:rPr>
          <w:color w:val="000000"/>
          <w:sz w:val="24"/>
          <w:szCs w:val="24"/>
        </w:rPr>
      </w:pPr>
      <w:r>
        <w:rPr>
          <w:color w:val="000000"/>
          <w:sz w:val="24"/>
          <w:szCs w:val="24"/>
        </w:rPr>
        <w:t>1、本基金本报告期末未持有处于交换期的可交换债券。</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2、由于四舍五入的原因，分项之和与合计项之间可能存在尾差。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316,126,908.09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431,964,320.96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37,501,012.34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710,590,216.71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76,720,948.97</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6,530,708.47</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83,251,657.44</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11.72</w:t>
            </w:r>
          </w:p>
        </w:tc>
      </w:tr>
    </w:tbl>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00"/>
      </w:tblPr>
      <w:tblGrid>
        <w:gridCol w:w="1032"/>
        <w:gridCol w:w="1776"/>
        <w:gridCol w:w="1317"/>
        <w:gridCol w:w="1633"/>
        <w:gridCol w:w="1767"/>
        <w:gridCol w:w="1343"/>
      </w:tblGrid>
      <w:tr w:rsidR="00320300" w:rsidRPr="00414345" w:rsidTr="00627EDE">
        <w:trPr>
          <w:trHeight w:val="340"/>
          <w:jc w:val="center"/>
        </w:trPr>
        <w:tc>
          <w:tcPr>
            <w:tcW w:type="dxa" w:w="1070"/>
            <w:vAlign w:val="center"/>
          </w:tcPr>
          <w:p w:rsidP="00C15CAC" w:rsidR="00320300" w:rsidRDefault="00320300" w:rsidRPr="00414345">
            <w:pPr>
              <w:pStyle w:val="ad"/>
              <w:adjustRightInd w:val="0"/>
              <w:snapToGrid w:val="0"/>
              <w:spacing w:before="29" w:line="288" w:lineRule="auto"/>
              <w:jc w:val="center"/>
              <w:rPr>
                <w:color w:val="000000"/>
                <w:kern w:val="0"/>
              </w:rPr>
            </w:pPr>
            <w:r w:rsidRPr="00414345">
              <w:rPr>
                <w:color w:val="000000"/>
                <w:kern w:val="0"/>
              </w:rPr>
              <w:t>序号</w:t>
            </w:r>
            <w:r w:rsidRPr="00414345">
              <w:rPr>
                <w:color w:val="000000"/>
                <w:kern w:val="0"/>
              </w:rPr>
              <w:t/>
            </w:r>
          </w:p>
        </w:tc>
        <w:tc>
          <w:tcPr>
            <w:tcW w:type="dxa" w:w="1851"/>
            <w:vAlign w:val="center"/>
          </w:tcPr>
          <w:p w:rsidP="00C15CAC" w:rsidR="00320300" w:rsidRDefault="00320300" w:rsidRPr="00414345">
            <w:pPr>
              <w:adjustRightInd w:val="0"/>
              <w:snapToGrid w:val="0"/>
              <w:spacing w:before="29" w:line="288" w:lineRule="auto"/>
              <w:jc w:val="center"/>
              <w:rPr>
                <w:color w:val="000000"/>
                <w:kern w:val="0"/>
                <w:sz w:val="24"/>
              </w:rPr>
            </w:pPr>
            <w:r w:rsidRPr="00414345">
              <w:rPr>
                <w:color w:val="000000"/>
                <w:kern w:val="0"/>
                <w:sz w:val="24"/>
              </w:rPr>
              <w:t>交易方式</w:t>
            </w:r>
          </w:p>
        </w:tc>
        <w:tc>
          <w:tcPr>
            <w:tcW w:type="dxa" w:w="1370"/>
            <w:vAlign w:val="center"/>
          </w:tcPr>
          <w:p w:rsidP="00C15CAC" w:rsidR="00320300" w:rsidRDefault="00320300" w:rsidRPr="00414345">
            <w:pPr>
              <w:adjustRightInd w:val="0"/>
              <w:snapToGrid w:val="0"/>
              <w:spacing w:before="29" w:line="288" w:lineRule="auto"/>
              <w:rPr>
                <w:color w:val="000000"/>
                <w:kern w:val="0"/>
                <w:sz w:val="24"/>
              </w:rPr>
            </w:pPr>
            <w:r w:rsidRPr="00414345">
              <w:rPr>
                <w:color w:val="000000"/>
                <w:kern w:val="0"/>
                <w:sz w:val="24"/>
              </w:rPr>
              <w:t>交易日期</w:t>
            </w:r>
          </w:p>
        </w:tc>
        <w:tc>
          <w:tcPr>
            <w:tcW w:type="dxa" w:w="1701"/>
            <w:vAlign w:val="center"/>
          </w:tcPr>
          <w:p w:rsidP="00C15CAC" w:rsidR="00320300" w:rsidRDefault="00320300" w:rsidRPr="00414345">
            <w:pPr>
              <w:adjustRightInd w:val="0"/>
              <w:snapToGrid w:val="0"/>
              <w:spacing w:before="29" w:line="288" w:lineRule="auto"/>
              <w:jc w:val="center"/>
              <w:rPr>
                <w:color w:val="000000"/>
                <w:kern w:val="0"/>
                <w:sz w:val="24"/>
              </w:rPr>
            </w:pPr>
            <w:r w:rsidRPr="00414345">
              <w:rPr>
                <w:color w:val="000000"/>
                <w:kern w:val="0"/>
                <w:sz w:val="24"/>
              </w:rPr>
              <w:t>交易份额（份）</w:t>
            </w:r>
          </w:p>
        </w:tc>
        <w:tc>
          <w:tcPr>
            <w:tcW w:type="dxa" w:w="1842"/>
            <w:vAlign w:val="center"/>
          </w:tcPr>
          <w:p w:rsidP="00C15CAC" w:rsidR="00320300" w:rsidRDefault="00320300" w:rsidRPr="00414345">
            <w:pPr>
              <w:adjustRightInd w:val="0"/>
              <w:snapToGrid w:val="0"/>
              <w:spacing w:before="29" w:line="288" w:lineRule="auto"/>
              <w:jc w:val="center"/>
              <w:rPr>
                <w:color w:val="000000"/>
                <w:kern w:val="0"/>
                <w:sz w:val="24"/>
              </w:rPr>
            </w:pPr>
            <w:r w:rsidRPr="00414345">
              <w:rPr>
                <w:color w:val="000000"/>
                <w:kern w:val="0"/>
                <w:sz w:val="24"/>
              </w:rPr>
              <w:t>交易金额（元）</w:t>
            </w:r>
          </w:p>
        </w:tc>
        <w:tc>
          <w:tcPr>
            <w:tcW w:type="dxa" w:w="1397"/>
            <w:vAlign w:val="center"/>
          </w:tcPr>
          <w:p w:rsidP="00C15CAC" w:rsidR="00320300" w:rsidRDefault="00320300" w:rsidRPr="00414345">
            <w:pPr>
              <w:adjustRightInd w:val="0"/>
              <w:snapToGrid w:val="0"/>
              <w:spacing w:before="29" w:line="288" w:lineRule="auto"/>
              <w:jc w:val="center"/>
              <w:rPr>
                <w:color w:val="000000"/>
                <w:kern w:val="0"/>
                <w:sz w:val="24"/>
              </w:rPr>
            </w:pPr>
            <w:r w:rsidRPr="00414345">
              <w:rPr>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红利再投</w:t>
            </w:r>
          </w:p>
        </w:tc>
        <w:tc>
          <w:tcPr>
            <w:vAlign w:val="center"/>
          </w:tcPr>
          <w:p>
            <w:pPr>
              <w:jc w:val="center"/>
            </w:pPr>
            <w:r>
              <w:rPr>
                <w:color w:val="000000"/>
                <w:sz w:val="24"/>
              </w:rPr>
              <w:t>2018-10-31</w:t>
            </w:r>
          </w:p>
        </w:tc>
        <w:tc>
          <w:tcPr>
            <w:vAlign w:val="center"/>
          </w:tcPr>
          <w:p>
            <w:pPr>
              <w:jc w:val="right"/>
            </w:pPr>
            <w:r>
              <w:rPr>
                <w:color w:val="000000"/>
                <w:sz w:val="24"/>
              </w:rPr>
              <w:t>3,148,994.17</w:t>
            </w:r>
          </w:p>
        </w:tc>
        <w:tc>
          <w:tcPr>
            <w:vAlign w:val="center"/>
          </w:tcPr>
          <w:p>
            <w:pPr>
              <w:jc w:val="right"/>
            </w:pPr>
            <w:r>
              <w:rPr>
                <w:color w:val="000000"/>
                <w:sz w:val="24"/>
              </w:rPr>
              <w:t>4,219,652.19</w:t>
            </w:r>
          </w:p>
        </w:tc>
        <w:tc>
          <w:tcPr>
            <w:vAlign w:val="center"/>
          </w:tcPr>
          <w:p>
            <w:pPr>
              <w:jc w:val="center"/>
            </w:pPr>
            <w:r>
              <w:rPr>
                <w:color w:val="000000"/>
                <w:sz w:val="24"/>
              </w:rPr>
              <w:t>0.00%</w:t>
            </w:r>
          </w:p>
        </w:tc>
      </w:tr>
      <w:tr>
        <w:tc>
          <w:tcPr>
            <w:vAlign w:val="center"/>
          </w:tcPr>
          <w:p>
            <w:pPr>
              <w:jc w:val="center"/>
            </w:pPr>
            <w:r>
              <w:rPr>
                <w:color w:val="000000"/>
                <w:sz w:val="24"/>
              </w:rPr>
              <w:t>2</w:t>
            </w:r>
          </w:p>
        </w:tc>
        <w:tc>
          <w:tcPr>
            <w:vAlign w:val="center"/>
          </w:tcPr>
          <w:p>
            <w:pPr>
              <w:jc w:val="center"/>
            </w:pPr>
            <w:r>
              <w:rPr>
                <w:color w:val="000000"/>
                <w:sz w:val="24"/>
              </w:rPr>
              <w:t>红利再投</w:t>
            </w:r>
          </w:p>
        </w:tc>
        <w:tc>
          <w:tcPr>
            <w:vAlign w:val="center"/>
          </w:tcPr>
          <w:p>
            <w:pPr>
              <w:jc w:val="center"/>
            </w:pPr>
            <w:r>
              <w:rPr>
                <w:color w:val="000000"/>
                <w:sz w:val="24"/>
              </w:rPr>
              <w:t>2018-12-13</w:t>
            </w:r>
          </w:p>
        </w:tc>
        <w:tc>
          <w:tcPr>
            <w:vAlign w:val="center"/>
          </w:tcPr>
          <w:p>
            <w:pPr>
              <w:jc w:val="right"/>
            </w:pPr>
            <w:r>
              <w:rPr>
                <w:color w:val="000000"/>
                <w:sz w:val="24"/>
              </w:rPr>
              <w:t>3,381,714.30</w:t>
            </w:r>
          </w:p>
        </w:tc>
        <w:tc>
          <w:tcPr>
            <w:vAlign w:val="center"/>
          </w:tcPr>
          <w:p>
            <w:pPr>
              <w:jc w:val="right"/>
            </w:pPr>
            <w:r>
              <w:rPr>
                <w:color w:val="000000"/>
                <w:sz w:val="24"/>
              </w:rPr>
              <w:t>4,392,846.87</w:t>
            </w:r>
          </w:p>
        </w:tc>
        <w:tc>
          <w:tcPr>
            <w:vAlign w:val="center"/>
          </w:tcPr>
          <w:p>
            <w:pPr>
              <w:jc w:val="center"/>
            </w:pPr>
            <w:r>
              <w:rPr>
                <w:color w:val="000000"/>
                <w:sz w:val="24"/>
              </w:rPr>
              <w:t>0.00%</w:t>
            </w:r>
          </w:p>
        </w:tc>
      </w:tr>
      <w:tr w:rsidR="00320300" w:rsidRPr="00414345" w:rsidTr="00627EDE">
        <w:trPr>
          <w:trHeight w:val="340"/>
          <w:jc w:val="center"/>
        </w:trPr>
        <w:tc>
          <w:tcPr>
            <w:tcW w:type="dxa" w:w="1070"/>
            <w:vAlign w:val="center"/>
          </w:tcPr>
          <w:p w:rsidP="00C15CAC" w:rsidR="00320300" w:rsidRDefault="00320300" w:rsidRPr="00414345">
            <w:pPr>
              <w:pStyle w:val="ad"/>
              <w:adjustRightInd w:val="0"/>
              <w:snapToGrid w:val="0"/>
              <w:spacing w:before="29" w:line="288" w:lineRule="auto"/>
              <w:jc w:val="center"/>
              <w:rPr>
                <w:color w:val="000000"/>
                <w:kern w:val="0"/>
              </w:rPr>
            </w:pPr>
            <w:r w:rsidRPr="00414345">
              <w:rPr>
                <w:color w:val="000000"/>
                <w:kern w:val="0"/>
              </w:rPr>
              <w:lastRenderedPageBreak/>
              <w:t>合计</w:t>
            </w:r>
          </w:p>
        </w:tc>
        <w:tc>
          <w:tcPr>
            <w:tcW w:type="dxa" w:w="1851"/>
            <w:vAlign w:val="center"/>
          </w:tcPr>
          <w:p w:rsidP="00C15CAC" w:rsidR="00320300" w:rsidRDefault="00320300" w:rsidRPr="00414345">
            <w:pPr>
              <w:adjustRightInd w:val="0"/>
              <w:snapToGrid w:val="0"/>
              <w:spacing w:before="29" w:line="288" w:lineRule="auto"/>
              <w:jc w:val="right"/>
              <w:rPr>
                <w:color w:val="0000FF"/>
                <w:kern w:val="0"/>
                <w:sz w:val="18"/>
              </w:rPr>
            </w:pPr>
          </w:p>
        </w:tc>
        <w:tc>
          <w:tcPr>
            <w:tcW w:type="dxa" w:w="1370"/>
            <w:vAlign w:val="center"/>
          </w:tcPr>
          <w:p w:rsidP="00C15CAC" w:rsidR="00320300" w:rsidRDefault="00320300" w:rsidRPr="00414345">
            <w:pPr>
              <w:adjustRightInd w:val="0"/>
              <w:snapToGrid w:val="0"/>
              <w:spacing w:before="29" w:line="288" w:lineRule="auto"/>
              <w:jc w:val="right"/>
              <w:rPr>
                <w:color w:val="0000FF"/>
                <w:kern w:val="0"/>
                <w:sz w:val="18"/>
              </w:rPr>
            </w:pPr>
          </w:p>
        </w:tc>
        <w:tc>
          <w:tcPr>
            <w:tcW w:type="dxa" w:w="1701"/>
            <w:vAlign w:val="center"/>
          </w:tcPr>
          <w:p w:rsidP="00C15CAC" w:rsidR="00320300" w:rsidRDefault="00320300" w:rsidRPr="00414345">
            <w:pPr>
              <w:adjustRightInd w:val="0"/>
              <w:snapToGrid w:val="0"/>
              <w:spacing w:before="29" w:line="288" w:lineRule="auto"/>
              <w:jc w:val="right"/>
              <w:rPr>
                <w:color w:val="000000"/>
                <w:sz w:val="24"/>
              </w:rPr>
            </w:pPr>
            <w:r w:rsidRPr="00414345">
              <w:rPr>
                <w:color w:val="000000"/>
                <w:sz w:val="24"/>
              </w:rPr>
              <w:t>6,530,708.47</w:t>
            </w:r>
          </w:p>
        </w:tc>
        <w:tc>
          <w:tcPr>
            <w:tcW w:type="dxa" w:w="1842"/>
            <w:vAlign w:val="center"/>
          </w:tcPr>
          <w:p w:rsidP="00C15CAC" w:rsidR="00320300" w:rsidRDefault="00320300" w:rsidRPr="00414345">
            <w:pPr>
              <w:adjustRightInd w:val="0"/>
              <w:snapToGrid w:val="0"/>
              <w:spacing w:before="29" w:line="288" w:lineRule="auto"/>
              <w:jc w:val="right"/>
              <w:rPr>
                <w:color w:val="000000"/>
                <w:sz w:val="24"/>
              </w:rPr>
            </w:pPr>
            <w:r w:rsidRPr="00414345">
              <w:rPr>
                <w:color w:val="000000"/>
                <w:sz w:val="24"/>
              </w:rPr>
              <w:t>8,612,499.06</w:t>
            </w:r>
          </w:p>
        </w:tc>
        <w:tc>
          <w:tcPr>
            <w:tcW w:type="dxa" w:w="1397"/>
            <w:vAlign w:val="center"/>
          </w:tcPr>
          <w:p w:rsidP="00C15CAC" w:rsidR="00320300" w:rsidRDefault="00320300" w:rsidRPr="00414345">
            <w:pPr>
              <w:adjustRightInd w:val="0"/>
              <w:snapToGrid w:val="0"/>
              <w:spacing w:before="29" w:line="288" w:lineRule="auto"/>
              <w:jc w:val="right"/>
              <w:rPr>
                <w:color w:val="0000FF"/>
                <w:kern w:val="0"/>
                <w:sz w:val="18"/>
              </w:rPr>
            </w:pPr>
          </w:p>
        </w:tc>
      </w:tr>
    </w:tbl>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209,035,517.80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209,035,517.80</w:t>
            </w:r>
          </w:p>
        </w:tc>
        <w:tc>
          <w:tcPr>
            <w:vAlign w:val="center"/>
          </w:tcPr>
          <w:p>
            <w:pPr>
              <w:jc w:val="center"/>
            </w:pPr>
            <w:r>
              <w:rPr>
                <w:rFonts w:ascii="宋体" w:hAnsi="宋体"/>
                <w:color w:val="000000"/>
                <w:kern w:val="0"/>
              </w:rPr>
              <w:t>29.42%</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69,467,184.49</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69,467,184.49</w:t>
            </w:r>
          </w:p>
        </w:tc>
        <w:tc>
          <w:tcPr>
            <w:vAlign w:val="center"/>
          </w:tcPr>
          <w:p>
            <w:pPr>
              <w:jc w:val="center"/>
            </w:pPr>
            <w:r>
              <w:rPr>
                <w:rFonts w:ascii="宋体" w:hAnsi="宋体"/>
                <w:color w:val="000000"/>
                <w:kern w:val="0"/>
              </w:rPr>
              <w:t>9.78%</w:t>
            </w:r>
          </w:p>
        </w:tc>
      </w:tr>
      <w:tr>
        <w:tc>
          <w:tcPr>
            <w:vMerge/>
          </w:tcPr>
          <w:p/>
        </w:tc>
        <w:tc>
          <w:tcPr>
            <w:vAlign w:val="center"/>
          </w:tcPr>
          <w:p>
            <w:pPr>
              <w:jc w:val="center"/>
            </w:pPr>
            <w:r>
              <w:rPr>
                <w:rFonts w:ascii="宋体" w:hAnsi="宋体"/>
                <w:color w:val="000000"/>
                <w:kern w:val="0"/>
              </w:rPr>
              <w:t>3</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69,443,055.56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69,443,055.56</w:t>
            </w:r>
          </w:p>
        </w:tc>
        <w:tc>
          <w:tcPr>
            <w:vAlign w:val="center"/>
          </w:tcPr>
          <w:p>
            <w:pPr>
              <w:jc w:val="center"/>
            </w:pPr>
            <w:r>
              <w:rPr>
                <w:rFonts w:ascii="宋体" w:hAnsi="宋体"/>
                <w:color w:val="000000"/>
                <w:kern w:val="0"/>
              </w:rPr>
              <w:t>9.77%</w:t>
            </w:r>
          </w:p>
        </w:tc>
      </w:tr>
      <w:tr>
        <w:tc>
          <w:tcPr>
            <w:vMerge/>
          </w:tcPr>
          <w:p/>
        </w:tc>
        <w:tc>
          <w:tcPr>
            <w:vAlign w:val="center"/>
          </w:tcPr>
          <w:p>
            <w:pPr>
              <w:jc w:val="center"/>
            </w:pPr>
            <w:r>
              <w:rPr>
                <w:rFonts w:ascii="宋体" w:hAnsi="宋体"/>
                <w:color w:val="000000"/>
                <w:kern w:val="0"/>
              </w:rPr>
              <w:t>4</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76,720,948.97</w:t>
            </w:r>
          </w:p>
        </w:tc>
        <w:tc>
          <w:tcPr>
            <w:vAlign w:val="center"/>
          </w:tcPr>
          <w:p>
            <w:pPr>
              <w:jc w:val="center"/>
            </w:pPr>
            <w:r>
              <w:rPr>
                <w:rFonts w:ascii="宋体" w:hAnsi="宋体"/>
                <w:color w:val="000000"/>
                <w:kern w:val="0"/>
              </w:rPr>
              <w:t>6,530,708.47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83,251,657.44</w:t>
            </w:r>
          </w:p>
        </w:tc>
        <w:tc>
          <w:tcPr>
            <w:vAlign w:val="center"/>
          </w:tcPr>
          <w:p>
            <w:pPr>
              <w:jc w:val="center"/>
            </w:pPr>
            <w:r>
              <w:rPr>
                <w:rFonts w:ascii="宋体" w:hAnsi="宋体"/>
                <w:color w:val="000000"/>
                <w:kern w:val="0"/>
              </w:rPr>
              <w:t>11.72%</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1、中国证监会核准交银施罗德信用添利债券证券投资基金募集的文件； </w:t>
      </w:r>
    </w:p>
    <w:p>
      <w:pPr>
        <w:spacing w:before="29" w:line="288" w:lineRule="auto"/>
        <w:ind w:firstLine="480" w:firstLineChars="200"/>
        <w:rPr>
          <w:color w:val="000000"/>
          <w:sz w:val="24"/>
          <w:szCs w:val="24"/>
        </w:rPr>
      </w:pPr>
      <w:r>
        <w:rPr>
          <w:color w:val="000000"/>
          <w:sz w:val="24"/>
          <w:szCs w:val="24"/>
        </w:rPr>
        <w:t>2、《交银施罗德信用添利债券证券投资基金基金合同》；</w:t>
      </w:r>
    </w:p>
    <w:p>
      <w:pPr>
        <w:spacing w:before="29" w:line="288" w:lineRule="auto"/>
        <w:ind w:firstLine="480" w:firstLineChars="200"/>
        <w:rPr>
          <w:color w:val="000000"/>
          <w:sz w:val="24"/>
          <w:szCs w:val="24"/>
        </w:rPr>
      </w:pPr>
      <w:r>
        <w:rPr>
          <w:color w:val="000000"/>
          <w:sz w:val="24"/>
          <w:szCs w:val="24"/>
        </w:rPr>
        <w:t xml:space="preserve">3、《交银施罗德信用添利债券证券投资基金招募说明书》； </w:t>
      </w:r>
    </w:p>
    <w:p>
      <w:pPr>
        <w:spacing w:before="29" w:line="288" w:lineRule="auto"/>
        <w:ind w:firstLine="480" w:firstLineChars="200"/>
        <w:rPr>
          <w:color w:val="000000"/>
          <w:sz w:val="24"/>
          <w:szCs w:val="24"/>
        </w:rPr>
      </w:pPr>
      <w:r>
        <w:rPr>
          <w:color w:val="000000"/>
          <w:sz w:val="24"/>
          <w:szCs w:val="24"/>
        </w:rPr>
        <w:t xml:space="preserve">4、《交银施罗德信用添利债券证券投资基金托管协议》；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7、关于申请募集交银施罗德信用添利债券证券投资基金之法律意见书；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8、报告期内交银施罗德信用添利债券证券投资基金在指定报刊上各项公告的原稿。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交银施罗德信用添利债券证券投资基金（LOF）2018年第4季度报告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