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交银施罗德环球精选价值证券投资基金</w:t>
      </w:r>
    </w:p>
    <w:p w:rsidP="005546C0" w:rsidR="00F22F00" w:rsidRDefault="00F22F00" w:rsidRPr="006A23FB">
      <w:pPr>
        <w:spacing w:before="29" w:line="288" w:lineRule="auto"/>
        <w:jc w:val="center"/>
        <w:rPr>
          <w:b/>
          <w:sz w:val="36"/>
          <w:szCs w:val="36"/>
        </w:rPr>
      </w:pPr>
      <w:r w:rsidRPr="006A23FB">
        <w:rPr>
          <w:b/>
          <w:sz w:val="36"/>
          <w:szCs w:val="36"/>
        </w:rPr>
        <w:t>2018年第4季度报告</w:t>
      </w:r>
    </w:p>
    <w:p w:rsidP="005546C0" w:rsidR="00397616" w:rsidRDefault="00623556" w:rsidRPr="006A23FB">
      <w:pPr>
        <w:spacing w:before="29" w:line="288" w:lineRule="auto"/>
        <w:jc w:val="center"/>
        <w:rPr>
          <w:b/>
          <w:sz w:val="36"/>
          <w:szCs w:val="36"/>
        </w:rPr>
      </w:pPr>
      <w:r w:rsidRPr="006A23FB">
        <w:rPr>
          <w:b/>
          <w:sz w:val="36"/>
          <w:szCs w:val="36"/>
        </w:rPr>
        <w:t>2018年12月31日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二〇一九年一月二十一日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Lines="100"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本报告期自2018年10月1日起至12月31日止。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交银环球精选混合(QDII)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2008年8月22日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62,907,239.77</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70%×标准普尔全球大中盘指数(S&amp;P Global LargeMidCap Index)+30%×恒生指数</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(2018年10月1日-2018年12月31日)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-528,225.94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-13,256,068.62</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-0.2105</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108,535,328.77</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1.725</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-10.81%</w:t>
            </w:r>
          </w:p>
        </w:tc>
        <w:tc>
          <w:tcPr>
            <w:vAlign w:val="center"/>
          </w:tcPr>
          <w:p>
            <w:pPr>
              <w:jc w:val="right"/>
            </w:pPr>
            <w:r>
              <w:rPr>
                <w:color w:val="000000"/>
                <w:sz w:val="24"/>
              </w:rPr>
              <w:t>1.11%</w:t>
            </w:r>
          </w:p>
        </w:tc>
        <w:tc>
          <w:tcPr>
            <w:vAlign w:val="center"/>
          </w:tcPr>
          <w:p>
            <w:pPr>
              <w:jc w:val="right"/>
            </w:pPr>
            <w:r>
              <w:rPr>
                <w:color w:val="000000"/>
                <w:sz w:val="24"/>
              </w:rPr>
              <w:t>-11.10%</w:t>
            </w:r>
          </w:p>
        </w:tc>
        <w:tc>
          <w:tcPr>
            <w:vAlign w:val="center"/>
          </w:tcPr>
          <w:p>
            <w:pPr>
              <w:jc w:val="right"/>
            </w:pPr>
            <w:r>
              <w:rPr>
                <w:color w:val="000000"/>
                <w:sz w:val="24"/>
              </w:rPr>
              <w:t>1.09%</w:t>
            </w:r>
          </w:p>
        </w:tc>
        <w:tc>
          <w:tcPr>
            <w:vAlign w:val="center"/>
          </w:tcPr>
          <w:p>
            <w:pPr>
              <w:jc w:val="right"/>
            </w:pPr>
            <w:r>
              <w:rPr>
                <w:color w:val="000000"/>
                <w:sz w:val="24"/>
              </w:rPr>
              <w:t>0.29%</w:t>
            </w:r>
          </w:p>
        </w:tc>
        <w:tc>
          <w:tcPr>
            <w:vAlign w:val="center"/>
          </w:tcPr>
          <w:p>
            <w:pPr>
              <w:jc w:val="right"/>
            </w:pPr>
            <w:r>
              <w:rPr>
                <w:color w:val="000000"/>
                <w:sz w:val="24"/>
              </w:rPr>
              <w:t>0.02%</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交银施罗德环球精选价值证券投资基金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2008年8月22日</w:t>
      </w:r>
      <w:r w:rsidRPr="008640AE">
        <w:rPr>
          <w:color w:val="000000"/>
          <w:kern w:val="0"/>
          <w:sz w:val="24"/>
        </w:rPr>
        <w:t>至</w:t>
      </w:r>
      <w:r w:rsidRPr="008640AE">
        <w:rPr>
          <w:color w:val="000000"/>
          <w:kern w:val="0"/>
          <w:sz w:val="24"/>
        </w:rPr>
        <w:t>2018年12月31日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交银环球精选混合(QDII)、交银全球资源混合(QDII)、交银沪港深价值精选混合的基金经理，公司跨境投资副总监</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19年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2018年四季度，港股和海外市场，都经历了2018年最大的一次波动，港股更是经历了较大规模的资金流入和流出。港股和美股的调整幅度都超出了我们之前的预期，尤其美股的大幅回调、原油价格快速回落，引发资金撤出新兴市场。国内经济环境方面，尽管政策持续向好：中央召开民营企业家代表坐谈，给予民营经济以充分的支持；召开进口博览会，中央亦再次阐明自上而下的鼓励创新、加大开放的发展方向等。但受到短期海外市场的悲观预期影响，投资者对于2019年的全球经济前景信心明显不足，避险情绪持续攀升。</w:t>
      </w:r>
    </w:p>
    <w:p>
      <w:pPr>
        <w:spacing w:before="29" w:line="288" w:lineRule="auto"/>
        <w:ind w:firstLine="480" w:firstLineChars="200"/>
        <w:rPr>
          <w:color w:val="000000"/>
          <w:sz w:val="24"/>
        </w:rPr>
      </w:pPr>
      <w:r>
        <w:rPr>
          <w:color w:val="000000"/>
          <w:sz w:val="24"/>
        </w:rPr>
        <w:t>四季度，我们小幅降低了仓位，对于非港股市场，投资集中于行业龙头个股，行业分布更趋多元化。港股方面，我们调整到防御性品种和板块：公用事业和高分红个股。整体操作起到了正面作用，但仍未完全抵御市场下跌。</w:t>
      </w:r>
    </w:p>
    <w:p w:rsidP="005546C0" w:rsidR="00B0116D" w:rsidRDefault="00B0116D" w:rsidRPr="008640AE">
      <w:pPr>
        <w:spacing w:before="29" w:line="288" w:lineRule="auto"/>
        <w:ind w:firstLine="480" w:firstLineChars="200"/>
        <w:rPr>
          <w:color w:val="000000"/>
          <w:sz w:val="24"/>
        </w:rPr>
      </w:pPr>
      <w:r w:rsidRPr="008640AE">
        <w:rPr>
          <w:color w:val="000000"/>
          <w:sz w:val="24"/>
        </w:rPr>
        <w:t>展望2019年一季度，我们保持谨慎乐观。结构性机会有望较2018年增多，经济仍有不确定性，但行业资源聚焦龙头的趋势在加速，我们将一如既往坚持自下而上的选股策略。在资金流动性方面，我们认为流动性比2018有边际改善，不会更加收缩。我们将密切关注美联储加息进程和预期指引。此外，我们关注加息、减税对于美国上市企业盈利的持续影响作用。在业绩方面，我们仍看好中国经济、尤其制造业韧性。我们密切关注2018年年报的情况，上市公司估值已经调整较多，估计已反映悲观预期，业绩的颁布有望修正投资者对于经济的预期。落实到行业层面，我们仍然聚焦于制造业的行业龙头和消费升级相关个股。我们将勤勉挖掘个股，努力为投资人赚取回报。</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 主要财务指标” 及“3.2.1本报告期基金份额净值增长率及其与同期业绩比较基准收益率的比较”部分披露。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type="dxa" w:w="1559"/>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91,423,894.33</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83.16</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90,174,028.60</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82.02</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1,249,865.73</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1.14</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18,195,744.60</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16.55</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lastRenderedPageBreak/>
              <w:t>其他</w:t>
            </w:r>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
            </w:r>
            <w:r w:rsidRPr="008640AE">
              <w:rPr>
                <w:color w:val="000000"/>
                <w:sz w:val="24"/>
              </w:rPr>
              <w:lastRenderedPageBreak/>
              <w:t>322,343.06</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lastRenderedPageBreak/>
              <w:t/>
            </w:r>
            <w:r w:rsidRPr="008640AE">
              <w:rPr>
                <w:color w:val="000000"/>
                <w:sz w:val="24"/>
              </w:rPr>
              <w:lastRenderedPageBreak/>
              <w:t>0.29</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109,941,981.99</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type="dxa" w:w="8868"/>
        <w:jc w:val="center"/>
        <w:tblLayout w:type="fixed"/>
        <w:tblCellMar>
          <w:top w:type="dxa" w:w="57"/>
          <w:bottom w:type="dxa" w:w="57"/>
        </w:tblCellMar>
        <w:tblLook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54,331,346.83</w:t>
            </w:r>
          </w:p>
        </w:tc>
        <w:tc>
          <w:tcPr>
            <w:vAlign w:val="center"/>
          </w:tcPr>
          <w:p>
            <w:pPr>
              <w:jc w:val="right"/>
            </w:pPr>
            <w:r>
              <w:rPr>
                <w:color w:val="000000"/>
                <w:sz w:val="24"/>
              </w:rPr>
              <w:t>50.06</w:t>
            </w:r>
          </w:p>
        </w:tc>
      </w:tr>
      <w:tr>
        <w:tc>
          <w:tcPr>
            <w:vAlign w:val="center"/>
          </w:tcPr>
          <w:p>
            <w:pPr>
              <w:jc w:val="left"/>
            </w:pPr>
            <w:r>
              <w:rPr>
                <w:color w:val="000000"/>
                <w:sz w:val="24"/>
              </w:rPr>
              <w:t>香港</w:t>
            </w:r>
          </w:p>
        </w:tc>
        <w:tc>
          <w:tcPr>
            <w:vAlign w:val="center"/>
          </w:tcPr>
          <w:p>
            <w:pPr>
              <w:jc w:val="right"/>
            </w:pPr>
            <w:r>
              <w:rPr>
                <w:color w:val="000000"/>
                <w:sz w:val="24"/>
              </w:rPr>
              <w:t>15,007,885.62</w:t>
            </w:r>
          </w:p>
        </w:tc>
        <w:tc>
          <w:tcPr>
            <w:vAlign w:val="center"/>
          </w:tcPr>
          <w:p>
            <w:pPr>
              <w:jc w:val="right"/>
            </w:pPr>
            <w:r>
              <w:rPr>
                <w:color w:val="000000"/>
                <w:sz w:val="24"/>
              </w:rPr>
              <w:t>13.83</w:t>
            </w:r>
          </w:p>
        </w:tc>
      </w:tr>
      <w:tr>
        <w:tc>
          <w:tcPr>
            <w:vAlign w:val="center"/>
          </w:tcPr>
          <w:p>
            <w:pPr>
              <w:jc w:val="left"/>
            </w:pPr>
            <w:r>
              <w:rPr>
                <w:color w:val="000000"/>
                <w:sz w:val="24"/>
              </w:rPr>
              <w:t>瑞士</w:t>
            </w:r>
          </w:p>
        </w:tc>
        <w:tc>
          <w:tcPr>
            <w:vAlign w:val="center"/>
          </w:tcPr>
          <w:p>
            <w:pPr>
              <w:jc w:val="right"/>
            </w:pPr>
            <w:r>
              <w:rPr>
                <w:color w:val="000000"/>
                <w:sz w:val="24"/>
              </w:rPr>
              <w:t>5,008,031.19</w:t>
            </w:r>
          </w:p>
        </w:tc>
        <w:tc>
          <w:tcPr>
            <w:vAlign w:val="center"/>
          </w:tcPr>
          <w:p>
            <w:pPr>
              <w:jc w:val="right"/>
            </w:pPr>
            <w:r>
              <w:rPr>
                <w:color w:val="000000"/>
                <w:sz w:val="24"/>
              </w:rPr>
              <w:t>4.61</w:t>
            </w:r>
          </w:p>
        </w:tc>
      </w:tr>
      <w:tr>
        <w:tc>
          <w:tcPr>
            <w:vAlign w:val="center"/>
          </w:tcPr>
          <w:p>
            <w:pPr>
              <w:jc w:val="left"/>
            </w:pPr>
            <w:r>
              <w:rPr>
                <w:color w:val="000000"/>
                <w:sz w:val="24"/>
              </w:rPr>
              <w:t>日本</w:t>
            </w:r>
          </w:p>
        </w:tc>
        <w:tc>
          <w:tcPr>
            <w:vAlign w:val="center"/>
          </w:tcPr>
          <w:p>
            <w:pPr>
              <w:jc w:val="right"/>
            </w:pPr>
            <w:r>
              <w:rPr>
                <w:color w:val="000000"/>
                <w:sz w:val="24"/>
              </w:rPr>
              <w:t>4,099,100.32</w:t>
            </w:r>
          </w:p>
        </w:tc>
        <w:tc>
          <w:tcPr>
            <w:vAlign w:val="center"/>
          </w:tcPr>
          <w:p>
            <w:pPr>
              <w:jc w:val="right"/>
            </w:pPr>
            <w:r>
              <w:rPr>
                <w:color w:val="000000"/>
                <w:sz w:val="24"/>
              </w:rPr>
              <w:t>3.78</w:t>
            </w:r>
          </w:p>
        </w:tc>
      </w:tr>
      <w:tr>
        <w:tc>
          <w:tcPr>
            <w:vAlign w:val="center"/>
          </w:tcPr>
          <w:p>
            <w:pPr>
              <w:jc w:val="left"/>
            </w:pPr>
            <w:r>
              <w:rPr>
                <w:color w:val="000000"/>
                <w:sz w:val="24"/>
              </w:rPr>
              <w:t>法国</w:t>
            </w:r>
          </w:p>
        </w:tc>
        <w:tc>
          <w:tcPr>
            <w:vAlign w:val="center"/>
          </w:tcPr>
          <w:p>
            <w:pPr>
              <w:jc w:val="right"/>
            </w:pPr>
            <w:r>
              <w:rPr>
                <w:color w:val="000000"/>
                <w:sz w:val="24"/>
              </w:rPr>
              <w:t>4,003,731.45</w:t>
            </w:r>
          </w:p>
        </w:tc>
        <w:tc>
          <w:tcPr>
            <w:vAlign w:val="center"/>
          </w:tcPr>
          <w:p>
            <w:pPr>
              <w:jc w:val="right"/>
            </w:pPr>
            <w:r>
              <w:rPr>
                <w:color w:val="000000"/>
                <w:sz w:val="24"/>
              </w:rPr>
              <w:t>3.69</w:t>
            </w:r>
          </w:p>
        </w:tc>
      </w:tr>
      <w:tr>
        <w:tc>
          <w:tcPr>
            <w:vAlign w:val="center"/>
          </w:tcPr>
          <w:p>
            <w:pPr>
              <w:jc w:val="left"/>
            </w:pPr>
            <w:r>
              <w:rPr>
                <w:color w:val="000000"/>
                <w:sz w:val="24"/>
              </w:rPr>
              <w:t>加拿大</w:t>
            </w:r>
          </w:p>
        </w:tc>
        <w:tc>
          <w:tcPr>
            <w:vAlign w:val="center"/>
          </w:tcPr>
          <w:p>
            <w:pPr>
              <w:jc w:val="right"/>
            </w:pPr>
            <w:r>
              <w:rPr>
                <w:color w:val="000000"/>
                <w:sz w:val="24"/>
              </w:rPr>
              <w:t>3,172,501.89</w:t>
            </w:r>
          </w:p>
        </w:tc>
        <w:tc>
          <w:tcPr>
            <w:vAlign w:val="center"/>
          </w:tcPr>
          <w:p>
            <w:pPr>
              <w:jc w:val="right"/>
            </w:pPr>
            <w:r>
              <w:rPr>
                <w:color w:val="000000"/>
                <w:sz w:val="24"/>
              </w:rPr>
              <w:t>2.92</w:t>
            </w:r>
          </w:p>
        </w:tc>
      </w:tr>
      <w:tr>
        <w:tc>
          <w:tcPr>
            <w:vAlign w:val="center"/>
          </w:tcPr>
          <w:p>
            <w:pPr>
              <w:jc w:val="left"/>
            </w:pPr>
            <w:r>
              <w:rPr>
                <w:color w:val="000000"/>
                <w:sz w:val="24"/>
              </w:rPr>
              <w:t>英国</w:t>
            </w:r>
          </w:p>
        </w:tc>
        <w:tc>
          <w:tcPr>
            <w:vAlign w:val="center"/>
          </w:tcPr>
          <w:p>
            <w:pPr>
              <w:jc w:val="right"/>
            </w:pPr>
            <w:r>
              <w:rPr>
                <w:color w:val="000000"/>
                <w:sz w:val="24"/>
              </w:rPr>
              <w:t>1,770,438.84</w:t>
            </w:r>
          </w:p>
        </w:tc>
        <w:tc>
          <w:tcPr>
            <w:vAlign w:val="center"/>
          </w:tcPr>
          <w:p>
            <w:pPr>
              <w:jc w:val="right"/>
            </w:pPr>
            <w:r>
              <w:rPr>
                <w:color w:val="000000"/>
                <w:sz w:val="24"/>
              </w:rPr>
              <w:t>1.63</w:t>
            </w:r>
          </w:p>
        </w:tc>
      </w:tr>
      <w:tr>
        <w:tc>
          <w:tcPr>
            <w:vAlign w:val="center"/>
          </w:tcPr>
          <w:p>
            <w:pPr>
              <w:jc w:val="left"/>
            </w:pPr>
            <w:r>
              <w:rPr>
                <w:color w:val="000000"/>
                <w:sz w:val="24"/>
              </w:rPr>
              <w:t>德国</w:t>
            </w:r>
          </w:p>
        </w:tc>
        <w:tc>
          <w:tcPr>
            <w:vAlign w:val="center"/>
          </w:tcPr>
          <w:p>
            <w:pPr>
              <w:jc w:val="right"/>
            </w:pPr>
            <w:r>
              <w:rPr>
                <w:color w:val="000000"/>
                <w:sz w:val="24"/>
              </w:rPr>
              <w:t>1,493,790.14</w:t>
            </w:r>
          </w:p>
        </w:tc>
        <w:tc>
          <w:tcPr>
            <w:vAlign w:val="center"/>
          </w:tcPr>
          <w:p>
            <w:pPr>
              <w:jc w:val="right"/>
            </w:pPr>
            <w:r>
              <w:rPr>
                <w:color w:val="000000"/>
                <w:sz w:val="24"/>
              </w:rPr>
              <w:t>1.38</w:t>
            </w:r>
          </w:p>
        </w:tc>
      </w:tr>
      <w:tr>
        <w:tc>
          <w:tcPr>
            <w:vAlign w:val="center"/>
          </w:tcPr>
          <w:p>
            <w:pPr>
              <w:jc w:val="left"/>
            </w:pPr>
            <w:r>
              <w:rPr>
                <w:color w:val="000000"/>
                <w:sz w:val="24"/>
              </w:rPr>
              <w:t>澳大利亚</w:t>
            </w:r>
          </w:p>
        </w:tc>
        <w:tc>
          <w:tcPr>
            <w:vAlign w:val="center"/>
          </w:tcPr>
          <w:p>
            <w:pPr>
              <w:jc w:val="right"/>
            </w:pPr>
            <w:r>
              <w:rPr>
                <w:color w:val="000000"/>
                <w:sz w:val="24"/>
              </w:rPr>
              <w:t>899,869.37</w:t>
            </w:r>
          </w:p>
        </w:tc>
        <w:tc>
          <w:tcPr>
            <w:vAlign w:val="center"/>
          </w:tcPr>
          <w:p>
            <w:pPr>
              <w:jc w:val="right"/>
            </w:pPr>
            <w:r>
              <w:rPr>
                <w:color w:val="000000"/>
                <w:sz w:val="24"/>
              </w:rPr>
              <w:t>0.83</w:t>
            </w:r>
          </w:p>
        </w:tc>
      </w:tr>
      <w:tr>
        <w:tc>
          <w:tcPr>
            <w:vAlign w:val="center"/>
          </w:tcPr>
          <w:p>
            <w:pPr>
              <w:jc w:val="left"/>
            </w:pPr>
            <w:r>
              <w:rPr>
                <w:color w:val="000000"/>
                <w:sz w:val="24"/>
              </w:rPr>
              <w:t>荷兰</w:t>
            </w:r>
          </w:p>
        </w:tc>
        <w:tc>
          <w:tcPr>
            <w:vAlign w:val="center"/>
          </w:tcPr>
          <w:p>
            <w:pPr>
              <w:jc w:val="right"/>
            </w:pPr>
            <w:r>
              <w:rPr>
                <w:color w:val="000000"/>
                <w:sz w:val="24"/>
              </w:rPr>
              <w:t>868,612.06</w:t>
            </w:r>
          </w:p>
        </w:tc>
        <w:tc>
          <w:tcPr>
            <w:vAlign w:val="center"/>
          </w:tcPr>
          <w:p>
            <w:pPr>
              <w:jc w:val="right"/>
            </w:pPr>
            <w:r>
              <w:rPr>
                <w:color w:val="000000"/>
                <w:sz w:val="24"/>
              </w:rPr>
              <w:t>0.80</w:t>
            </w:r>
          </w:p>
        </w:tc>
      </w:tr>
      <w:tr>
        <w:tc>
          <w:tcPr>
            <w:vAlign w:val="center"/>
          </w:tcPr>
          <w:p>
            <w:pPr>
              <w:jc w:val="left"/>
            </w:pPr>
            <w:r>
              <w:rPr>
                <w:color w:val="000000"/>
                <w:sz w:val="24"/>
              </w:rPr>
              <w:t>巴西</w:t>
            </w:r>
          </w:p>
        </w:tc>
        <w:tc>
          <w:tcPr>
            <w:vAlign w:val="center"/>
          </w:tcPr>
          <w:p>
            <w:pPr>
              <w:jc w:val="right"/>
            </w:pPr>
            <w:r>
              <w:rPr>
                <w:color w:val="000000"/>
                <w:sz w:val="24"/>
              </w:rPr>
              <w:t>768,586.62</w:t>
            </w:r>
          </w:p>
        </w:tc>
        <w:tc>
          <w:tcPr>
            <w:vAlign w:val="center"/>
          </w:tcPr>
          <w:p>
            <w:pPr>
              <w:jc w:val="right"/>
            </w:pPr>
            <w:r>
              <w:rPr>
                <w:color w:val="000000"/>
                <w:sz w:val="24"/>
              </w:rPr>
              <w:t>0.71</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91,423,894.33</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84.23</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type="dxa" w:w="8868"/>
        <w:jc w:val="center"/>
        <w:tblLayout w:type="fixed"/>
        <w:tblCellMar>
          <w:top w:type="dxa" w:w="57"/>
          <w:bottom w:type="dxa" w:w="57"/>
        </w:tblCellMar>
        <w:tblLook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保健</w:t>
            </w:r>
          </w:p>
        </w:tc>
        <w:tc>
          <w:tcPr>
            <w:vAlign w:val="center"/>
          </w:tcPr>
          <w:p>
            <w:pPr>
              <w:jc w:val="right"/>
            </w:pPr>
            <w:r>
              <w:rPr>
                <w:color w:val="000000"/>
                <w:sz w:val="24"/>
              </w:rPr>
              <w:t>15,443,615.86</w:t>
            </w:r>
          </w:p>
        </w:tc>
        <w:tc>
          <w:tcPr>
            <w:vAlign w:val="center"/>
          </w:tcPr>
          <w:p>
            <w:pPr>
              <w:jc w:val="right"/>
            </w:pPr>
            <w:r>
              <w:rPr>
                <w:color w:val="000000"/>
                <w:sz w:val="24"/>
              </w:rPr>
              <w:t>14.23</w:t>
            </w:r>
          </w:p>
        </w:tc>
      </w:tr>
      <w:tr>
        <w:tc>
          <w:tcPr>
            <w:vAlign w:val="center"/>
          </w:tcPr>
          <w:p>
            <w:pPr>
              <w:jc w:val="left"/>
            </w:pPr>
            <w:r>
              <w:rPr>
                <w:color w:val="000000"/>
                <w:sz w:val="24"/>
              </w:rPr>
              <w:t>金融</w:t>
            </w:r>
          </w:p>
        </w:tc>
        <w:tc>
          <w:tcPr>
            <w:vAlign w:val="center"/>
          </w:tcPr>
          <w:p>
            <w:pPr>
              <w:jc w:val="right"/>
            </w:pPr>
            <w:r>
              <w:rPr>
                <w:color w:val="000000"/>
                <w:sz w:val="24"/>
              </w:rPr>
              <w:t>12,786,315.95</w:t>
            </w:r>
          </w:p>
        </w:tc>
        <w:tc>
          <w:tcPr>
            <w:vAlign w:val="center"/>
          </w:tcPr>
          <w:p>
            <w:pPr>
              <w:jc w:val="right"/>
            </w:pPr>
            <w:r>
              <w:rPr>
                <w:color w:val="000000"/>
                <w:sz w:val="24"/>
              </w:rPr>
              <w:t>11.78</w:t>
            </w:r>
          </w:p>
        </w:tc>
      </w:tr>
      <w:tr>
        <w:tc>
          <w:tcPr>
            <w:vAlign w:val="center"/>
          </w:tcPr>
          <w:p>
            <w:pPr>
              <w:jc w:val="left"/>
            </w:pPr>
            <w:r>
              <w:rPr>
                <w:color w:val="000000"/>
                <w:sz w:val="24"/>
              </w:rPr>
              <w:t>电信服务</w:t>
            </w:r>
          </w:p>
        </w:tc>
        <w:tc>
          <w:tcPr>
            <w:vAlign w:val="center"/>
          </w:tcPr>
          <w:p>
            <w:pPr>
              <w:jc w:val="right"/>
            </w:pPr>
            <w:r>
              <w:rPr>
                <w:color w:val="000000"/>
                <w:sz w:val="24"/>
              </w:rPr>
              <w:t>12,281,348.39</w:t>
            </w:r>
          </w:p>
        </w:tc>
        <w:tc>
          <w:tcPr>
            <w:vAlign w:val="center"/>
          </w:tcPr>
          <w:p>
            <w:pPr>
              <w:jc w:val="right"/>
            </w:pPr>
            <w:r>
              <w:rPr>
                <w:color w:val="000000"/>
                <w:sz w:val="24"/>
              </w:rPr>
              <w:t>11.32</w:t>
            </w:r>
          </w:p>
        </w:tc>
      </w:tr>
      <w:tr>
        <w:tc>
          <w:tcPr>
            <w:vAlign w:val="center"/>
          </w:tcPr>
          <w:p>
            <w:pPr>
              <w:jc w:val="left"/>
            </w:pPr>
            <w:r>
              <w:rPr>
                <w:color w:val="000000"/>
                <w:sz w:val="24"/>
              </w:rPr>
              <w:t>信息技术</w:t>
            </w:r>
          </w:p>
        </w:tc>
        <w:tc>
          <w:tcPr>
            <w:vAlign w:val="center"/>
          </w:tcPr>
          <w:p>
            <w:pPr>
              <w:jc w:val="right"/>
            </w:pPr>
            <w:r>
              <w:rPr>
                <w:color w:val="000000"/>
                <w:sz w:val="24"/>
              </w:rPr>
              <w:t>11,796,400.14</w:t>
            </w:r>
          </w:p>
        </w:tc>
        <w:tc>
          <w:tcPr>
            <w:vAlign w:val="center"/>
          </w:tcPr>
          <w:p>
            <w:pPr>
              <w:jc w:val="right"/>
            </w:pPr>
            <w:r>
              <w:rPr>
                <w:color w:val="000000"/>
                <w:sz w:val="24"/>
              </w:rPr>
              <w:t>10.87</w:t>
            </w:r>
          </w:p>
        </w:tc>
      </w:tr>
      <w:tr>
        <w:tc>
          <w:tcPr>
            <w:vAlign w:val="center"/>
          </w:tcPr>
          <w:p>
            <w:pPr>
              <w:jc w:val="left"/>
            </w:pPr>
            <w:r>
              <w:rPr>
                <w:color w:val="000000"/>
                <w:sz w:val="24"/>
              </w:rPr>
              <w:t>非必需消费品</w:t>
            </w:r>
          </w:p>
        </w:tc>
        <w:tc>
          <w:tcPr>
            <w:vAlign w:val="center"/>
          </w:tcPr>
          <w:p>
            <w:pPr>
              <w:jc w:val="right"/>
            </w:pPr>
            <w:r>
              <w:rPr>
                <w:color w:val="000000"/>
                <w:sz w:val="24"/>
              </w:rPr>
              <w:t>9,252,815.40</w:t>
            </w:r>
          </w:p>
        </w:tc>
        <w:tc>
          <w:tcPr>
            <w:vAlign w:val="center"/>
          </w:tcPr>
          <w:p>
            <w:pPr>
              <w:jc w:val="right"/>
            </w:pPr>
            <w:r>
              <w:rPr>
                <w:color w:val="000000"/>
                <w:sz w:val="24"/>
              </w:rPr>
              <w:t>8.53</w:t>
            </w:r>
          </w:p>
        </w:tc>
      </w:tr>
      <w:tr>
        <w:tc>
          <w:tcPr>
            <w:vAlign w:val="center"/>
          </w:tcPr>
          <w:p>
            <w:pPr>
              <w:jc w:val="left"/>
            </w:pPr>
            <w:r>
              <w:rPr>
                <w:color w:val="000000"/>
                <w:sz w:val="24"/>
              </w:rPr>
              <w:t>工业</w:t>
            </w:r>
          </w:p>
        </w:tc>
        <w:tc>
          <w:tcPr>
            <w:vAlign w:val="center"/>
          </w:tcPr>
          <w:p>
            <w:pPr>
              <w:jc w:val="right"/>
            </w:pPr>
            <w:r>
              <w:rPr>
                <w:color w:val="000000"/>
                <w:sz w:val="24"/>
              </w:rPr>
              <w:t>9,122,423.86</w:t>
            </w:r>
          </w:p>
        </w:tc>
        <w:tc>
          <w:tcPr>
            <w:vAlign w:val="center"/>
          </w:tcPr>
          <w:p>
            <w:pPr>
              <w:jc w:val="right"/>
            </w:pPr>
            <w:r>
              <w:rPr>
                <w:color w:val="000000"/>
                <w:sz w:val="24"/>
              </w:rPr>
              <w:t>8.41</w:t>
            </w:r>
          </w:p>
        </w:tc>
      </w:tr>
      <w:tr>
        <w:tc>
          <w:tcPr>
            <w:vAlign w:val="center"/>
          </w:tcPr>
          <w:p>
            <w:pPr>
              <w:jc w:val="left"/>
            </w:pPr>
            <w:r>
              <w:rPr>
                <w:color w:val="000000"/>
                <w:sz w:val="24"/>
              </w:rPr>
              <w:t>必需消费品</w:t>
            </w:r>
          </w:p>
        </w:tc>
        <w:tc>
          <w:tcPr>
            <w:vAlign w:val="center"/>
          </w:tcPr>
          <w:p>
            <w:pPr>
              <w:jc w:val="right"/>
            </w:pPr>
            <w:r>
              <w:rPr>
                <w:color w:val="000000"/>
                <w:sz w:val="24"/>
              </w:rPr>
              <w:t>8,721,395.56</w:t>
            </w:r>
          </w:p>
        </w:tc>
        <w:tc>
          <w:tcPr>
            <w:vAlign w:val="center"/>
          </w:tcPr>
          <w:p>
            <w:pPr>
              <w:jc w:val="right"/>
            </w:pPr>
            <w:r>
              <w:rPr>
                <w:color w:val="000000"/>
                <w:sz w:val="24"/>
              </w:rPr>
              <w:t>8.04</w:t>
            </w:r>
          </w:p>
        </w:tc>
      </w:tr>
      <w:tr>
        <w:tc>
          <w:tcPr>
            <w:vAlign w:val="center"/>
          </w:tcPr>
          <w:p>
            <w:pPr>
              <w:jc w:val="left"/>
            </w:pPr>
            <w:r>
              <w:rPr>
                <w:color w:val="000000"/>
                <w:sz w:val="24"/>
              </w:rPr>
              <w:t>能源</w:t>
            </w:r>
          </w:p>
        </w:tc>
        <w:tc>
          <w:tcPr>
            <w:vAlign w:val="center"/>
          </w:tcPr>
          <w:p>
            <w:pPr>
              <w:jc w:val="right"/>
            </w:pPr>
            <w:r>
              <w:rPr>
                <w:color w:val="000000"/>
                <w:sz w:val="24"/>
              </w:rPr>
              <w:t>5,143,052.72</w:t>
            </w:r>
          </w:p>
        </w:tc>
        <w:tc>
          <w:tcPr>
            <w:vAlign w:val="center"/>
          </w:tcPr>
          <w:p>
            <w:pPr>
              <w:jc w:val="right"/>
            </w:pPr>
            <w:r>
              <w:rPr>
                <w:color w:val="000000"/>
                <w:sz w:val="24"/>
              </w:rPr>
              <w:t>4.74</w:t>
            </w:r>
          </w:p>
        </w:tc>
      </w:tr>
      <w:tr>
        <w:tc>
          <w:tcPr>
            <w:vAlign w:val="center"/>
          </w:tcPr>
          <w:p>
            <w:pPr>
              <w:jc w:val="left"/>
            </w:pPr>
            <w:r>
              <w:rPr>
                <w:color w:val="000000"/>
                <w:sz w:val="24"/>
              </w:rPr>
              <w:t>材料</w:t>
            </w:r>
          </w:p>
        </w:tc>
        <w:tc>
          <w:tcPr>
            <w:vAlign w:val="center"/>
          </w:tcPr>
          <w:p>
            <w:pPr>
              <w:jc w:val="right"/>
            </w:pPr>
            <w:r>
              <w:rPr>
                <w:color w:val="000000"/>
                <w:sz w:val="24"/>
              </w:rPr>
              <w:t>4,604,900.72</w:t>
            </w:r>
          </w:p>
        </w:tc>
        <w:tc>
          <w:tcPr>
            <w:vAlign w:val="center"/>
          </w:tcPr>
          <w:p>
            <w:pPr>
              <w:jc w:val="right"/>
            </w:pPr>
            <w:r>
              <w:rPr>
                <w:color w:val="000000"/>
                <w:sz w:val="24"/>
              </w:rPr>
              <w:t>4.24</w:t>
            </w:r>
          </w:p>
        </w:tc>
      </w:tr>
      <w:tr>
        <w:tc>
          <w:tcPr>
            <w:vAlign w:val="center"/>
          </w:tcPr>
          <w:p>
            <w:pPr>
              <w:jc w:val="left"/>
            </w:pPr>
            <w:r>
              <w:rPr>
                <w:color w:val="000000"/>
                <w:sz w:val="24"/>
              </w:rPr>
              <w:t>房地产</w:t>
            </w:r>
          </w:p>
        </w:tc>
        <w:tc>
          <w:tcPr>
            <w:vAlign w:val="center"/>
          </w:tcPr>
          <w:p>
            <w:pPr>
              <w:jc w:val="right"/>
            </w:pPr>
            <w:r>
              <w:rPr>
                <w:color w:val="000000"/>
                <w:sz w:val="24"/>
              </w:rPr>
              <w:t>1,652,768.79</w:t>
            </w:r>
          </w:p>
        </w:tc>
        <w:tc>
          <w:tcPr>
            <w:vAlign w:val="center"/>
          </w:tcPr>
          <w:p>
            <w:pPr>
              <w:jc w:val="right"/>
            </w:pPr>
            <w:r>
              <w:rPr>
                <w:color w:val="000000"/>
                <w:sz w:val="24"/>
              </w:rPr>
              <w:t>1.52</w:t>
            </w:r>
          </w:p>
        </w:tc>
      </w:tr>
      <w:tr>
        <w:tc>
          <w:tcPr>
            <w:vAlign w:val="center"/>
          </w:tcPr>
          <w:p>
            <w:pPr>
              <w:jc w:val="left"/>
            </w:pPr>
            <w:r>
              <w:rPr>
                <w:color w:val="000000"/>
                <w:sz w:val="24"/>
              </w:rPr>
              <w:t>公共事业</w:t>
            </w:r>
          </w:p>
        </w:tc>
        <w:tc>
          <w:tcPr>
            <w:vAlign w:val="center"/>
          </w:tcPr>
          <w:p>
            <w:pPr>
              <w:jc w:val="right"/>
            </w:pPr>
            <w:r>
              <w:rPr>
                <w:color w:val="000000"/>
                <w:sz w:val="24"/>
              </w:rPr>
              <w:t>618,856.94</w:t>
            </w:r>
          </w:p>
        </w:tc>
        <w:tc>
          <w:tcPr>
            <w:vAlign w:val="center"/>
          </w:tcPr>
          <w:p>
            <w:pPr>
              <w:jc w:val="right"/>
            </w:pPr>
            <w:r>
              <w:rPr>
                <w:color w:val="000000"/>
                <w:sz w:val="24"/>
              </w:rPr>
              <w:t>0.57</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
            </w:r>
            <w:r w:rsidRPr="008640AE">
              <w:rPr>
                <w:color w:val="000000"/>
                <w:sz w:val="24"/>
              </w:rPr>
              <w:lastRenderedPageBreak/>
              <w:t>91,423,894.33</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lastRenderedPageBreak/>
              <w:t/>
            </w:r>
            <w:r w:rsidRPr="008640AE">
              <w:rPr>
                <w:color w:val="000000"/>
                <w:sz w:val="24"/>
              </w:rPr>
              <w:lastRenderedPageBreak/>
              <w:t>84.23</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lastRenderedPageBreak/>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Alphabet Inc</w:t>
            </w:r>
          </w:p>
        </w:tc>
        <w:tc>
          <w:tcPr>
            <w:vAlign w:val="center"/>
          </w:tcPr>
          <w:p>
            <w:pPr>
              <w:jc w:val="center"/>
            </w:pPr>
            <w:r>
              <w:rPr>
                <w:color w:val="000000"/>
                <w:sz w:val="24"/>
              </w:rPr>
              <w:t>Alphabet公司</w:t>
            </w:r>
          </w:p>
        </w:tc>
        <w:tc>
          <w:tcPr>
            <w:vAlign w:val="center"/>
          </w:tcPr>
          <w:p>
            <w:pPr>
              <w:jc w:val="center"/>
            </w:pPr>
            <w:r>
              <w:rPr>
                <w:color w:val="000000"/>
                <w:sz w:val="24"/>
              </w:rPr>
              <w:t>GOOGL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365</w:t>
            </w:r>
          </w:p>
        </w:tc>
        <w:tc>
          <w:tcPr>
            <w:vAlign w:val="center"/>
          </w:tcPr>
          <w:p>
            <w:pPr>
              <w:jc w:val="right"/>
            </w:pPr>
            <w:r>
              <w:rPr>
                <w:color w:val="000000"/>
                <w:sz w:val="24"/>
              </w:rPr>
              <w:t>2,617,695.86</w:t>
            </w:r>
          </w:p>
        </w:tc>
        <w:tc>
          <w:tcPr>
            <w:vAlign w:val="center"/>
          </w:tcPr>
          <w:p>
            <w:pPr>
              <w:jc w:val="right"/>
            </w:pPr>
            <w:r>
              <w:rPr>
                <w:color w:val="000000"/>
                <w:sz w:val="24"/>
              </w:rPr>
              <w:t>2.41</w:t>
            </w:r>
          </w:p>
        </w:tc>
      </w:tr>
      <w:tr>
        <w:tc>
          <w:tcPr>
            <w:vAlign w:val="center"/>
          </w:tcPr>
          <w:p>
            <w:pPr>
              <w:jc w:val="center"/>
            </w:pPr>
            <w:r>
              <w:rPr>
                <w:color w:val="000000"/>
                <w:sz w:val="24"/>
              </w:rPr>
              <w:t>2</w:t>
            </w:r>
          </w:p>
        </w:tc>
        <w:tc>
          <w:tcPr>
            <w:vAlign w:val="center"/>
          </w:tcPr>
          <w:p>
            <w:pPr>
              <w:jc w:val="center"/>
            </w:pPr>
            <w:r>
              <w:rPr>
                <w:color w:val="000000"/>
                <w:sz w:val="24"/>
              </w:rPr>
              <w:t>Unitedhealth Group Inc</w:t>
            </w:r>
          </w:p>
        </w:tc>
        <w:tc>
          <w:tcPr>
            <w:vAlign w:val="center"/>
          </w:tcPr>
          <w:p>
            <w:pPr>
              <w:jc w:val="center"/>
            </w:pPr>
            <w:r>
              <w:rPr>
                <w:color w:val="000000"/>
                <w:sz w:val="24"/>
              </w:rPr>
              <w:t>美国联合健康集团</w:t>
            </w:r>
          </w:p>
        </w:tc>
        <w:tc>
          <w:tcPr>
            <w:vAlign w:val="center"/>
          </w:tcPr>
          <w:p>
            <w:pPr>
              <w:jc w:val="center"/>
            </w:pPr>
            <w:r>
              <w:rPr>
                <w:color w:val="000000"/>
                <w:sz w:val="24"/>
              </w:rPr>
              <w:t>UNH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1,406</w:t>
            </w:r>
          </w:p>
        </w:tc>
        <w:tc>
          <w:tcPr>
            <w:vAlign w:val="center"/>
          </w:tcPr>
          <w:p>
            <w:pPr>
              <w:jc w:val="right"/>
            </w:pPr>
            <w:r>
              <w:rPr>
                <w:color w:val="000000"/>
                <w:sz w:val="24"/>
              </w:rPr>
              <w:t>2,403,923.10</w:t>
            </w:r>
          </w:p>
        </w:tc>
        <w:tc>
          <w:tcPr>
            <w:vAlign w:val="center"/>
          </w:tcPr>
          <w:p>
            <w:pPr>
              <w:jc w:val="right"/>
            </w:pPr>
            <w:r>
              <w:rPr>
                <w:color w:val="000000"/>
                <w:sz w:val="24"/>
              </w:rPr>
              <w:t>2.21</w:t>
            </w:r>
          </w:p>
        </w:tc>
      </w:tr>
      <w:tr>
        <w:tc>
          <w:tcPr>
            <w:vAlign w:val="center"/>
          </w:tcPr>
          <w:p>
            <w:pPr>
              <w:jc w:val="center"/>
            </w:pPr>
            <w:r>
              <w:rPr>
                <w:color w:val="000000"/>
                <w:sz w:val="24"/>
              </w:rPr>
              <w:t>3</w:t>
            </w:r>
          </w:p>
        </w:tc>
        <w:tc>
          <w:tcPr>
            <w:vAlign w:val="center"/>
          </w:tcPr>
          <w:p>
            <w:pPr>
              <w:jc w:val="center"/>
            </w:pPr>
            <w:r>
              <w:rPr>
                <w:color w:val="000000"/>
                <w:sz w:val="24"/>
              </w:rPr>
              <w:t>Danaher Corporation</w:t>
            </w:r>
          </w:p>
        </w:tc>
        <w:tc>
          <w:tcPr>
            <w:vAlign w:val="center"/>
          </w:tcPr>
          <w:p>
            <w:pPr>
              <w:jc w:val="center"/>
            </w:pPr>
            <w:r>
              <w:rPr>
                <w:color w:val="000000"/>
                <w:sz w:val="24"/>
              </w:rPr>
              <w:t>丹纳赫</w:t>
            </w:r>
          </w:p>
        </w:tc>
        <w:tc>
          <w:tcPr>
            <w:vAlign w:val="center"/>
          </w:tcPr>
          <w:p>
            <w:pPr>
              <w:jc w:val="center"/>
            </w:pPr>
            <w:r>
              <w:rPr>
                <w:color w:val="000000"/>
                <w:sz w:val="24"/>
              </w:rPr>
              <w:t>DHR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3,322</w:t>
            </w:r>
          </w:p>
        </w:tc>
        <w:tc>
          <w:tcPr>
            <w:vAlign w:val="center"/>
          </w:tcPr>
          <w:p>
            <w:pPr>
              <w:jc w:val="right"/>
            </w:pPr>
            <w:r>
              <w:rPr>
                <w:color w:val="000000"/>
                <w:sz w:val="24"/>
              </w:rPr>
              <w:t>2,351,089.64</w:t>
            </w:r>
          </w:p>
        </w:tc>
        <w:tc>
          <w:tcPr>
            <w:vAlign w:val="center"/>
          </w:tcPr>
          <w:p>
            <w:pPr>
              <w:jc w:val="right"/>
            </w:pPr>
            <w:r>
              <w:rPr>
                <w:color w:val="000000"/>
                <w:sz w:val="24"/>
              </w:rPr>
              <w:t>2.17</w:t>
            </w:r>
          </w:p>
        </w:tc>
      </w:tr>
      <w:tr>
        <w:tc>
          <w:tcPr>
            <w:vAlign w:val="center"/>
          </w:tcPr>
          <w:p>
            <w:pPr>
              <w:jc w:val="center"/>
            </w:pPr>
            <w:r>
              <w:rPr>
                <w:color w:val="000000"/>
                <w:sz w:val="24"/>
              </w:rPr>
              <w:t>4</w:t>
            </w:r>
          </w:p>
        </w:tc>
        <w:tc>
          <w:tcPr>
            <w:vAlign w:val="center"/>
          </w:tcPr>
          <w:p>
            <w:pPr>
              <w:jc w:val="center"/>
            </w:pPr>
            <w:r>
              <w:rPr>
                <w:color w:val="000000"/>
                <w:sz w:val="24"/>
              </w:rPr>
              <w:t>Comcast Corporation</w:t>
            </w:r>
          </w:p>
        </w:tc>
        <w:tc>
          <w:tcPr>
            <w:vAlign w:val="center"/>
          </w:tcPr>
          <w:p>
            <w:pPr>
              <w:jc w:val="center"/>
            </w:pPr>
            <w:r>
              <w:rPr>
                <w:color w:val="000000"/>
                <w:sz w:val="24"/>
              </w:rPr>
              <w:t>康卡斯特公司</w:t>
            </w:r>
          </w:p>
        </w:tc>
        <w:tc>
          <w:tcPr>
            <w:vAlign w:val="center"/>
          </w:tcPr>
          <w:p>
            <w:pPr>
              <w:jc w:val="center"/>
            </w:pPr>
            <w:r>
              <w:rPr>
                <w:color w:val="000000"/>
                <w:sz w:val="24"/>
              </w:rPr>
              <w:t>CMCSA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9,826</w:t>
            </w:r>
          </w:p>
        </w:tc>
        <w:tc>
          <w:tcPr>
            <w:vAlign w:val="center"/>
          </w:tcPr>
          <w:p>
            <w:pPr>
              <w:jc w:val="right"/>
            </w:pPr>
            <w:r>
              <w:rPr>
                <w:color w:val="000000"/>
                <w:sz w:val="24"/>
              </w:rPr>
              <w:t>2,296,257.20</w:t>
            </w:r>
          </w:p>
        </w:tc>
        <w:tc>
          <w:tcPr>
            <w:vAlign w:val="center"/>
          </w:tcPr>
          <w:p>
            <w:pPr>
              <w:jc w:val="right"/>
            </w:pPr>
            <w:r>
              <w:rPr>
                <w:color w:val="000000"/>
                <w:sz w:val="24"/>
              </w:rPr>
              <w:t>2.12</w:t>
            </w:r>
          </w:p>
        </w:tc>
      </w:tr>
      <w:tr>
        <w:tc>
          <w:tcPr>
            <w:vAlign w:val="center"/>
          </w:tcPr>
          <w:p>
            <w:pPr>
              <w:jc w:val="center"/>
            </w:pPr>
            <w:r>
              <w:rPr>
                <w:color w:val="000000"/>
                <w:sz w:val="24"/>
              </w:rPr>
              <w:t>5</w:t>
            </w:r>
          </w:p>
        </w:tc>
        <w:tc>
          <w:tcPr>
            <w:vAlign w:val="center"/>
          </w:tcPr>
          <w:p>
            <w:pPr>
              <w:jc w:val="center"/>
            </w:pPr>
            <w:r>
              <w:rPr>
                <w:color w:val="000000"/>
                <w:sz w:val="24"/>
              </w:rPr>
              <w:t>Visa Inc</w:t>
            </w:r>
          </w:p>
        </w:tc>
        <w:tc>
          <w:tcPr>
            <w:vAlign w:val="center"/>
          </w:tcPr>
          <w:p>
            <w:pPr>
              <w:jc w:val="center"/>
            </w:pPr>
            <w:r>
              <w:rPr>
                <w:color w:val="000000"/>
                <w:sz w:val="24"/>
              </w:rPr>
              <w:t>维萨公司</w:t>
            </w:r>
          </w:p>
        </w:tc>
        <w:tc>
          <w:tcPr>
            <w:vAlign w:val="center"/>
          </w:tcPr>
          <w:p>
            <w:pPr>
              <w:jc w:val="center"/>
            </w:pPr>
            <w:r>
              <w:rPr>
                <w:color w:val="000000"/>
                <w:sz w:val="24"/>
              </w:rPr>
              <w:t>V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2,480</w:t>
            </w:r>
          </w:p>
        </w:tc>
        <w:tc>
          <w:tcPr>
            <w:vAlign w:val="center"/>
          </w:tcPr>
          <w:p>
            <w:pPr>
              <w:jc w:val="right"/>
            </w:pPr>
            <w:r>
              <w:rPr>
                <w:color w:val="000000"/>
                <w:sz w:val="24"/>
              </w:rPr>
              <w:t>2,245,715.91</w:t>
            </w:r>
          </w:p>
        </w:tc>
        <w:tc>
          <w:tcPr>
            <w:vAlign w:val="center"/>
          </w:tcPr>
          <w:p>
            <w:pPr>
              <w:jc w:val="right"/>
            </w:pPr>
            <w:r>
              <w:rPr>
                <w:color w:val="000000"/>
                <w:sz w:val="24"/>
              </w:rPr>
              <w:t>2.07</w:t>
            </w:r>
          </w:p>
        </w:tc>
      </w:tr>
      <w:tr>
        <w:tc>
          <w:tcPr>
            <w:vAlign w:val="center"/>
          </w:tcPr>
          <w:p>
            <w:pPr>
              <w:jc w:val="center"/>
            </w:pPr>
            <w:r>
              <w:rPr>
                <w:color w:val="000000"/>
                <w:sz w:val="24"/>
              </w:rPr>
              <w:t>6</w:t>
            </w:r>
          </w:p>
        </w:tc>
        <w:tc>
          <w:tcPr>
            <w:vAlign w:val="center"/>
          </w:tcPr>
          <w:p>
            <w:pPr>
              <w:jc w:val="center"/>
            </w:pPr>
            <w:r>
              <w:rPr>
                <w:color w:val="000000"/>
                <w:sz w:val="24"/>
              </w:rPr>
              <w:t>Amazon.Com Inc</w:t>
            </w:r>
          </w:p>
        </w:tc>
        <w:tc>
          <w:tcPr>
            <w:vAlign w:val="center"/>
          </w:tcPr>
          <w:p>
            <w:pPr>
              <w:jc w:val="center"/>
            </w:pPr>
            <w:r>
              <w:rPr>
                <w:color w:val="000000"/>
                <w:sz w:val="24"/>
              </w:rPr>
              <w:t>亚马逊公司</w:t>
            </w:r>
          </w:p>
        </w:tc>
        <w:tc>
          <w:tcPr>
            <w:vAlign w:val="center"/>
          </w:tcPr>
          <w:p>
            <w:pPr>
              <w:jc w:val="center"/>
            </w:pPr>
            <w:r>
              <w:rPr>
                <w:color w:val="000000"/>
                <w:sz w:val="24"/>
              </w:rPr>
              <w:t>AMZN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216</w:t>
            </w:r>
          </w:p>
        </w:tc>
        <w:tc>
          <w:tcPr>
            <w:vAlign w:val="center"/>
          </w:tcPr>
          <w:p>
            <w:pPr>
              <w:jc w:val="right"/>
            </w:pPr>
            <w:r>
              <w:rPr>
                <w:color w:val="000000"/>
                <w:sz w:val="24"/>
              </w:rPr>
              <w:t>2,226,597.23</w:t>
            </w:r>
          </w:p>
        </w:tc>
        <w:tc>
          <w:tcPr>
            <w:vAlign w:val="center"/>
          </w:tcPr>
          <w:p>
            <w:pPr>
              <w:jc w:val="right"/>
            </w:pPr>
            <w:r>
              <w:rPr>
                <w:color w:val="000000"/>
                <w:sz w:val="24"/>
              </w:rPr>
              <w:t>2.05</w:t>
            </w:r>
          </w:p>
        </w:tc>
      </w:tr>
      <w:tr>
        <w:tc>
          <w:tcPr>
            <w:vAlign w:val="center"/>
          </w:tcPr>
          <w:p>
            <w:pPr>
              <w:jc w:val="center"/>
            </w:pPr>
            <w:r>
              <w:rPr>
                <w:color w:val="000000"/>
                <w:sz w:val="24"/>
              </w:rPr>
              <w:t>7</w:t>
            </w:r>
          </w:p>
        </w:tc>
        <w:tc>
          <w:tcPr>
            <w:vAlign w:val="center"/>
          </w:tcPr>
          <w:p>
            <w:pPr>
              <w:jc w:val="center"/>
            </w:pPr>
            <w:r>
              <w:rPr>
                <w:color w:val="000000"/>
                <w:sz w:val="24"/>
              </w:rPr>
              <w:t>T-Mobile US Inc</w:t>
            </w:r>
          </w:p>
        </w:tc>
        <w:tc>
          <w:tcPr>
            <w:vAlign w:val="center"/>
          </w:tcPr>
          <w:p>
            <w:pPr>
              <w:jc w:val="center"/>
            </w:pPr>
            <w:r>
              <w:rPr>
                <w:color w:val="000000"/>
                <w:sz w:val="24"/>
              </w:rPr>
              <w:t>T-Mobile US有限公司</w:t>
            </w:r>
          </w:p>
        </w:tc>
        <w:tc>
          <w:tcPr>
            <w:vAlign w:val="center"/>
          </w:tcPr>
          <w:p>
            <w:pPr>
              <w:jc w:val="center"/>
            </w:pPr>
            <w:r>
              <w:rPr>
                <w:color w:val="000000"/>
                <w:sz w:val="24"/>
              </w:rPr>
              <w:t>TMUS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4,980</w:t>
            </w:r>
          </w:p>
        </w:tc>
        <w:tc>
          <w:tcPr>
            <w:vAlign w:val="center"/>
          </w:tcPr>
          <w:p>
            <w:pPr>
              <w:jc w:val="right"/>
            </w:pPr>
            <w:r>
              <w:rPr>
                <w:color w:val="000000"/>
                <w:sz w:val="24"/>
              </w:rPr>
              <w:t>2,174,109.40</w:t>
            </w:r>
          </w:p>
        </w:tc>
        <w:tc>
          <w:tcPr>
            <w:vAlign w:val="center"/>
          </w:tcPr>
          <w:p>
            <w:pPr>
              <w:jc w:val="right"/>
            </w:pPr>
            <w:r>
              <w:rPr>
                <w:color w:val="000000"/>
                <w:sz w:val="24"/>
              </w:rPr>
              <w:t>2.00</w:t>
            </w:r>
          </w:p>
        </w:tc>
      </w:tr>
      <w:tr>
        <w:tc>
          <w:tcPr>
            <w:vAlign w:val="center"/>
          </w:tcPr>
          <w:p>
            <w:pPr>
              <w:jc w:val="center"/>
            </w:pPr>
            <w:r>
              <w:rPr>
                <w:color w:val="000000"/>
                <w:sz w:val="24"/>
              </w:rPr>
              <w:t>8</w:t>
            </w:r>
          </w:p>
        </w:tc>
        <w:tc>
          <w:tcPr>
            <w:vAlign w:val="center"/>
          </w:tcPr>
          <w:p>
            <w:pPr>
              <w:jc w:val="center"/>
            </w:pPr>
            <w:r>
              <w:rPr>
                <w:color w:val="000000"/>
                <w:sz w:val="24"/>
              </w:rPr>
              <w:t>Thermo Fisher Scientific Inc</w:t>
            </w:r>
          </w:p>
        </w:tc>
        <w:tc>
          <w:tcPr>
            <w:vAlign w:val="center"/>
          </w:tcPr>
          <w:p>
            <w:pPr>
              <w:jc w:val="center"/>
            </w:pPr>
            <w:r>
              <w:rPr>
                <w:color w:val="000000"/>
                <w:sz w:val="24"/>
              </w:rPr>
              <w:t>赛默飞世尔科技公司</w:t>
            </w:r>
          </w:p>
        </w:tc>
        <w:tc>
          <w:tcPr>
            <w:vAlign w:val="center"/>
          </w:tcPr>
          <w:p>
            <w:pPr>
              <w:jc w:val="center"/>
            </w:pPr>
            <w:r>
              <w:rPr>
                <w:color w:val="000000"/>
                <w:sz w:val="24"/>
              </w:rPr>
              <w:t>TMO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1,411</w:t>
            </w:r>
          </w:p>
        </w:tc>
        <w:tc>
          <w:tcPr>
            <w:vAlign w:val="center"/>
          </w:tcPr>
          <w:p>
            <w:pPr>
              <w:jc w:val="right"/>
            </w:pPr>
            <w:r>
              <w:rPr>
                <w:color w:val="000000"/>
                <w:sz w:val="24"/>
              </w:rPr>
              <w:t>2,167,176.81</w:t>
            </w:r>
          </w:p>
        </w:tc>
        <w:tc>
          <w:tcPr>
            <w:vAlign w:val="center"/>
          </w:tcPr>
          <w:p>
            <w:pPr>
              <w:jc w:val="right"/>
            </w:pPr>
            <w:r>
              <w:rPr>
                <w:color w:val="000000"/>
                <w:sz w:val="24"/>
              </w:rPr>
              <w:t>2.00</w:t>
            </w:r>
          </w:p>
        </w:tc>
      </w:tr>
      <w:tr>
        <w:tc>
          <w:tcPr>
            <w:vAlign w:val="center"/>
          </w:tcPr>
          <w:p>
            <w:pPr>
              <w:jc w:val="center"/>
            </w:pPr>
            <w:r>
              <w:rPr>
                <w:color w:val="000000"/>
                <w:sz w:val="24"/>
              </w:rPr>
              <w:t>9</w:t>
            </w:r>
          </w:p>
        </w:tc>
        <w:tc>
          <w:tcPr>
            <w:vAlign w:val="center"/>
          </w:tcPr>
          <w:p>
            <w:pPr>
              <w:jc w:val="center"/>
            </w:pPr>
            <w:r>
              <w:rPr>
                <w:color w:val="000000"/>
                <w:sz w:val="24"/>
              </w:rPr>
              <w:t>Johnson &amp; Johnson</w:t>
            </w:r>
          </w:p>
        </w:tc>
        <w:tc>
          <w:tcPr>
            <w:vAlign w:val="center"/>
          </w:tcPr>
          <w:p>
            <w:pPr>
              <w:jc w:val="center"/>
            </w:pPr>
            <w:r>
              <w:rPr>
                <w:color w:val="000000"/>
                <w:sz w:val="24"/>
              </w:rPr>
              <w:t>强生公司</w:t>
            </w:r>
          </w:p>
        </w:tc>
        <w:tc>
          <w:tcPr>
            <w:vAlign w:val="center"/>
          </w:tcPr>
          <w:p>
            <w:pPr>
              <w:jc w:val="center"/>
            </w:pPr>
            <w:r>
              <w:rPr>
                <w:color w:val="000000"/>
                <w:sz w:val="24"/>
              </w:rPr>
              <w:t>JNJ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2,408</w:t>
            </w:r>
          </w:p>
        </w:tc>
        <w:tc>
          <w:tcPr>
            <w:vAlign w:val="center"/>
          </w:tcPr>
          <w:p>
            <w:pPr>
              <w:jc w:val="right"/>
            </w:pPr>
            <w:r>
              <w:rPr>
                <w:color w:val="000000"/>
                <w:sz w:val="24"/>
              </w:rPr>
              <w:t>2,132,755.87</w:t>
            </w:r>
          </w:p>
        </w:tc>
        <w:tc>
          <w:tcPr>
            <w:vAlign w:val="center"/>
          </w:tcPr>
          <w:p>
            <w:pPr>
              <w:jc w:val="right"/>
            </w:pPr>
            <w:r>
              <w:rPr>
                <w:color w:val="000000"/>
                <w:sz w:val="24"/>
              </w:rPr>
              <w:t>1.97</w:t>
            </w:r>
          </w:p>
        </w:tc>
      </w:tr>
      <w:tr>
        <w:tc>
          <w:tcPr>
            <w:vAlign w:val="center"/>
          </w:tcPr>
          <w:p>
            <w:pPr>
              <w:jc w:val="center"/>
            </w:pPr>
            <w:r>
              <w:rPr>
                <w:color w:val="000000"/>
                <w:sz w:val="24"/>
              </w:rPr>
              <w:t>10</w:t>
            </w:r>
          </w:p>
        </w:tc>
        <w:tc>
          <w:tcPr>
            <w:vAlign w:val="center"/>
          </w:tcPr>
          <w:p>
            <w:pPr>
              <w:jc w:val="center"/>
            </w:pPr>
            <w:r>
              <w:rPr>
                <w:color w:val="000000"/>
                <w:sz w:val="24"/>
              </w:rPr>
              <w:t>Bank of America Corporation</w:t>
            </w:r>
          </w:p>
        </w:tc>
        <w:tc>
          <w:tcPr>
            <w:vAlign w:val="center"/>
          </w:tcPr>
          <w:p>
            <w:pPr>
              <w:jc w:val="center"/>
            </w:pPr>
            <w:r>
              <w:rPr>
                <w:color w:val="000000"/>
                <w:sz w:val="24"/>
              </w:rPr>
              <w:t>美国银行</w:t>
            </w:r>
          </w:p>
        </w:tc>
        <w:tc>
          <w:tcPr>
            <w:vAlign w:val="center"/>
          </w:tcPr>
          <w:p>
            <w:pPr>
              <w:jc w:val="center"/>
            </w:pPr>
            <w:r>
              <w:rPr>
                <w:color w:val="000000"/>
                <w:sz w:val="24"/>
              </w:rPr>
              <w:t>BAC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12,478</w:t>
            </w:r>
          </w:p>
        </w:tc>
        <w:tc>
          <w:tcPr>
            <w:vAlign w:val="center"/>
          </w:tcPr>
          <w:p>
            <w:pPr>
              <w:jc w:val="right"/>
            </w:pPr>
            <w:r>
              <w:rPr>
                <w:color w:val="000000"/>
                <w:sz w:val="24"/>
              </w:rPr>
              <w:t>2,110,145.20</w:t>
            </w:r>
          </w:p>
        </w:tc>
        <w:tc>
          <w:tcPr>
            <w:vAlign w:val="center"/>
          </w:tcPr>
          <w:p>
            <w:pPr>
              <w:jc w:val="right"/>
            </w:pPr>
            <w:r>
              <w:rPr>
                <w:color w:val="000000"/>
                <w:sz w:val="24"/>
              </w:rPr>
              <w:t>1.94</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type="dxa" w:w="8868"/>
        <w:jc w:val="center"/>
        <w:tblInd w:type="dxa" w:w="15"/>
        <w:tblLayout w:type="fixed"/>
        <w:tblLook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139,325.51</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1,455.39</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181,562.16</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
            </w:r>
            <w:r w:rsidRPr="008640AE">
              <w:rPr>
                <w:color w:val="000000"/>
                <w:sz w:val="24"/>
              </w:rPr>
              <w:lastRenderedPageBreak/>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lastRenderedPageBreak/>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322,343.06</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8640AE">
      <w:pPr>
        <w:autoSpaceDE w:val="0"/>
        <w:autoSpaceDN w:val="0"/>
        <w:adjustRightInd w:val="0"/>
        <w:spacing w:before="29" w:line="288" w:lineRule="auto"/>
        <w:jc w:val="left"/>
        <w:rPr>
          <w:color w:val="000000"/>
          <w:kern w:val="0"/>
          <w:sz w:val="24"/>
        </w:rPr>
      </w:pPr>
      <w:r w:rsidRPr="008640AE">
        <w:rPr>
          <w:color w:val="000000"/>
          <w:kern w:val="0"/>
          <w:sz w:val="24"/>
        </w:rPr>
        <w:t/>
      </w:r>
      <w:r w:rsidR="0076518F" w:rsidRPr="008640AE">
        <w:rPr>
          <w:color w:val="000000"/>
          <w:kern w:val="0"/>
          <w:sz w:val="24"/>
        </w:rPr>
        <w:t>5.10.6</w:t>
      </w:r>
      <w:r w:rsidR="001C46E1" w:rsidRPr="008640AE">
        <w:rPr>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63,483,155.28</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4,229,206.59</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4,805,122.10</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62,907,239.77</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 xml:space="preserve">    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本基金管理人本报告期内未进行本基金的申购、赎回、红利再投等；本基金管理人本报告期末持有本基金27,024,464.49份，占本基金期末总份额的42.96%。</w:t>
      </w:r>
    </w:p>
    <w:p w:rsidP="005546C0" w:rsidR="00200B62" w:rsidRDefault="00200B62" w:rsidRPr="008640AE">
      <w:pPr>
        <w:autoSpaceDE w:val="0"/>
        <w:autoSpaceDN w:val="0"/>
        <w:adjustRightInd w:val="0"/>
        <w:spacing w:before="29" w:line="288" w:lineRule="auto"/>
        <w:jc w:val="left"/>
        <w:rPr>
          <w:color w:val="000000"/>
          <w:sz w:val="24"/>
        </w:rPr>
      </w:pPr>
    </w:p>
    <w:p w:rsidP="00BB3041" w:rsidR="00ED3DCF" w:rsidRDefault="00ED3DCF">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ED3DCF" w:rsidR="00ED3DCF" w:rsidRDefault="00ED3DCF">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3DCF" w:rsidTr="00ED3DCF">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type="dxa" w:w="993"/>
            <w:vMerge/>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42.96%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9</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1、中国证监会批准交银施罗德环球精选价值证券投资基金募集的文件；</w:t>
      </w:r>
    </w:p>
    <w:p>
      <w:pPr>
        <w:spacing w:before="29" w:line="288" w:lineRule="auto"/>
        <w:ind w:firstLine="480" w:firstLineChars="200"/>
        <w:rPr>
          <w:color w:val="000000"/>
          <w:sz w:val="24"/>
        </w:rPr>
      </w:pPr>
      <w:r>
        <w:rPr>
          <w:color w:val="000000"/>
          <w:sz w:val="24"/>
        </w:rPr>
        <w:t>2、《交银施罗德环球精选价值证券投资基金基金合同》；</w:t>
      </w:r>
    </w:p>
    <w:p>
      <w:pPr>
        <w:spacing w:before="29" w:line="288" w:lineRule="auto"/>
        <w:ind w:firstLine="480" w:firstLineChars="200"/>
        <w:rPr>
          <w:color w:val="000000"/>
          <w:sz w:val="24"/>
        </w:rPr>
      </w:pPr>
      <w:r>
        <w:rPr>
          <w:color w:val="000000"/>
          <w:sz w:val="24"/>
        </w:rPr>
        <w:t>3、《交银施罗德环球精选价值证券投资基金招募说明书》；</w:t>
      </w:r>
    </w:p>
    <w:p>
      <w:pPr>
        <w:spacing w:before="29" w:line="288" w:lineRule="auto"/>
        <w:ind w:firstLine="480" w:firstLineChars="200"/>
        <w:rPr>
          <w:color w:val="000000"/>
          <w:sz w:val="24"/>
        </w:rPr>
      </w:pPr>
      <w:r>
        <w:rPr>
          <w:color w:val="000000"/>
          <w:sz w:val="24"/>
        </w:rPr>
        <w:t xml:space="preserve">4、《交银施罗德环球精选价值证券投资基金托管协议》； </w:t>
      </w:r>
    </w:p>
    <w:p>
      <w:pPr>
        <w:spacing w:before="29" w:line="288" w:lineRule="auto"/>
        <w:ind w:firstLine="480" w:firstLineChars="200"/>
        <w:rPr>
          <w:color w:val="000000"/>
          <w:sz w:val="24"/>
        </w:rPr>
      </w:pPr>
      <w:r>
        <w:rPr>
          <w:color w:val="000000"/>
          <w:sz w:val="24"/>
        </w:rPr>
        <w:t>5、关于申请募集交银施罗德环球精选价值证券投资基金之法律意见书；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7、基金托管人业务资格批件、营业执照；</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8、报告期内交银施罗德环球精选价值证券投资基金在指定报刊上各项公告的原稿。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F6" w:rsidRDefault="008278F6">
      <w:r>
        <w:separator/>
      </w:r>
    </w:p>
  </w:endnote>
  <w:endnote w:type="continuationSeparator" w:id="0">
    <w:p w:rsidR="008278F6" w:rsidRDefault="00827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BB3041">
      <w:rPr>
        <w:noProof/>
        <w:kern w:val="0"/>
        <w:szCs w:val="21"/>
      </w:rPr>
      <w:t>13</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BB3041">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8278F6" w:rsidRDefault="008278F6">
      <w:r>
        <w:separator/>
      </w:r>
    </w:p>
  </w:footnote>
  <w:footnote w:id="0" w:type="continuationSeparator">
    <w:p w:rsidR="008278F6" w:rsidRDefault="008278F6">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交银施罗德环球精选价值证券投资基金2018年第4季度报告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4.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header5.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B3041"/>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20"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103</TotalTime>
  <Pages>19</Pages>
  <Words>3075</Words>
  <Characters>17533</Characters>
  <Application>Microsoft Office Word</Application>
  <DocSecurity>0</DocSecurity>
  <Lines>146</Lines>
  <Paragraphs>41</Paragraphs>
  <ScaleCrop>false</ScaleCrop>
  <Company>TRT. Ltd. Co.</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Administrator</cp:lastModifiedBy>
  <cp:lastPrinted>2007-07-19T00:46:00Z</cp:lastPrinted>
  <dcterms:modified xsi:type="dcterms:W3CDTF">2018-09-13T02:59:00Z</dcterms:modified>
  <cp:revision>240</cp:revision>
</cp:coreProperties>
</file>